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93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030"/>
        <w:gridCol w:w="1574"/>
        <w:gridCol w:w="3107"/>
        <w:gridCol w:w="690"/>
      </w:tblGrid>
      <w:tr>
        <w:trPr>
          <w:trHeight w:hRule="atLeast" w:val="2061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2000000">
            <w:pPr>
              <w:widowControl w:val="1"/>
              <w:spacing w:after="0"/>
              <w:ind/>
            </w:pPr>
            <w:r>
              <w:drawing>
                <wp:anchor allowOverlap="true" behindDoc="true" distB="0" distL="114300" distR="114300" distT="0" layoutInCell="true" locked="false" relativeHeight="251658240" simplePos="false">
                  <wp:simplePos x="0" y="0"/>
                  <wp:positionH relativeFrom="margin">
                    <wp:posOffset>-7302</wp:posOffset>
                  </wp:positionH>
                  <wp:positionV relativeFrom="page">
                    <wp:posOffset>22856</wp:posOffset>
                  </wp:positionV>
                  <wp:extent cx="4048125" cy="1206999"/>
                  <wp:effectExtent b="0" l="0" r="0" t="0"/>
                  <wp:wrapTight distL="114300" distR="114300" wrapText="bothSides">
                    <wp:wrapPolygon>
                      <wp:start x="0" y="0"/>
                      <wp:lineTo x="0" y="21410"/>
                      <wp:lineTo x="21527" y="21410"/>
                      <wp:lineTo x="21527" y="0"/>
                      <wp:lineTo x="0" y="0"/>
                    </wp:wrapPolygon>
                  </wp:wrapTight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4048125" cy="12069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797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3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ООО «</w:t>
            </w:r>
            <w:r>
              <w:rPr>
                <w:rFonts w:ascii="Times New Roman" w:hAnsi="Times New Roman"/>
                <w:b w:val="0"/>
              </w:rPr>
              <w:t>АлтайДизельМаш</w:t>
            </w:r>
            <w:r>
              <w:rPr>
                <w:rFonts w:ascii="Times New Roman" w:hAnsi="Times New Roman"/>
                <w:b w:val="0"/>
              </w:rPr>
              <w:t>»</w:t>
            </w:r>
          </w:p>
          <w:p w14:paraId="04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656067, Алтайский край, </w:t>
            </w:r>
            <w:r>
              <w:rPr>
                <w:rFonts w:ascii="Times New Roman" w:hAnsi="Times New Roman"/>
                <w:b w:val="0"/>
              </w:rPr>
              <w:t xml:space="preserve">г Барнаул, </w:t>
            </w:r>
          </w:p>
          <w:p w14:paraId="05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ул Балтийская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>92, стр. 1</w:t>
            </w:r>
          </w:p>
          <w:p w14:paraId="06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тел</w:t>
            </w:r>
            <w:r>
              <w:rPr>
                <w:rFonts w:ascii="Times New Roman" w:hAnsi="Times New Roman"/>
                <w:b w:val="0"/>
              </w:rPr>
              <w:t>. +7</w:t>
            </w:r>
            <w:r>
              <w:rPr>
                <w:rFonts w:ascii="Times New Roman" w:hAnsi="Times New Roman"/>
                <w:b w:val="0"/>
              </w:rPr>
              <w:t xml:space="preserve"> (800) 444-36-88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7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e-mail: </w:t>
            </w:r>
            <w:r>
              <w:rPr>
                <w:rFonts w:ascii="Times New Roman" w:hAnsi="Times New Roman"/>
                <w:b w:val="0"/>
                <w:color w:val="000000"/>
                <w:u w:val="none"/>
              </w:rPr>
              <w:t>info@alt-diesel.ru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8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url:</w:t>
            </w:r>
            <w:r>
              <w:rPr>
                <w:rFonts w:ascii="Times New Roman" w:hAnsi="Times New Roman"/>
                <w:b w:val="1"/>
              </w:rPr>
              <w:t xml:space="preserve"> 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begin"/>
            </w:r>
            <w:r>
              <w:rPr>
                <w:rStyle w:val="Style_3_ch"/>
                <w:rFonts w:ascii="Times New Roman" w:hAnsi="Times New Roman"/>
                <w:b w:val="1"/>
              </w:rPr>
              <w:instrText>HYPERLINK "http://alt-diesel.ru"</w:instrTex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separate"/>
            </w:r>
            <w:r>
              <w:rPr>
                <w:rStyle w:val="Style_3_ch"/>
                <w:rFonts w:ascii="Times New Roman" w:hAnsi="Times New Roman"/>
                <w:b w:val="1"/>
              </w:rPr>
              <w:t>http://alt-diesel.ru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end"/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</w:tc>
      </w:tr>
      <w:tr>
        <w:trPr>
          <w:trHeight w:hRule="atLeast" w:val="521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9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Исх. № 223А от 31.10.2025</w:t>
            </w:r>
          </w:p>
          <w:p w14:paraId="0A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Исп. Алексей Силаев</w:t>
            </w:r>
          </w:p>
          <w:p w14:paraId="0B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тел. +7 (9</w:t>
            </w:r>
            <w:r>
              <w:rPr>
                <w:rFonts w:ascii="Times New Roman" w:hAnsi="Times New Roman"/>
                <w:color w:val="000000"/>
                <w:sz w:val="22"/>
              </w:rPr>
              <w:t>26</w:t>
            </w:r>
            <w:r>
              <w:rPr>
                <w:rFonts w:ascii="Times New Roman" w:hAnsi="Times New Roman"/>
                <w:color w:val="000000"/>
                <w:sz w:val="22"/>
              </w:rPr>
              <w:t>) 0</w:t>
            </w:r>
            <w:r>
              <w:rPr>
                <w:rFonts w:ascii="Times New Roman" w:hAnsi="Times New Roman"/>
                <w:color w:val="000000"/>
                <w:sz w:val="22"/>
              </w:rPr>
              <w:t>24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81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4</w:t>
            </w: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797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C000000">
            <w:pPr>
              <w:widowControl w:val="1"/>
              <w:spacing w:after="0" w:line="240" w:lineRule="auto"/>
              <w:ind w:left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</w:p>
          <w:p w14:paraId="0D000000">
            <w:pPr>
              <w:widowControl w:val="1"/>
              <w:spacing w:after="0"/>
              <w:ind/>
              <w:rPr>
                <w:rFonts w:ascii="Times New Roman" w:hAnsi="Times New Roman"/>
                <w:sz w:val="22"/>
              </w:rPr>
            </w:pPr>
          </w:p>
        </w:tc>
      </w:tr>
    </w:tbl>
    <w:p w14:paraId="0E000000">
      <w:pPr>
        <w:pStyle w:val="Style_1"/>
        <w:rPr>
          <w:rFonts w:ascii="Times New Roman" w:hAnsi="Times New Roman"/>
          <w:sz w:val="22"/>
        </w:rPr>
      </w:pPr>
    </w:p>
    <w:p w14:paraId="0F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Коммерческое предложение</w:t>
      </w:r>
    </w:p>
    <w:p w14:paraId="10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2"/>
        </w:rPr>
      </w:pPr>
    </w:p>
    <w:p w14:paraId="11000000">
      <w:pPr>
        <w:pStyle w:val="Style_1"/>
        <w:widowControl w:val="1"/>
        <w:tabs>
          <w:tab w:leader="none" w:pos="8340" w:val="left"/>
        </w:tabs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соответствии с Вашим запросом ООО «АДМ» имеет возможность поставить </w:t>
      </w:r>
      <w:r>
        <w:rPr>
          <w:rFonts w:ascii="Times New Roman" w:hAnsi="Times New Roman"/>
          <w:sz w:val="24"/>
        </w:rPr>
        <w:t>газопоршневые установки (ГПУ) постоянной электрической мощностью</w:t>
      </w:r>
      <w:r>
        <w:rPr>
          <w:rFonts w:ascii="Times New Roman" w:hAnsi="Times New Roman"/>
          <w:sz w:val="24"/>
        </w:rPr>
        <w:t xml:space="preserve"> 320</w:t>
      </w:r>
      <w:r>
        <w:rPr>
          <w:rFonts w:ascii="Times New Roman" w:hAnsi="Times New Roman"/>
          <w:sz w:val="24"/>
        </w:rPr>
        <w:t xml:space="preserve"> кВт, 400 В, в</w:t>
      </w:r>
      <w:r>
        <w:rPr>
          <w:rFonts w:ascii="Times New Roman" w:hAnsi="Times New Roman"/>
          <w:sz w:val="24"/>
        </w:rPr>
        <w:t xml:space="preserve"> контейнерном исполнении в виде блочно-модульного здания (БМЗ).</w:t>
      </w:r>
    </w:p>
    <w:p w14:paraId="12000000">
      <w:pPr>
        <w:pStyle w:val="Style_1"/>
        <w:widowControl w:val="1"/>
        <w:tabs>
          <w:tab w:leader="none" w:pos="8340" w:val="left"/>
        </w:tabs>
        <w:ind/>
        <w:jc w:val="both"/>
        <w:rPr>
          <w:rFonts w:ascii="Times New Roman" w:hAnsi="Times New Roman"/>
          <w:sz w:val="22"/>
        </w:rPr>
      </w:pPr>
    </w:p>
    <w:p w14:paraId="13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b w:val="1"/>
          <w:sz w:val="22"/>
        </w:rPr>
        <w:t>Основные характеристики</w:t>
      </w:r>
    </w:p>
    <w:p w14:paraId="14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6100"/>
        <w:gridCol w:w="4390"/>
      </w:tblGrid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Наименование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Показатель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Заводское обозначение 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АDW-</w:t>
            </w:r>
            <w:r>
              <w:rPr>
                <w:rFonts w:ascii="Times New Roman" w:hAnsi="Times New Roman"/>
                <w:color w:val="000000"/>
                <w:sz w:val="22"/>
              </w:rPr>
              <w:t>320</w:t>
            </w:r>
            <w:r>
              <w:rPr>
                <w:rFonts w:ascii="Times New Roman" w:hAnsi="Times New Roman"/>
                <w:color w:val="000000"/>
                <w:sz w:val="22"/>
              </w:rPr>
              <w:t>/</w:t>
            </w:r>
            <w:r>
              <w:rPr>
                <w:rFonts w:ascii="Times New Roman" w:hAnsi="Times New Roman"/>
                <w:color w:val="000000"/>
                <w:sz w:val="22"/>
              </w:rPr>
              <w:t>0,4</w:t>
            </w:r>
            <w:r>
              <w:rPr>
                <w:rFonts w:ascii="Times New Roman" w:hAnsi="Times New Roman"/>
                <w:color w:val="000000"/>
                <w:sz w:val="22"/>
              </w:rPr>
              <w:t>-1Н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9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Мощность электрическая (постоянная, длительная) кВт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A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0"/>
                <w:color w:val="000000"/>
                <w:sz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320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B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Мощность тепловая (</w:t>
            </w:r>
            <w:r>
              <w:rPr>
                <w:rFonts w:ascii="Times New Roman" w:hAnsi="Times New Roman"/>
                <w:sz w:val="22"/>
              </w:rPr>
              <w:t xml:space="preserve">антифриз + выхлопные газы)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кВт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C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0"/>
                <w:color w:val="00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200+220 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D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Частота, Гц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E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50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F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Номинальное напряжение, В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400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1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Род тока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2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Переменный, 3-фазный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3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Требуемое давление газа, </w:t>
            </w:r>
            <w:r>
              <w:rPr>
                <w:rFonts w:ascii="Times New Roman" w:hAnsi="Times New Roman"/>
                <w:sz w:val="22"/>
              </w:rPr>
              <w:t xml:space="preserve">кПа 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4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3-7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5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Расход газа при 75% нагрузке, </w:t>
            </w:r>
            <w:r>
              <w:rPr>
                <w:rFonts w:ascii="Times New Roman" w:hAnsi="Times New Roman"/>
                <w:sz w:val="22"/>
              </w:rPr>
              <w:t>м³/ч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81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7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Расход газа при 100% нагрузке, </w:t>
            </w:r>
            <w:r>
              <w:rPr>
                <w:rFonts w:ascii="Times New Roman" w:hAnsi="Times New Roman"/>
                <w:sz w:val="22"/>
              </w:rPr>
              <w:t>м³/ч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98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9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Расход масла при 100% нагрузке, </w:t>
            </w:r>
            <w:r>
              <w:rPr>
                <w:rFonts w:ascii="Times New Roman" w:hAnsi="Times New Roman"/>
                <w:sz w:val="22"/>
              </w:rPr>
              <w:t>г/кВтч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A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0,3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B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Межсервисный интервал, </w:t>
            </w:r>
            <w:r>
              <w:rPr>
                <w:rFonts w:ascii="Times New Roman" w:hAnsi="Times New Roman"/>
                <w:sz w:val="22"/>
              </w:rPr>
              <w:t>м.ч.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C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750</w:t>
            </w:r>
          </w:p>
        </w:tc>
      </w:tr>
    </w:tbl>
    <w:p w14:paraId="2D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2"/>
        </w:rPr>
      </w:pPr>
    </w:p>
    <w:p w14:paraId="2E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b w:val="1"/>
          <w:sz w:val="22"/>
        </w:rPr>
        <w:t>Двигатель</w:t>
      </w:r>
    </w:p>
    <w:p w14:paraId="2F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6100"/>
        <w:gridCol w:w="4390"/>
      </w:tblGrid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1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Показатель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2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Модель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3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Baudouin (</w:t>
            </w:r>
            <w:r>
              <w:rPr>
                <w:rFonts w:ascii="Times New Roman" w:hAnsi="Times New Roman"/>
                <w:b w:val="1"/>
                <w:sz w:val="22"/>
              </w:rPr>
              <w:t>Weichai)</w:t>
            </w:r>
            <w:r>
              <w:rPr>
                <w:rFonts w:ascii="Times New Roman" w:hAnsi="Times New Roman"/>
                <w:b w:val="1"/>
                <w:sz w:val="22"/>
              </w:rPr>
              <w:t xml:space="preserve"> </w:t>
            </w:r>
            <w:r>
              <w:rPr>
                <w:rFonts w:ascii="Times New Roman" w:hAnsi="Times New Roman"/>
                <w:b w:val="1"/>
                <w:i w:val="0"/>
                <w:caps w:val="0"/>
                <w:color w:val="000000"/>
                <w:spacing w:val="0"/>
                <w:sz w:val="22"/>
                <w:highlight w:val="white"/>
              </w:rPr>
              <w:t>6M33G6N0/5</w:t>
            </w:r>
            <w:r>
              <w:rPr>
                <w:rFonts w:ascii="Times New Roman" w:hAnsi="Times New Roman"/>
                <w:b w:val="1"/>
                <w:sz w:val="22"/>
              </w:rPr>
              <w:t xml:space="preserve"> 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4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Регулятор оборотов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5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электронный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Вид топлива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7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Газ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8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Частота вращения вала двигателя, об/мин</w:t>
            </w:r>
          </w:p>
        </w:tc>
        <w:tc>
          <w:tcPr>
            <w:tcW w:type="dxa" w:w="43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9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1500</w:t>
            </w:r>
          </w:p>
        </w:tc>
      </w:tr>
    </w:tbl>
    <w:p w14:paraId="3A000000">
      <w:pPr>
        <w:widowControl w:val="1"/>
        <w:spacing w:after="0"/>
        <w:ind/>
        <w:rPr>
          <w:rFonts w:ascii="Times New Roman" w:hAnsi="Times New Roman"/>
          <w:b w:val="1"/>
          <w:sz w:val="22"/>
        </w:rPr>
      </w:pPr>
    </w:p>
    <w:p w14:paraId="3B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b w:val="1"/>
          <w:sz w:val="22"/>
        </w:rPr>
        <w:t>Генератор</w:t>
      </w:r>
    </w:p>
    <w:p w14:paraId="3C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6100"/>
        <w:gridCol w:w="4380"/>
      </w:tblGrid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D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E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Показатель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F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Тип Генератора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Синхронный, трехфазный, одноопорный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1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Марка генератора 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2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ENGGA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3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Номинальное напряжение, В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4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400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5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Род тока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Переменный, 3-фазный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7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Номинальный коэффициент мощности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0,8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9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Класс изоляции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A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B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Степень защиты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C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IP23</w:t>
            </w:r>
          </w:p>
        </w:tc>
      </w:tr>
      <w:tr>
        <w:tc>
          <w:tcPr>
            <w:tcW w:type="dxa" w:w="6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D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Регулятор напряжения (AVR)</w:t>
            </w:r>
          </w:p>
        </w:tc>
        <w:tc>
          <w:tcPr>
            <w:tcW w:type="dxa" w:w="43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E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Электронный, автоматический</w:t>
            </w:r>
          </w:p>
        </w:tc>
      </w:tr>
    </w:tbl>
    <w:p w14:paraId="4F000000">
      <w:pPr>
        <w:pStyle w:val="Style_1"/>
        <w:widowControl w:val="1"/>
        <w:tabs>
          <w:tab w:leader="none" w:pos="8340" w:val="left"/>
        </w:tabs>
        <w:ind/>
        <w:jc w:val="both"/>
        <w:rPr>
          <w:rFonts w:ascii="Times New Roman" w:hAnsi="Times New Roman"/>
          <w:sz w:val="24"/>
        </w:rPr>
      </w:pPr>
    </w:p>
    <w:p w14:paraId="50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p w14:paraId="51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p w14:paraId="52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644"/>
        <w:gridCol w:w="1740"/>
        <w:gridCol w:w="871"/>
        <w:gridCol w:w="1784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3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4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Оборудование</w:t>
            </w:r>
            <w:r>
              <w:rPr>
                <w:rFonts w:ascii="Times New Roman" w:hAnsi="Times New Roman"/>
                <w:b w:val="1"/>
                <w:sz w:val="24"/>
              </w:rPr>
              <w:t>, наименование товара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5000000">
            <w:pPr>
              <w:widowControl w:val="1"/>
              <w:spacing w:after="0" w:before="0" w:line="276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56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7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8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2465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9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A000000">
            <w:pPr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Энергокомплекс в виде блочно-модульного здания (БМЗ) состоящий из 3х блок-контейнеров </w:t>
            </w:r>
            <w:r>
              <w:rPr>
                <w:rFonts w:ascii="Times New Roman" w:hAnsi="Times New Roman"/>
                <w:sz w:val="24"/>
              </w:rPr>
              <w:t xml:space="preserve">«Север» </w:t>
            </w:r>
            <w:r>
              <w:rPr>
                <w:rFonts w:ascii="Times New Roman" w:hAnsi="Times New Roman"/>
                <w:b w:val="0"/>
                <w:sz w:val="24"/>
              </w:rPr>
              <w:t>БК-6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утепление 100мм </w:t>
            </w:r>
          </w:p>
          <w:p w14:paraId="5B000000">
            <w:pPr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Габаринтые размеры: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ДхШхВ (</w:t>
            </w:r>
            <w:r>
              <w:rPr>
                <w:rFonts w:ascii="Times New Roman" w:hAnsi="Times New Roman"/>
                <w:sz w:val="24"/>
              </w:rPr>
              <w:t xml:space="preserve">6000x2400x2600 мм) </w:t>
            </w:r>
          </w:p>
          <w:p w14:paraId="5C000000">
            <w:pPr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</w:t>
            </w:r>
            <w:r>
              <w:rPr>
                <w:rFonts w:ascii="Times New Roman" w:hAnsi="Times New Roman"/>
                <w:sz w:val="24"/>
              </w:rPr>
              <w:t xml:space="preserve">ыносной блок охлаждения (радиатор с </w:t>
            </w:r>
          </w:p>
          <w:p w14:paraId="5D000000">
            <w:pPr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электровентилятором)</w:t>
            </w:r>
          </w:p>
          <w:p w14:paraId="5E000000">
            <w:pPr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Габаринтые размеры </w:t>
            </w:r>
            <w:r>
              <w:rPr>
                <w:rFonts w:ascii="Times New Roman" w:hAnsi="Times New Roman"/>
                <w:b w:val="0"/>
                <w:sz w:val="24"/>
              </w:rPr>
              <w:t>БМЗ</w:t>
            </w:r>
            <w:r>
              <w:rPr>
                <w:rFonts w:ascii="Times New Roman" w:hAnsi="Times New Roman"/>
                <w:b w:val="0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ДхШхВ (</w:t>
            </w:r>
            <w:r>
              <w:rPr>
                <w:rFonts w:ascii="Times New Roman" w:hAnsi="Times New Roman"/>
                <w:sz w:val="24"/>
              </w:rPr>
              <w:t>6000x7200x2600 мм)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7 500 000,00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0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1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7 500 000,00</w:t>
            </w:r>
          </w:p>
        </w:tc>
      </w:tr>
      <w:tr>
        <w:trPr>
          <w:trHeight w:hRule="atLeast" w:val="2465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2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3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Газопоршневая электростанция Weichai WPG500B7NG номинальной мощностью 320 кВт/ 400 кВА </w:t>
            </w:r>
            <w:r>
              <w:rPr>
                <w:rFonts w:ascii="Times New Roman" w:hAnsi="Times New Roman"/>
                <w:b w:val="1"/>
                <w:sz w:val="24"/>
              </w:rPr>
              <w:t>в открытом исполнении</w:t>
            </w:r>
          </w:p>
          <w:p w14:paraId="64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Габаритные размеры: ДхШхВ (3600х1680х2120мм)</w:t>
            </w:r>
          </w:p>
          <w:p w14:paraId="65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Мощность при длительной нагрузке 320 кВт </w:t>
            </w:r>
          </w:p>
          <w:p w14:paraId="66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Двигатель Baudouin 6M33G6N0/5 </w:t>
            </w:r>
          </w:p>
          <w:p w14:paraId="67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Альтернатор </w:t>
            </w:r>
            <w:r>
              <w:rPr>
                <w:rFonts w:ascii="Times New Roman" w:hAnsi="Times New Roman"/>
                <w:sz w:val="24"/>
              </w:rPr>
              <w:t>ENGGA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68000000">
            <w:pPr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Панель управления </w:t>
            </w:r>
            <w:r>
              <w:rPr>
                <w:rFonts w:ascii="Times New Roman" w:hAnsi="Times New Roman"/>
                <w:color w:val="000000"/>
                <w:sz w:val="24"/>
              </w:rPr>
              <w:t>DSE8610 параллельная работа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9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8 000 000,00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A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B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24 000 000,00</w:t>
            </w:r>
          </w:p>
        </w:tc>
      </w:tr>
      <w:tr>
        <w:trPr>
          <w:trHeight w:hRule="atLeast" w:val="86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C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D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Шкаф сборных шин на три установки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E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1 400 000,00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F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0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1 400 000,00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1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2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Пусконаладочные работы </w:t>
            </w:r>
            <w:r>
              <w:rPr>
                <w:rFonts w:ascii="Times New Roman" w:hAnsi="Times New Roman"/>
                <w:sz w:val="24"/>
              </w:rPr>
              <w:t>(ПНР)*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3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4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5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</w:tr>
      <w:tr>
        <w:trPr>
          <w:trHeight w:hRule="atLeast" w:val="770"/>
        </w:trPr>
        <w:tc>
          <w:tcPr>
            <w:tcW w:type="dxa" w:w="609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6000000">
            <w:pPr>
              <w:widowControl w:val="0"/>
              <w:spacing w:after="0" w:before="0" w:line="240" w:lineRule="auto"/>
              <w:ind w:firstLine="397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Итого:</w:t>
            </w:r>
          </w:p>
        </w:tc>
        <w:tc>
          <w:tcPr>
            <w:tcW w:type="dxa" w:w="439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7000000">
            <w:pPr>
              <w:widowControl w:val="0"/>
              <w:spacing w:after="0" w:before="0" w:line="240" w:lineRule="auto"/>
              <w:ind w:firstLine="0" w:left="0" w:right="0"/>
              <w:jc w:val="righ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33 400 000,00</w:t>
            </w:r>
          </w:p>
        </w:tc>
      </w:tr>
    </w:tbl>
    <w:p w14:paraId="78000000">
      <w:pPr>
        <w:pStyle w:val="Style_1"/>
        <w:widowControl w:val="1"/>
        <w:tabs>
          <w:tab w:leader="none" w:pos="8340" w:val="left"/>
        </w:tabs>
        <w:ind/>
        <w:jc w:val="left"/>
        <w:rPr>
          <w:rFonts w:ascii="Times New Roman" w:hAnsi="Times New Roman"/>
          <w:b w:val="1"/>
          <w:sz w:val="22"/>
        </w:rPr>
      </w:pPr>
    </w:p>
    <w:p w14:paraId="79000000">
      <w:pPr>
        <w:pStyle w:val="Style_1"/>
        <w:widowControl w:val="1"/>
        <w:tabs>
          <w:tab w:leader="none" w:pos="8340" w:val="left"/>
        </w:tabs>
        <w:ind/>
        <w:jc w:val="left"/>
        <w:rPr>
          <w:rFonts w:ascii="Times New Roman" w:hAnsi="Times New Roman"/>
          <w:b w:val="0"/>
          <w:color w:val="000000"/>
          <w:sz w:val="24"/>
        </w:rPr>
      </w:pPr>
      <w:r>
        <w:rPr>
          <w:rFonts w:ascii="Times New Roman" w:hAnsi="Times New Roman"/>
          <w:b w:val="0"/>
          <w:color w:val="000000"/>
          <w:sz w:val="24"/>
        </w:rPr>
        <w:t>*С</w:t>
      </w:r>
      <w:r>
        <w:rPr>
          <w:rFonts w:ascii="Times New Roman" w:hAnsi="Times New Roman"/>
          <w:b w:val="0"/>
          <w:color w:val="000000"/>
          <w:sz w:val="24"/>
        </w:rPr>
        <w:t>тоимость ПНР включает первичную заправку техническими жидкостями</w:t>
      </w:r>
    </w:p>
    <w:p w14:paraId="7A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4"/>
        </w:rPr>
      </w:pPr>
    </w:p>
    <w:p w14:paraId="7B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Стоимость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7C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Цены указаны на условиях отгрузки оборудования со склада </w:t>
      </w:r>
      <w:r>
        <w:rPr>
          <w:rFonts w:ascii="Times New Roman" w:hAnsi="Times New Roman"/>
          <w:sz w:val="24"/>
        </w:rPr>
        <w:t>г. Барнаул с учетом</w:t>
      </w:r>
      <w:r>
        <w:rPr>
          <w:rFonts w:ascii="Times New Roman" w:hAnsi="Times New Roman"/>
          <w:sz w:val="24"/>
        </w:rPr>
        <w:t xml:space="preserve"> всех пошлин и налогов, в том числе НДС (20%).</w:t>
      </w:r>
    </w:p>
    <w:p w14:paraId="7D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</w:p>
    <w:p w14:paraId="7E000000">
      <w:pPr>
        <w:widowControl w:val="1"/>
        <w:spacing w:after="0"/>
        <w:ind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изготовления оборудования:</w:t>
      </w:r>
    </w:p>
    <w:p w14:paraId="7F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60-70 календарных дней;</w:t>
      </w:r>
    </w:p>
    <w:p w14:paraId="80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81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Условия платежа</w:t>
      </w:r>
      <w:r>
        <w:rPr>
          <w:rFonts w:ascii="Times New Roman" w:hAnsi="Times New Roman"/>
          <w:sz w:val="24"/>
        </w:rPr>
        <w:t>:</w:t>
      </w:r>
    </w:p>
    <w:p w14:paraId="82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Предоплата 70%; 30% </w:t>
      </w:r>
      <w:r>
        <w:rPr>
          <w:rFonts w:ascii="Times New Roman" w:hAnsi="Times New Roman"/>
          <w:sz w:val="24"/>
        </w:rPr>
        <w:t xml:space="preserve">по факту готовности к отгрузке </w:t>
      </w:r>
      <w:r>
        <w:rPr>
          <w:rFonts w:ascii="Times New Roman" w:hAnsi="Times New Roman"/>
          <w:sz w:val="24"/>
        </w:rPr>
        <w:t xml:space="preserve">со склада поставщика; </w:t>
      </w:r>
      <w:r>
        <w:rPr>
          <w:rFonts w:ascii="Times New Roman" w:hAnsi="Times New Roman"/>
          <w:sz w:val="24"/>
        </w:rPr>
        <w:t>либо оговаривается на момент заключения договора.</w:t>
      </w:r>
    </w:p>
    <w:p w14:paraId="83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</w:p>
    <w:p w14:paraId="84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Гарантия</w:t>
      </w:r>
      <w:r>
        <w:rPr>
          <w:rFonts w:ascii="Times New Roman" w:hAnsi="Times New Roman"/>
          <w:b w:val="1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85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 xml:space="preserve"> мес. либо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000 мото</w:t>
      </w:r>
      <w:r>
        <w:rPr>
          <w:rFonts w:ascii="Times New Roman" w:hAnsi="Times New Roman"/>
          <w:sz w:val="24"/>
        </w:rPr>
        <w:t>часов, в зависимости от того что наступит ранее</w:t>
      </w:r>
      <w:r>
        <w:rPr>
          <w:rFonts w:ascii="Times New Roman" w:hAnsi="Times New Roman"/>
          <w:sz w:val="24"/>
        </w:rPr>
        <w:t>.</w:t>
      </w:r>
    </w:p>
    <w:p w14:paraId="86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87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действия данного предложения:</w:t>
      </w:r>
    </w:p>
    <w:p w14:paraId="88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sz w:val="24"/>
        </w:rPr>
        <w:t xml:space="preserve">Данное </w:t>
      </w:r>
      <w:r>
        <w:rPr>
          <w:rFonts w:ascii="Times New Roman" w:hAnsi="Times New Roman"/>
          <w:sz w:val="24"/>
        </w:rPr>
        <w:t>предложение действительно до «30</w:t>
      </w:r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Ноября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г.</w:t>
      </w:r>
    </w:p>
    <w:p w14:paraId="89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</w:p>
    <w:p w14:paraId="8A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</w:p>
    <w:p w14:paraId="8B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</w:p>
    <w:p w14:paraId="8C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</w:p>
    <w:p w14:paraId="8D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</w:p>
    <w:p w14:paraId="8E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b w:val="1"/>
          <w:sz w:val="22"/>
        </w:rPr>
        <w:t>СОСТАВ ОБОРУДОВАНИЯ</w:t>
      </w:r>
    </w:p>
    <w:tbl>
      <w:tblPr>
        <w:tblStyle w:val="Style_2"/>
        <w:tblW w:type="auto" w:w="0"/>
        <w:tblInd w:type="dxa" w:w="-38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0489"/>
      </w:tblGrid>
      <w:tr>
        <w:trPr>
          <w:trHeight w:hRule="atLeast" w:val="470"/>
        </w:trP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F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Наименование</w:t>
            </w:r>
            <w:r>
              <w:rPr>
                <w:rFonts w:ascii="Times New Roman" w:hAnsi="Times New Roman"/>
                <w:b w:val="1"/>
                <w:sz w:val="22"/>
              </w:rPr>
              <w:t xml:space="preserve"> </w:t>
            </w:r>
            <w:r>
              <w:rPr>
                <w:rFonts w:ascii="Times New Roman" w:hAnsi="Times New Roman"/>
                <w:b w:val="1"/>
                <w:sz w:val="22"/>
              </w:rPr>
              <w:t>установленного</w:t>
            </w:r>
            <w:r>
              <w:rPr>
                <w:rFonts w:ascii="Times New Roman" w:hAnsi="Times New Roman"/>
                <w:b w:val="1"/>
                <w:sz w:val="22"/>
              </w:rPr>
              <w:t xml:space="preserve"> </w:t>
            </w:r>
            <w:r>
              <w:rPr>
                <w:rFonts w:ascii="Times New Roman" w:hAnsi="Times New Roman"/>
                <w:b w:val="1"/>
                <w:sz w:val="22"/>
              </w:rPr>
              <w:t>оборудования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0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Ц</w:t>
            </w:r>
            <w:r>
              <w:rPr>
                <w:rFonts w:ascii="Times New Roman" w:hAnsi="Times New Roman"/>
                <w:sz w:val="22"/>
              </w:rPr>
              <w:t>ельносварной утепленный блок-контейнер</w:t>
            </w:r>
            <w:r>
              <w:rPr>
                <w:rFonts w:ascii="Times New Roman" w:hAnsi="Times New Roman"/>
                <w:sz w:val="22"/>
              </w:rPr>
              <w:t xml:space="preserve"> «Север»</w:t>
            </w:r>
            <w:r>
              <w:rPr>
                <w:rFonts w:ascii="Times New Roman" w:hAnsi="Times New Roman"/>
                <w:sz w:val="22"/>
              </w:rPr>
              <w:t xml:space="preserve"> БК-6</w:t>
            </w:r>
            <w:r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rFonts w:ascii="Times New Roman" w:hAnsi="Times New Roman"/>
                <w:sz w:val="22"/>
              </w:rPr>
              <w:t>ДхШхВ 6</w:t>
            </w:r>
            <w:r>
              <w:rPr>
                <w:rFonts w:ascii="Times New Roman" w:hAnsi="Times New Roman"/>
                <w:sz w:val="22"/>
              </w:rPr>
              <w:t>000х2400х2600мм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  <w:p w14:paraId="91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Наружная обшивка выполнена из металлического профилированного листа толщиной 1,5мм. Внутренняя обшивка из профилированного листа толщиной 0,8мм. Толщина утепления не менее 100мм. (исполнение по сейсмостойкости 9 балов, степень огнестойкости блок контейнера – II, класс конструктивно пожарной опасности – С0)</w:t>
            </w:r>
          </w:p>
          <w:p w14:paraId="92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Условия эксплуатации -50 +40С</w:t>
            </w:r>
          </w:p>
          <w:p w14:paraId="93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Двери - утеплённые, противопожарные, с доводчиком.</w:t>
            </w:r>
          </w:p>
          <w:p w14:paraId="94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Окраска БК в корпоративный цвет Заказчика. </w:t>
            </w:r>
          </w:p>
          <w:p w14:paraId="95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Контейнер оборудован всеми инженерными системами.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6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ГПУ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7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Выносной блок охлаждения ГПУ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8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Шкаф управления </w:t>
            </w:r>
            <w:r>
              <w:rPr>
                <w:rFonts w:ascii="Times New Roman" w:hAnsi="Times New Roman"/>
                <w:sz w:val="22"/>
              </w:rPr>
              <w:t>ГП</w:t>
            </w:r>
            <w:r>
              <w:rPr>
                <w:rFonts w:ascii="Times New Roman" w:hAnsi="Times New Roman"/>
                <w:sz w:val="22"/>
              </w:rPr>
              <w:t xml:space="preserve">У контроллер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9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Щит собственных нужд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A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Подогреватель охлаждающей жидкости электрический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B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Зарядное устройство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C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Комплект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D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Система </w:t>
            </w:r>
            <w:r>
              <w:rPr>
                <w:rFonts w:ascii="Times New Roman" w:hAnsi="Times New Roman"/>
                <w:sz w:val="22"/>
              </w:rPr>
              <w:t>газовыхлопа</w:t>
            </w:r>
            <w:r>
              <w:rPr>
                <w:rFonts w:ascii="Times New Roman" w:hAnsi="Times New Roman"/>
                <w:sz w:val="22"/>
              </w:rPr>
              <w:t xml:space="preserve"> с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глушителем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E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Настенные электроконвекторы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F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Унифицированные воздушные клапана с электроприводом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0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Система освещения основное, аварийное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1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Автоматическая установка аэрозольного или порошкового пожаротушения и пожарной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2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Система газовой безопасности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3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Система принудительной вентиляции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4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Установка охранной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5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Огнетушители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6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Комплект эксплуатационной документации</w:t>
            </w:r>
          </w:p>
        </w:tc>
      </w:tr>
    </w:tbl>
    <w:p w14:paraId="A7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sz w:val="24"/>
        </w:rPr>
      </w:pPr>
    </w:p>
    <w:p w14:paraId="A8000000">
      <w:pPr>
        <w:widowControl w:val="1"/>
        <w:spacing w:after="0" w:line="276" w:lineRule="auto"/>
        <w:ind/>
        <w:jc w:val="center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b w:val="1"/>
          <w:sz w:val="22"/>
        </w:rPr>
        <w:t>Блок контейнер «Север»</w:t>
      </w:r>
    </w:p>
    <w:p w14:paraId="A9000000">
      <w:pPr>
        <w:widowControl w:val="1"/>
        <w:spacing w:after="0" w:line="276" w:lineRule="auto"/>
        <w:ind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Основные конструктивные решения:</w:t>
      </w:r>
    </w:p>
    <w:p w14:paraId="AA000000">
      <w:pPr>
        <w:widowControl w:val="1"/>
        <w:spacing w:after="0" w:line="276" w:lineRule="auto"/>
        <w:ind/>
        <w:jc w:val="center"/>
        <w:rPr>
          <w:rFonts w:ascii="Times New Roman" w:hAnsi="Times New Roman"/>
          <w:sz w:val="22"/>
        </w:rPr>
      </w:pPr>
    </w:p>
    <w:p w14:paraId="AB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Основным несущим элементом контейнера является каркас, изготовленный из сварных гнутых профилей из стали 4-6 мм. Оборудован угловыми фитингами по верхнему и нижнему поясам. В контейнере установлены закладные элементы для крепления оборудования.</w:t>
      </w:r>
    </w:p>
    <w:p w14:paraId="AC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Кровля - цельносварная металлическая конструкция из гнутых металлических профилей. Усилена поперечными ребрами жесткости, изготовленными из сварных металлических профилей, толщина стали 4 мм. Верхний слой секции кровли - металлический лист толщиной 2 мм. Толщина слоя утеплителя 100 мм, Теплопроводность - 0,037, </w:t>
      </w:r>
      <w:r>
        <w:rPr>
          <w:rFonts w:ascii="Times New Roman" w:hAnsi="Times New Roman"/>
          <w:sz w:val="22"/>
        </w:rPr>
        <w:t>Водопоглащение</w:t>
      </w:r>
      <w:r>
        <w:rPr>
          <w:rFonts w:ascii="Times New Roman" w:hAnsi="Times New Roman"/>
          <w:sz w:val="22"/>
        </w:rPr>
        <w:t xml:space="preserve"> % не более – 1, Влажность по массе, % не </w:t>
      </w:r>
      <w:r>
        <w:rPr>
          <w:rFonts w:ascii="Times New Roman" w:hAnsi="Times New Roman"/>
          <w:sz w:val="22"/>
        </w:rPr>
        <w:t>бoлee</w:t>
      </w:r>
      <w:r>
        <w:rPr>
          <w:rFonts w:ascii="Times New Roman" w:hAnsi="Times New Roman"/>
          <w:sz w:val="22"/>
        </w:rPr>
        <w:t xml:space="preserve"> - 1) Между слоями утеплителя и металлическим листом прокладывается пароизоляция, облицована металлическим полимерным листом толщиной 0.55 мм.</w:t>
      </w:r>
    </w:p>
    <w:p w14:paraId="AD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В моторном отсеке с торца организован монтажный люк, для возможности демонтажа агрегата.</w:t>
      </w:r>
    </w:p>
    <w:p w14:paraId="AE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Пол - цельносварная металлическая конструкция из швеллера 12У СТ. 3СП/3ПС по ГОСТ 8240-97. Усилен продольными и поперечными ребрами жесткости, изготовленными из сварных металлических профилей, толщина стали 4 мм. Снизу секция пола подшита металлическим листом толщиной 1,5 мм. Слой утеплителя 100-120 мм. Покрытие пола – лист рифленый 4 мм чечевица ГОСТ 8568-77. В полу размещены закладные элементы под ГПУ. Стены сварены из профилированного металлического листа толщиной 1,5 мм, внутри отделаны полимерным железом С8. Утеплен 150мм негорючей мин плитой ПТЭ-150</w:t>
      </w:r>
    </w:p>
    <w:p w14:paraId="AF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Для слива разлившейся жидкости и конденсата в полу предусмотре</w:t>
      </w:r>
      <w:r>
        <w:rPr>
          <w:rFonts w:ascii="Times New Roman" w:hAnsi="Times New Roman"/>
          <w:sz w:val="22"/>
        </w:rPr>
        <w:t>н</w:t>
      </w:r>
      <w:r>
        <w:rPr>
          <w:rFonts w:ascii="Times New Roman" w:hAnsi="Times New Roman"/>
          <w:sz w:val="22"/>
        </w:rPr>
        <w:t xml:space="preserve"> сливной желоб со сливными отверстиями.</w:t>
      </w:r>
    </w:p>
    <w:p w14:paraId="B0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Двери - утеплённые, противопожарные, не отжимной конструкции. Служит для входа обслуживающего персонала в блок-контейнер.</w:t>
      </w:r>
    </w:p>
    <w:p w14:paraId="B1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Конструкция выполнена без использования горючих материалов (дерево, горючая теплоизоляция). Обеспечивается выполнение необходимых требований, предъявляемых к II степени огнестойкости.</w:t>
      </w:r>
    </w:p>
    <w:p w14:paraId="B2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Система </w:t>
      </w:r>
      <w:r>
        <w:rPr>
          <w:rFonts w:ascii="Times New Roman" w:hAnsi="Times New Roman"/>
          <w:sz w:val="22"/>
        </w:rPr>
        <w:t>газовыхлопа</w:t>
      </w:r>
      <w:r>
        <w:rPr>
          <w:rFonts w:ascii="Times New Roman" w:hAnsi="Times New Roman"/>
          <w:sz w:val="22"/>
        </w:rPr>
        <w:t xml:space="preserve"> оборудована газовыхлопным трубопроводом двигателя и глушителем с сильфонным компенсатором, смонтированным вне контейнера. Выхлопной трубопровод двигателя полностью </w:t>
      </w:r>
      <w:r>
        <w:rPr>
          <w:rFonts w:ascii="Times New Roman" w:hAnsi="Times New Roman"/>
          <w:sz w:val="22"/>
        </w:rPr>
        <w:t>теплоизолирован</w:t>
      </w:r>
      <w:r>
        <w:rPr>
          <w:rFonts w:ascii="Times New Roman" w:hAnsi="Times New Roman"/>
          <w:sz w:val="22"/>
        </w:rPr>
        <w:t xml:space="preserve">. </w:t>
      </w:r>
    </w:p>
    <w:p w14:paraId="B3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Система освещения состоит из: светильников основного освещения 220В светодиодного типа, аварийного 24В (220В аккумуляторные) и ремонтного 24В.</w:t>
      </w:r>
    </w:p>
    <w:p w14:paraId="B4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Система оперативного пожаротушения, состоящая из одного-двух углекислотных огнетушителей ОУ-2, расположенных внутри контейнера рядом с входной дверью и предназначенных для ликвидации локальных очагов возгорания.</w:t>
      </w:r>
    </w:p>
    <w:p w14:paraId="B5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Вентиляционные проёмы содержат антивандальную </w:t>
      </w:r>
      <w:r>
        <w:rPr>
          <w:rFonts w:ascii="Times New Roman" w:hAnsi="Times New Roman"/>
          <w:sz w:val="22"/>
        </w:rPr>
        <w:t>решётку .</w:t>
      </w:r>
    </w:p>
    <w:p w14:paraId="B6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Щит собственных нужд</w:t>
      </w:r>
    </w:p>
    <w:p w14:paraId="B7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Состав: </w:t>
      </w:r>
      <w:r>
        <w:rPr>
          <w:rFonts w:ascii="Times New Roman" w:hAnsi="Times New Roman"/>
          <w:sz w:val="22"/>
        </w:rPr>
        <w:t xml:space="preserve">автоматические выключатели защиты цепей собственных нужд, трансформатор 220/24В, контакторы и реле систем вспомогательной автоматики. На лицевой панели щита установлены светодиоды, сигнализирующие о работе вспомогательных систем модуля. </w:t>
      </w:r>
    </w:p>
    <w:p w14:paraId="B8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Питание потребителей собственных нужд осуществляется от щита ЩСН:</w:t>
      </w:r>
    </w:p>
    <w:p w14:paraId="B9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панели управления ГПУ;</w:t>
      </w:r>
    </w:p>
    <w:p w14:paraId="BA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сети основного </w:t>
      </w:r>
      <w:r>
        <w:rPr>
          <w:rFonts w:ascii="Times New Roman" w:hAnsi="Times New Roman"/>
          <w:sz w:val="22"/>
        </w:rPr>
        <w:t>освещения  (</w:t>
      </w:r>
      <w:r>
        <w:rPr>
          <w:rFonts w:ascii="Times New Roman" w:hAnsi="Times New Roman"/>
          <w:sz w:val="22"/>
        </w:rPr>
        <w:t>~220В) выполнить кабелем Тип ВВГнг(А)-LS-3х1,5мм2 ;</w:t>
      </w:r>
    </w:p>
    <w:p w14:paraId="BB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сети аварийного освещения (=24В) выполнить кабелем Тип ВВГнг(А)-LS-3х1,5мм2; </w:t>
      </w:r>
    </w:p>
    <w:p w14:paraId="BC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розетка  (</w:t>
      </w:r>
      <w:r>
        <w:rPr>
          <w:rFonts w:ascii="Times New Roman" w:hAnsi="Times New Roman"/>
          <w:sz w:val="22"/>
        </w:rPr>
        <w:t>=24 В) выполнить кабелем Тип ВВГнг(А)-LS-3х2,5мм2;</w:t>
      </w:r>
    </w:p>
    <w:p w14:paraId="BD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-      питание розеточной сети (~220В) выполнить кабелем Тип ВВГнг(А)-LS-3х2,5мм2;  </w:t>
      </w:r>
    </w:p>
    <w:p w14:paraId="BE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электроприводов воздушных клапанов УВК с возвратной пружиной (~220В или 24В);</w:t>
      </w:r>
    </w:p>
    <w:p w14:paraId="BF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электрическ</w:t>
      </w:r>
      <w:r>
        <w:rPr>
          <w:rFonts w:ascii="Times New Roman" w:hAnsi="Times New Roman"/>
          <w:sz w:val="22"/>
        </w:rPr>
        <w:t>их</w:t>
      </w:r>
      <w:r>
        <w:rPr>
          <w:rFonts w:ascii="Times New Roman" w:hAnsi="Times New Roman"/>
          <w:sz w:val="22"/>
        </w:rPr>
        <w:t xml:space="preserve"> радиатор</w:t>
      </w:r>
      <w:r>
        <w:rPr>
          <w:rFonts w:ascii="Times New Roman" w:hAnsi="Times New Roman"/>
          <w:sz w:val="22"/>
        </w:rPr>
        <w:t>ов</w:t>
      </w:r>
      <w:r>
        <w:rPr>
          <w:rFonts w:ascii="Times New Roman" w:hAnsi="Times New Roman"/>
          <w:sz w:val="22"/>
        </w:rPr>
        <w:t xml:space="preserve"> мощностью. (~220В);</w:t>
      </w:r>
    </w:p>
    <w:p w14:paraId="C0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автоматической установки пожаротушения;</w:t>
      </w:r>
    </w:p>
    <w:p w14:paraId="C1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автоматической с</w:t>
      </w:r>
      <w:r>
        <w:rPr>
          <w:rFonts w:ascii="Times New Roman" w:hAnsi="Times New Roman"/>
          <w:sz w:val="22"/>
        </w:rPr>
        <w:t>истемой газовой безопасности</w:t>
      </w:r>
      <w:r>
        <w:rPr>
          <w:rFonts w:ascii="Times New Roman" w:hAnsi="Times New Roman"/>
          <w:sz w:val="22"/>
        </w:rPr>
        <w:t>;</w:t>
      </w:r>
    </w:p>
    <w:p w14:paraId="C2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      охранной сигнализации с выдачей сигнала;</w:t>
      </w:r>
    </w:p>
    <w:p w14:paraId="C3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Видимый контур заземления по периметру ко</w:t>
      </w:r>
      <w:r>
        <w:rPr>
          <w:rFonts w:ascii="Times New Roman" w:hAnsi="Times New Roman"/>
          <w:sz w:val="22"/>
        </w:rPr>
        <w:t>нтейнера, болтовой подключение внешнего контура заземления, заземление открывающихся элементов, предупредительные надписи.</w:t>
      </w:r>
    </w:p>
    <w:p w14:paraId="C4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Система пожарно-охранной сигнализации подключается к системе аварийной сигнализации и защиты Электроагрегата. При превышении те</w:t>
      </w:r>
      <w:r>
        <w:rPr>
          <w:rFonts w:ascii="Times New Roman" w:hAnsi="Times New Roman"/>
          <w:sz w:val="22"/>
        </w:rPr>
        <w:t>мпературы либо задымленности в контейнере выше допустимой выдается сигнал на останов Электроагрегата с отключением нагрузки и на аварийную световую и звуковую сигнализацию, расположенные снаружи контейнера.  Система автоматического пожаротушения.</w:t>
      </w:r>
    </w:p>
    <w:p w14:paraId="C5000000">
      <w:pPr>
        <w:widowControl w:val="1"/>
        <w:spacing w:after="0" w:line="276" w:lineRule="auto"/>
        <w:ind/>
        <w:jc w:val="both"/>
        <w:rPr>
          <w:rFonts w:ascii="Times New Roman" w:hAnsi="Times New Roman"/>
          <w:b w:val="0"/>
          <w:color w:val="000000"/>
          <w:sz w:val="22"/>
        </w:rPr>
      </w:pPr>
      <w:r>
        <w:rPr>
          <w:rFonts w:ascii="Times New Roman" w:hAnsi="Times New Roman"/>
          <w:b w:val="0"/>
          <w:color w:val="000000"/>
          <w:sz w:val="22"/>
        </w:rPr>
        <w:t xml:space="preserve">Система газовой безопасности включает в себя установку датчиков загазованности, система контроля с выводом аварийного сигнала и оповещателем выдает команду на включение аварийной вентиляции при достижении уровня загазованности CH4 </w:t>
      </w:r>
      <w:r>
        <w:rPr>
          <w:rFonts w:ascii="Times New Roman" w:hAnsi="Times New Roman"/>
          <w:b w:val="0"/>
          <w:color w:val="000000"/>
          <w:sz w:val="22"/>
        </w:rPr>
        <w:t>10% НКПР и аварийного останова ГПУ.</w:t>
      </w:r>
      <w:r>
        <w:rPr>
          <w:rFonts w:ascii="Times New Roman" w:hAnsi="Times New Roman"/>
          <w:b w:val="0"/>
          <w:color w:val="000000"/>
          <w:sz w:val="22"/>
        </w:rPr>
        <w:t xml:space="preserve"> </w:t>
      </w:r>
    </w:p>
    <w:p w14:paraId="C6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Система внутреннего обогрева представлена в виде электроконвекторов. </w:t>
      </w:r>
      <w:r>
        <w:rPr>
          <w:rFonts w:ascii="Times New Roman" w:hAnsi="Times New Roman"/>
          <w:sz w:val="22"/>
        </w:rPr>
        <w:t>Теплоконвекторы</w:t>
      </w:r>
      <w:r>
        <w:rPr>
          <w:rFonts w:ascii="Times New Roman" w:hAnsi="Times New Roman"/>
          <w:sz w:val="22"/>
        </w:rPr>
        <w:t xml:space="preserve"> управляются Терморегулятор, настроенным на температуру +15°С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(изменяемая уставка). При температуре воздуха ниже уставки температурного датчика </w:t>
      </w:r>
      <w:r>
        <w:rPr>
          <w:rFonts w:ascii="Times New Roman" w:hAnsi="Times New Roman"/>
          <w:sz w:val="22"/>
        </w:rPr>
        <w:t>на конвектора</w:t>
      </w:r>
      <w:r>
        <w:rPr>
          <w:rFonts w:ascii="Times New Roman" w:hAnsi="Times New Roman"/>
          <w:sz w:val="22"/>
        </w:rPr>
        <w:t xml:space="preserve"> подается питание 230В переменного тока. В автоматическом режиме работы конвектора выключаются при запуске ГПУ.</w:t>
      </w:r>
    </w:p>
    <w:p w14:paraId="C7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Система </w:t>
      </w:r>
      <w:r>
        <w:rPr>
          <w:rFonts w:ascii="Times New Roman" w:hAnsi="Times New Roman"/>
          <w:sz w:val="22"/>
        </w:rPr>
        <w:t>воздухозабора</w:t>
      </w:r>
      <w:r>
        <w:rPr>
          <w:rFonts w:ascii="Times New Roman" w:hAnsi="Times New Roman"/>
          <w:sz w:val="22"/>
        </w:rPr>
        <w:t xml:space="preserve"> и автоматической вентиляции, обеспечивается впускными и выпускным клапанами. Клапаны воздушные утепленные (КВУ) оснащаются электрическим приводом. Конструкция клапана КВУ: клапан состоит из корпуса с присоединительными фланцами, выполненного из </w:t>
      </w:r>
      <w:r>
        <w:rPr>
          <w:rFonts w:ascii="Times New Roman" w:hAnsi="Times New Roman"/>
          <w:sz w:val="22"/>
        </w:rPr>
        <w:t xml:space="preserve">оцинкованной 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(</w:t>
      </w:r>
      <w:r>
        <w:rPr>
          <w:rFonts w:ascii="Times New Roman" w:hAnsi="Times New Roman"/>
          <w:sz w:val="22"/>
        </w:rPr>
        <w:t xml:space="preserve">Алюминий) стали, лопаток поворотного типа – выполненных из усиленного алюминиевого профиля, закрепленных в подшипниках скольжения, системы рычагов и тяг, и привода (электрического или ручного). </w:t>
      </w:r>
    </w:p>
    <w:p w14:paraId="C8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Условия эксплуатации: клапаны предназначены для использования в системах с разностью давлений до 1830 Па.</w:t>
      </w:r>
    </w:p>
    <w:p w14:paraId="C9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Вид климатического исполнения – УХЛ(ХЛ), категории размещения 1, 2 или 3 по ГОСТ 15150-69.</w:t>
      </w:r>
    </w:p>
    <w:p w14:paraId="CA000000">
      <w:pPr>
        <w:pStyle w:val="Style_1"/>
        <w:widowControl w:val="1"/>
        <w:tabs>
          <w:tab w:leader="none" w:pos="8340" w:val="left"/>
        </w:tabs>
        <w:spacing w:line="276" w:lineRule="auto"/>
        <w:ind/>
        <w:jc w:val="both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sz w:val="22"/>
        </w:rPr>
        <w:t xml:space="preserve">Степень огнестойкости контейнера </w:t>
      </w:r>
      <w:r>
        <w:rPr>
          <w:rFonts w:ascii="Times New Roman" w:hAnsi="Times New Roman"/>
          <w:sz w:val="22"/>
        </w:rPr>
        <w:t>II.</w:t>
      </w:r>
    </w:p>
    <w:p w14:paraId="CB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p w14:paraId="C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C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CE000000">
      <w:p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С уважением, </w:t>
      </w:r>
    </w:p>
    <w:p w14:paraId="CF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 xml:space="preserve">Генеральный </w:t>
      </w:r>
      <w:r>
        <w:rPr>
          <w:rFonts w:ascii="Times New Roman" w:hAnsi="Times New Roman"/>
          <w:b w:val="1"/>
          <w:sz w:val="24"/>
        </w:rPr>
        <w:t xml:space="preserve">директор  </w:t>
      </w:r>
      <w:r>
        <w:rPr>
          <w:rFonts w:ascii="Times New Roman" w:hAnsi="Times New Roman"/>
          <w:b w:val="1"/>
          <w:sz w:val="24"/>
        </w:rPr>
        <w:t>ООО «АлтайДизельМаш»</w:t>
      </w:r>
      <w:r>
        <w:rPr>
          <w:rFonts w:ascii="Times New Roman" w:hAnsi="Times New Roman"/>
          <w:b w:val="1"/>
          <w:sz w:val="24"/>
        </w:rPr>
        <w:t xml:space="preserve">                                           </w:t>
      </w:r>
      <w:r>
        <w:rPr>
          <w:rFonts w:ascii="Times New Roman" w:hAnsi="Times New Roman"/>
          <w:b w:val="1"/>
          <w:sz w:val="24"/>
        </w:rPr>
        <w:t xml:space="preserve">             </w:t>
      </w:r>
      <w:r>
        <w:rPr>
          <w:rFonts w:ascii="Times New Roman" w:hAnsi="Times New Roman"/>
          <w:b w:val="1"/>
          <w:sz w:val="24"/>
        </w:rPr>
        <w:t>Зубков М. В.</w:t>
      </w:r>
      <w:r>
        <w:rPr>
          <w:rFonts w:ascii="Times New Roman" w:hAnsi="Times New Roman"/>
          <w:b w:val="1"/>
          <w:sz w:val="24"/>
        </w:rPr>
        <w:t xml:space="preserve"> </w:t>
      </w:r>
    </w:p>
    <w:sectPr>
      <w:pgSz w:h="16838" w:orient="portrait" w:w="11906"/>
      <w:pgMar w:bottom="851" w:footer="0" w:gutter="0" w:header="0" w:left="851" w:right="566" w:top="42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4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pPr>
      <w:widowControl w:val="1"/>
      <w:spacing w:after="160" w:line="259" w:lineRule="auto"/>
      <w:ind/>
    </w:pPr>
    <w:rPr>
      <w:rFonts w:ascii="Calibri" w:hAnsi="Calibri"/>
      <w:sz w:val="22"/>
    </w:rPr>
  </w:style>
  <w:style w:default="1" w:styleId="Style_4_ch" w:type="character">
    <w:name w:val="Normal"/>
    <w:link w:val="Style_4"/>
    <w:rPr>
      <w:rFonts w:ascii="Calibri" w:hAnsi="Calibri"/>
      <w:sz w:val="22"/>
    </w:rPr>
  </w:style>
  <w:style w:styleId="Style_5" w:type="paragraph">
    <w:name w:val="toc 2"/>
    <w:next w:val="Style_4"/>
    <w:link w:val="Style_5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Блочная цитата"/>
    <w:basedOn w:val="Style_4"/>
    <w:link w:val="Style_6_ch"/>
    <w:pPr>
      <w:widowControl w:val="1"/>
      <w:spacing w:after="283"/>
      <w:ind w:left="567" w:right="567"/>
    </w:pPr>
  </w:style>
  <w:style w:styleId="Style_6_ch" w:type="character">
    <w:name w:val="Блочная цитата"/>
    <w:basedOn w:val="Style_4_ch"/>
    <w:link w:val="Style_6"/>
  </w:style>
  <w:style w:styleId="Style_7" w:type="paragraph">
    <w:name w:val="toc 4"/>
    <w:next w:val="Style_4"/>
    <w:link w:val="Style_7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ConsPlusNormal"/>
    <w:link w:val="Style_8_ch"/>
    <w:pPr>
      <w:widowControl w:val="0"/>
      <w:ind/>
    </w:pPr>
    <w:rPr>
      <w:rFonts w:ascii="Calibri" w:hAnsi="Calibri"/>
      <w:sz w:val="22"/>
    </w:rPr>
  </w:style>
  <w:style w:styleId="Style_8_ch" w:type="character">
    <w:name w:val="ConsPlusNormal"/>
    <w:link w:val="Style_8"/>
    <w:rPr>
      <w:rFonts w:ascii="Calibri" w:hAnsi="Calibri"/>
      <w:sz w:val="22"/>
    </w:rPr>
  </w:style>
  <w:style w:styleId="Style_9" w:type="paragraph">
    <w:name w:val="Обычный1"/>
    <w:basedOn w:val="Style_4"/>
    <w:link w:val="Style_9_ch"/>
    <w:pPr>
      <w:widowControl w:val="0"/>
      <w:spacing w:after="0" w:line="240" w:lineRule="auto"/>
      <w:ind w:firstLine="320"/>
      <w:jc w:val="both"/>
    </w:pPr>
    <w:rPr>
      <w:rFonts w:ascii="Times New Roman" w:hAnsi="Times New Roman"/>
      <w:sz w:val="20"/>
    </w:rPr>
  </w:style>
  <w:style w:styleId="Style_9_ch" w:type="character">
    <w:name w:val="Обычный1"/>
    <w:basedOn w:val="Style_4_ch"/>
    <w:link w:val="Style_9"/>
    <w:rPr>
      <w:rFonts w:ascii="Times New Roman" w:hAnsi="Times New Roman"/>
      <w:sz w:val="20"/>
    </w:rPr>
  </w:style>
  <w:style w:styleId="Style_10" w:type="paragraph">
    <w:name w:val="toc 6"/>
    <w:next w:val="Style_4"/>
    <w:link w:val="Style_10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4"/>
    <w:link w:val="Style_11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Верхний и нижний колонтитулы"/>
    <w:basedOn w:val="Style_4"/>
    <w:link w:val="Style_12_ch"/>
    <w:pPr>
      <w:widowControl w:val="1"/>
      <w:tabs>
        <w:tab w:leader="none" w:pos="5102" w:val="center"/>
        <w:tab w:leader="none" w:pos="10205" w:val="right"/>
      </w:tabs>
      <w:ind/>
    </w:pPr>
  </w:style>
  <w:style w:styleId="Style_12_ch" w:type="character">
    <w:name w:val="Верхний и нижний колонтитулы"/>
    <w:basedOn w:val="Style_4_ch"/>
    <w:link w:val="Style_12"/>
  </w:style>
  <w:style w:styleId="Style_13" w:type="paragraph">
    <w:name w:val="Endnote"/>
    <w:link w:val="Style_13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basedOn w:val="Style_4"/>
    <w:next w:val="Style_4"/>
    <w:link w:val="Style_14_ch"/>
    <w:uiPriority w:val="9"/>
    <w:qFormat/>
    <w:pPr>
      <w:widowControl w:val="0"/>
      <w:spacing w:after="60" w:before="240" w:line="240" w:lineRule="auto"/>
      <w:ind/>
      <w:jc w:val="center"/>
      <w:outlineLvl w:val="2"/>
    </w:pPr>
    <w:rPr>
      <w:rFonts w:ascii="Arial" w:hAnsi="Arial"/>
      <w:b w:val="1"/>
      <w:sz w:val="20"/>
    </w:rPr>
  </w:style>
  <w:style w:styleId="Style_14_ch" w:type="character">
    <w:name w:val="heading 3"/>
    <w:basedOn w:val="Style_4_ch"/>
    <w:link w:val="Style_14"/>
    <w:rPr>
      <w:rFonts w:ascii="Arial" w:hAnsi="Arial"/>
      <w:b w:val="1"/>
      <w:sz w:val="20"/>
    </w:rPr>
  </w:style>
  <w:style w:styleId="Style_15" w:type="paragraph">
    <w:name w:val="Emphasis"/>
    <w:link w:val="Style_15_ch"/>
    <w:rPr>
      <w:i w:val="1"/>
    </w:rPr>
  </w:style>
  <w:style w:styleId="Style_15_ch" w:type="character">
    <w:name w:val="Emphasis"/>
    <w:link w:val="Style_15"/>
    <w:rPr>
      <w:i w:val="1"/>
    </w:rPr>
  </w:style>
  <w:style w:styleId="Style_16" w:type="paragraph">
    <w:name w:val="Заголовок таблицы"/>
    <w:basedOn w:val="Style_17"/>
    <w:link w:val="Style_16_ch"/>
    <w:pPr>
      <w:widowControl w:val="1"/>
      <w:ind/>
      <w:jc w:val="center"/>
    </w:pPr>
    <w:rPr>
      <w:b w:val="1"/>
    </w:rPr>
  </w:style>
  <w:style w:styleId="Style_16_ch" w:type="character">
    <w:name w:val="Заголовок таблицы"/>
    <w:basedOn w:val="Style_17_ch"/>
    <w:link w:val="Style_16"/>
    <w:rPr>
      <w:b w:val="1"/>
    </w:rPr>
  </w:style>
  <w:style w:styleId="Style_18" w:type="paragraph">
    <w:name w:val="Текст выноски Знак"/>
    <w:basedOn w:val="Style_19"/>
    <w:link w:val="Style_18_ch"/>
    <w:rPr>
      <w:rFonts w:ascii="Segoe UI" w:hAnsi="Segoe UI"/>
      <w:sz w:val="18"/>
    </w:rPr>
  </w:style>
  <w:style w:styleId="Style_18_ch" w:type="character">
    <w:name w:val="Текст выноски Знак"/>
    <w:basedOn w:val="Style_19_ch"/>
    <w:link w:val="Style_18"/>
    <w:rPr>
      <w:rFonts w:ascii="Segoe UI" w:hAnsi="Segoe UI"/>
      <w:sz w:val="18"/>
    </w:rPr>
  </w:style>
  <w:style w:styleId="Style_20" w:type="paragraph">
    <w:name w:val="caption"/>
    <w:basedOn w:val="Style_4"/>
    <w:link w:val="Style_20_ch"/>
    <w:pPr>
      <w:widowControl w:val="1"/>
      <w:spacing w:after="120" w:before="120"/>
      <w:ind/>
    </w:pPr>
    <w:rPr>
      <w:i w:val="1"/>
      <w:sz w:val="24"/>
    </w:rPr>
  </w:style>
  <w:style w:styleId="Style_20_ch" w:type="character">
    <w:name w:val="caption"/>
    <w:basedOn w:val="Style_4_ch"/>
    <w:link w:val="Style_20"/>
    <w:rPr>
      <w:i w:val="1"/>
      <w:sz w:val="24"/>
    </w:rPr>
  </w:style>
  <w:style w:styleId="Style_21" w:type="paragraph">
    <w:name w:val="Normal (Web)"/>
    <w:basedOn w:val="Style_4"/>
    <w:link w:val="Style_21_ch"/>
    <w:pPr>
      <w:widowControl w:val="1"/>
      <w:spacing w:after="75" w:line="240" w:lineRule="auto"/>
      <w:ind/>
    </w:pPr>
    <w:rPr>
      <w:rFonts w:ascii="Times New Roman" w:hAnsi="Times New Roman"/>
      <w:color w:val="000000"/>
      <w:sz w:val="24"/>
    </w:rPr>
  </w:style>
  <w:style w:styleId="Style_21_ch" w:type="character">
    <w:name w:val="Normal (Web)"/>
    <w:basedOn w:val="Style_4_ch"/>
    <w:link w:val="Style_21"/>
    <w:rPr>
      <w:rFonts w:ascii="Times New Roman" w:hAnsi="Times New Roman"/>
      <w:color w:val="000000"/>
      <w:sz w:val="24"/>
    </w:rPr>
  </w:style>
  <w:style w:styleId="Style_22" w:type="paragraph">
    <w:name w:val="header"/>
    <w:basedOn w:val="Style_12"/>
    <w:link w:val="Style_22_ch"/>
  </w:style>
  <w:style w:styleId="Style_22_ch" w:type="character">
    <w:name w:val="header"/>
    <w:basedOn w:val="Style_12_ch"/>
    <w:link w:val="Style_22"/>
  </w:style>
  <w:style w:styleId="Style_17" w:type="paragraph">
    <w:name w:val="Содержимое таблицы"/>
    <w:basedOn w:val="Style_4"/>
    <w:link w:val="Style_17_ch"/>
    <w:pPr>
      <w:widowControl w:val="0"/>
      <w:ind/>
    </w:pPr>
  </w:style>
  <w:style w:styleId="Style_17_ch" w:type="character">
    <w:name w:val="Содержимое таблицы"/>
    <w:basedOn w:val="Style_4_ch"/>
    <w:link w:val="Style_17"/>
  </w:style>
  <w:style w:styleId="Style_23" w:type="paragraph">
    <w:name w:val="Интернет-ссылка"/>
    <w:basedOn w:val="Style_19"/>
    <w:link w:val="Style_23_ch"/>
    <w:rPr>
      <w:color w:val="0000FF"/>
      <w:u w:val="single"/>
    </w:rPr>
  </w:style>
  <w:style w:styleId="Style_23_ch" w:type="character">
    <w:name w:val="Интернет-ссылка"/>
    <w:basedOn w:val="Style_19_ch"/>
    <w:link w:val="Style_23"/>
    <w:rPr>
      <w:color w:val="0000FF"/>
      <w:u w:val="single"/>
    </w:rPr>
  </w:style>
  <w:style w:styleId="Style_24" w:type="paragraph">
    <w:name w:val="toc 3"/>
    <w:next w:val="Style_4"/>
    <w:link w:val="Style_24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4_ch" w:type="character">
    <w:name w:val="toc 3"/>
    <w:link w:val="Style_24"/>
    <w:rPr>
      <w:rFonts w:ascii="XO Thames" w:hAnsi="XO Thames"/>
      <w:sz w:val="28"/>
    </w:rPr>
  </w:style>
  <w:style w:styleId="Style_25" w:type="paragraph">
    <w:name w:val="List Paragraph"/>
    <w:basedOn w:val="Style_4"/>
    <w:link w:val="Style_25_ch"/>
    <w:pPr>
      <w:widowControl w:val="1"/>
      <w:ind w:left="720"/>
      <w:contextualSpacing w:val="1"/>
    </w:pPr>
  </w:style>
  <w:style w:styleId="Style_25_ch" w:type="character">
    <w:name w:val="List Paragraph"/>
    <w:basedOn w:val="Style_4_ch"/>
    <w:link w:val="Style_25"/>
  </w:style>
  <w:style w:styleId="Style_26" w:type="paragraph">
    <w:name w:val="Body Text"/>
    <w:basedOn w:val="Style_4"/>
    <w:link w:val="Style_26_ch"/>
    <w:pPr>
      <w:widowControl w:val="1"/>
      <w:ind/>
      <w:jc w:val="both"/>
    </w:pPr>
  </w:style>
  <w:style w:styleId="Style_26_ch" w:type="character">
    <w:name w:val="Body Text"/>
    <w:basedOn w:val="Style_4_ch"/>
    <w:link w:val="Style_26"/>
  </w:style>
  <w:style w:styleId="Style_27" w:type="paragraph">
    <w:name w:val="heading 5"/>
    <w:next w:val="Style_4"/>
    <w:link w:val="Style_27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7_ch" w:type="character">
    <w:name w:val="heading 5"/>
    <w:link w:val="Style_27"/>
    <w:rPr>
      <w:rFonts w:ascii="XO Thames" w:hAnsi="XO Thames"/>
      <w:b w:val="1"/>
      <w:sz w:val="22"/>
    </w:rPr>
  </w:style>
  <w:style w:styleId="Style_28" w:type="paragraph">
    <w:name w:val="List"/>
    <w:basedOn w:val="Style_26"/>
    <w:link w:val="Style_28_ch"/>
  </w:style>
  <w:style w:styleId="Style_28_ch" w:type="character">
    <w:name w:val="List"/>
    <w:basedOn w:val="Style_26_ch"/>
    <w:link w:val="Style_28"/>
  </w:style>
  <w:style w:styleId="Style_29" w:type="paragraph">
    <w:name w:val="index heading"/>
    <w:basedOn w:val="Style_4"/>
    <w:link w:val="Style_29_ch"/>
  </w:style>
  <w:style w:styleId="Style_29_ch" w:type="character">
    <w:name w:val="index heading"/>
    <w:basedOn w:val="Style_4_ch"/>
    <w:link w:val="Style_29"/>
  </w:style>
  <w:style w:styleId="Style_30" w:type="paragraph">
    <w:name w:val="paragraph Знак"/>
    <w:link w:val="Style_30_ch"/>
    <w:rPr>
      <w:rFonts w:ascii="Times New Roman" w:hAnsi="Times New Roman"/>
      <w:color w:val="404040"/>
    </w:rPr>
  </w:style>
  <w:style w:styleId="Style_30_ch" w:type="character">
    <w:name w:val="paragraph Знак"/>
    <w:link w:val="Style_30"/>
    <w:rPr>
      <w:rFonts w:ascii="Times New Roman" w:hAnsi="Times New Roman"/>
      <w:color w:val="404040"/>
    </w:rPr>
  </w:style>
  <w:style w:styleId="Style_31" w:type="paragraph">
    <w:name w:val="annotation subject"/>
    <w:basedOn w:val="Style_32"/>
    <w:next w:val="Style_32"/>
    <w:link w:val="Style_31_ch"/>
    <w:pPr>
      <w:widowControl w:val="1"/>
      <w:spacing w:after="0"/>
      <w:ind/>
    </w:pPr>
    <w:rPr>
      <w:rFonts w:ascii="Times New Roman" w:hAnsi="Times New Roman"/>
      <w:b w:val="1"/>
    </w:rPr>
  </w:style>
  <w:style w:styleId="Style_31_ch" w:type="character">
    <w:name w:val="annotation subject"/>
    <w:basedOn w:val="Style_32_ch"/>
    <w:link w:val="Style_31"/>
    <w:rPr>
      <w:rFonts w:ascii="Times New Roman" w:hAnsi="Times New Roman"/>
      <w:b w:val="1"/>
    </w:rPr>
  </w:style>
  <w:style w:styleId="Style_33" w:type="paragraph">
    <w:name w:val="heading 1"/>
    <w:basedOn w:val="Style_34"/>
    <w:next w:val="Style_26"/>
    <w:link w:val="Style_33_ch"/>
    <w:uiPriority w:val="9"/>
    <w:qFormat/>
    <w:pPr>
      <w:widowControl w:val="1"/>
      <w:ind/>
      <w:outlineLvl w:val="0"/>
    </w:pPr>
    <w:rPr>
      <w:rFonts w:ascii="Liberation Serif" w:hAnsi="Liberation Serif"/>
      <w:b w:val="1"/>
      <w:sz w:val="48"/>
    </w:rPr>
  </w:style>
  <w:style w:styleId="Style_33_ch" w:type="character">
    <w:name w:val="heading 1"/>
    <w:basedOn w:val="Style_34_ch"/>
    <w:link w:val="Style_33"/>
    <w:rPr>
      <w:rFonts w:ascii="Liberation Serif" w:hAnsi="Liberation Serif"/>
      <w:b w:val="1"/>
      <w:sz w:val="48"/>
    </w:rPr>
  </w:style>
  <w:style w:styleId="Style_3" w:type="paragraph">
    <w:name w:val="Hyperlink"/>
    <w:basedOn w:val="Style_19"/>
    <w:link w:val="Style_3_ch"/>
    <w:rPr>
      <w:color w:themeColor="hyperlink" w:val="0563C1"/>
      <w:u w:val="single"/>
    </w:rPr>
  </w:style>
  <w:style w:styleId="Style_3_ch" w:type="character">
    <w:name w:val="Hyperlink"/>
    <w:basedOn w:val="Style_19_ch"/>
    <w:link w:val="Style_3"/>
    <w:rPr>
      <w:color w:themeColor="hyperlink" w:val="0563C1"/>
      <w:u w:val="single"/>
    </w:rPr>
  </w:style>
  <w:style w:styleId="Style_35" w:type="paragraph">
    <w:name w:val="Footnote"/>
    <w:link w:val="Style_35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toc 1"/>
    <w:next w:val="Style_4"/>
    <w:link w:val="Style_36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36_ch" w:type="character">
    <w:name w:val="toc 1"/>
    <w:link w:val="Style_36"/>
    <w:rPr>
      <w:rFonts w:ascii="XO Thames" w:hAnsi="XO Thames"/>
      <w:b w:val="1"/>
      <w:sz w:val="28"/>
    </w:rPr>
  </w:style>
  <w:style w:styleId="Style_37" w:type="paragraph">
    <w:name w:val="Header and Footer"/>
    <w:link w:val="Style_37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7_ch" w:type="character">
    <w:name w:val="Header and Footer"/>
    <w:link w:val="Style_37"/>
    <w:rPr>
      <w:rFonts w:ascii="XO Thames" w:hAnsi="XO Thames"/>
      <w:sz w:val="28"/>
    </w:rPr>
  </w:style>
  <w:style w:styleId="Style_38" w:type="paragraph">
    <w:name w:val="Выделение жирным"/>
    <w:link w:val="Style_38_ch"/>
    <w:rPr>
      <w:b w:val="1"/>
    </w:rPr>
  </w:style>
  <w:style w:styleId="Style_38_ch" w:type="character">
    <w:name w:val="Выделение жирным"/>
    <w:link w:val="Style_38"/>
    <w:rPr>
      <w:b w:val="1"/>
    </w:rPr>
  </w:style>
  <w:style w:styleId="Style_39" w:type="paragraph">
    <w:name w:val="Параграф"/>
    <w:basedOn w:val="Style_4"/>
    <w:link w:val="Style_39_ch"/>
    <w:pPr>
      <w:widowControl w:val="1"/>
      <w:tabs>
        <w:tab w:leader="none" w:pos="284" w:val="left"/>
      </w:tabs>
      <w:spacing w:after="0" w:line="360" w:lineRule="auto"/>
      <w:ind w:firstLine="567"/>
      <w:jc w:val="both"/>
    </w:pPr>
    <w:rPr>
      <w:rFonts w:ascii="Times New Roman" w:hAnsi="Times New Roman"/>
      <w:color w:val="404040"/>
    </w:rPr>
  </w:style>
  <w:style w:styleId="Style_39_ch" w:type="character">
    <w:name w:val="Параграф"/>
    <w:basedOn w:val="Style_4_ch"/>
    <w:link w:val="Style_39"/>
    <w:rPr>
      <w:rFonts w:ascii="Times New Roman" w:hAnsi="Times New Roman"/>
      <w:color w:val="404040"/>
    </w:rPr>
  </w:style>
  <w:style w:styleId="Style_40" w:type="paragraph">
    <w:name w:val="toc 9"/>
    <w:next w:val="Style_4"/>
    <w:link w:val="Style_40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0_ch" w:type="character">
    <w:name w:val="toc 9"/>
    <w:link w:val="Style_40"/>
    <w:rPr>
      <w:rFonts w:ascii="XO Thames" w:hAnsi="XO Thames"/>
      <w:sz w:val="28"/>
    </w:rPr>
  </w:style>
  <w:style w:styleId="Style_19" w:type="paragraph">
    <w:name w:val="Default Paragraph Font"/>
    <w:link w:val="Style_19_ch"/>
  </w:style>
  <w:style w:styleId="Style_19_ch" w:type="character">
    <w:name w:val="Default Paragraph Font"/>
    <w:link w:val="Style_19"/>
  </w:style>
  <w:style w:styleId="Style_41" w:type="paragraph">
    <w:name w:val="toc 8"/>
    <w:next w:val="Style_4"/>
    <w:link w:val="Style_41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1_ch" w:type="character">
    <w:name w:val="toc 8"/>
    <w:link w:val="Style_41"/>
    <w:rPr>
      <w:rFonts w:ascii="XO Thames" w:hAnsi="XO Thames"/>
      <w:sz w:val="28"/>
    </w:rPr>
  </w:style>
  <w:style w:styleId="Style_42" w:type="paragraph">
    <w:name w:val="Balloon Text"/>
    <w:basedOn w:val="Style_4"/>
    <w:link w:val="Style_42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42_ch" w:type="character">
    <w:name w:val="Balloon Text"/>
    <w:basedOn w:val="Style_4_ch"/>
    <w:link w:val="Style_42"/>
    <w:rPr>
      <w:rFonts w:ascii="Segoe UI" w:hAnsi="Segoe UI"/>
      <w:sz w:val="18"/>
    </w:rPr>
  </w:style>
  <w:style w:styleId="Style_32" w:type="paragraph">
    <w:name w:val="annotation text"/>
    <w:basedOn w:val="Style_4"/>
    <w:link w:val="Style_32_ch"/>
    <w:pPr>
      <w:widowControl w:val="1"/>
      <w:spacing w:line="240" w:lineRule="auto"/>
      <w:ind/>
    </w:pPr>
    <w:rPr>
      <w:rFonts w:asciiTheme="minorAscii" w:hAnsiTheme="minorHAnsi"/>
      <w:sz w:val="20"/>
    </w:rPr>
  </w:style>
  <w:style w:styleId="Style_32_ch" w:type="character">
    <w:name w:val="annotation text"/>
    <w:basedOn w:val="Style_4_ch"/>
    <w:link w:val="Style_32"/>
    <w:rPr>
      <w:rFonts w:asciiTheme="minorAscii" w:hAnsiTheme="minorHAnsi"/>
      <w:sz w:val="20"/>
    </w:rPr>
  </w:style>
  <w:style w:styleId="Style_43" w:type="paragraph">
    <w:name w:val="toc 5"/>
    <w:next w:val="Style_4"/>
    <w:link w:val="Style_43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3_ch" w:type="character">
    <w:name w:val="toc 5"/>
    <w:link w:val="Style_43"/>
    <w:rPr>
      <w:rFonts w:ascii="XO Thames" w:hAnsi="XO Thames"/>
      <w:sz w:val="28"/>
    </w:rPr>
  </w:style>
  <w:style w:styleId="Style_44" w:type="paragraph">
    <w:name w:val="annotation reference"/>
    <w:basedOn w:val="Style_19"/>
    <w:link w:val="Style_44_ch"/>
    <w:rPr>
      <w:sz w:val="16"/>
    </w:rPr>
  </w:style>
  <w:style w:styleId="Style_44_ch" w:type="character">
    <w:name w:val="annotation reference"/>
    <w:basedOn w:val="Style_19_ch"/>
    <w:link w:val="Style_44"/>
    <w:rPr>
      <w:sz w:val="16"/>
    </w:rPr>
  </w:style>
  <w:style w:styleId="Style_45" w:type="paragraph">
    <w:name w:val="No Spacing"/>
    <w:link w:val="Style_45_ch"/>
    <w:rPr>
      <w:rFonts w:ascii="Calibri" w:hAnsi="Calibri"/>
      <w:sz w:val="22"/>
    </w:rPr>
  </w:style>
  <w:style w:styleId="Style_45_ch" w:type="character">
    <w:name w:val="No Spacing"/>
    <w:link w:val="Style_45"/>
    <w:rPr>
      <w:rFonts w:ascii="Calibri" w:hAnsi="Calibri"/>
      <w:sz w:val="22"/>
    </w:rPr>
  </w:style>
  <w:style w:styleId="Style_46" w:type="paragraph">
    <w:name w:val="Текст примечания Знак"/>
    <w:basedOn w:val="Style_19"/>
    <w:link w:val="Style_46_ch"/>
    <w:rPr>
      <w:sz w:val="20"/>
    </w:rPr>
  </w:style>
  <w:style w:styleId="Style_46_ch" w:type="character">
    <w:name w:val="Текст примечания Знак"/>
    <w:basedOn w:val="Style_19_ch"/>
    <w:link w:val="Style_46"/>
    <w:rPr>
      <w:sz w:val="20"/>
    </w:rPr>
  </w:style>
  <w:style w:styleId="Style_47" w:type="paragraph">
    <w:name w:val="Unresolved Mention"/>
    <w:basedOn w:val="Style_19"/>
    <w:link w:val="Style_47_ch"/>
    <w:rPr>
      <w:color w:val="605E5C"/>
      <w:shd w:fill="E1DFDD" w:val="clear"/>
    </w:rPr>
  </w:style>
  <w:style w:styleId="Style_47_ch" w:type="character">
    <w:name w:val="Unresolved Mention"/>
    <w:basedOn w:val="Style_19_ch"/>
    <w:link w:val="Style_47"/>
    <w:rPr>
      <w:color w:val="605E5C"/>
      <w:shd w:fill="E1DFDD" w:val="clear"/>
    </w:rPr>
  </w:style>
  <w:style w:styleId="Style_48" w:type="paragraph">
    <w:name w:val="Subtitle"/>
    <w:next w:val="Style_4"/>
    <w:link w:val="Style_4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48_ch" w:type="character">
    <w:name w:val="Subtitle"/>
    <w:link w:val="Style_48"/>
    <w:rPr>
      <w:rFonts w:ascii="XO Thames" w:hAnsi="XO Thames"/>
      <w:i w:val="1"/>
      <w:sz w:val="24"/>
    </w:rPr>
  </w:style>
  <w:style w:styleId="Style_1" w:type="paragraph">
    <w:name w:val="Текст в заданном формате"/>
    <w:basedOn w:val="Style_4"/>
    <w:link w:val="Style_1_ch"/>
    <w:pPr>
      <w:widowControl w:val="1"/>
      <w:spacing w:after="0"/>
      <w:ind/>
    </w:pPr>
    <w:rPr>
      <w:rFonts w:ascii="Liberation Mono" w:hAnsi="Liberation Mono"/>
      <w:sz w:val="20"/>
    </w:rPr>
  </w:style>
  <w:style w:styleId="Style_1_ch" w:type="character">
    <w:name w:val="Текст в заданном формате"/>
    <w:basedOn w:val="Style_4_ch"/>
    <w:link w:val="Style_1"/>
    <w:rPr>
      <w:rFonts w:ascii="Liberation Mono" w:hAnsi="Liberation Mono"/>
      <w:sz w:val="20"/>
    </w:rPr>
  </w:style>
  <w:style w:styleId="Style_34" w:type="paragraph">
    <w:name w:val="Title"/>
    <w:basedOn w:val="Style_4"/>
    <w:next w:val="Style_26"/>
    <w:link w:val="Style_34_ch"/>
    <w:uiPriority w:val="10"/>
    <w:qFormat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34_ch" w:type="character">
    <w:name w:val="Title"/>
    <w:basedOn w:val="Style_4_ch"/>
    <w:link w:val="Style_34"/>
    <w:rPr>
      <w:rFonts w:ascii="Liberation Sans" w:hAnsi="Liberation Sans"/>
      <w:sz w:val="28"/>
    </w:rPr>
  </w:style>
  <w:style w:styleId="Style_49" w:type="paragraph">
    <w:name w:val="heading 4"/>
    <w:next w:val="Style_4"/>
    <w:link w:val="Style_49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9_ch" w:type="character">
    <w:name w:val="heading 4"/>
    <w:link w:val="Style_49"/>
    <w:rPr>
      <w:rFonts w:ascii="XO Thames" w:hAnsi="XO Thames"/>
      <w:b w:val="1"/>
      <w:sz w:val="24"/>
    </w:rPr>
  </w:style>
  <w:style w:styleId="Style_50" w:type="paragraph">
    <w:name w:val="heading 2"/>
    <w:basedOn w:val="Style_4"/>
    <w:next w:val="Style_4"/>
    <w:link w:val="Style_50_ch"/>
    <w:uiPriority w:val="9"/>
    <w:qFormat/>
    <w:pPr>
      <w:keepNext w:val="1"/>
      <w:widowControl w:val="1"/>
      <w:spacing w:after="60" w:before="240"/>
      <w:ind/>
      <w:outlineLvl w:val="1"/>
    </w:pPr>
    <w:rPr>
      <w:rFonts w:ascii="Calibri Light" w:hAnsi="Calibri Light"/>
      <w:b w:val="1"/>
      <w:i w:val="1"/>
      <w:sz w:val="28"/>
    </w:rPr>
  </w:style>
  <w:style w:styleId="Style_50_ch" w:type="character">
    <w:name w:val="heading 2"/>
    <w:basedOn w:val="Style_4_ch"/>
    <w:link w:val="Style_50"/>
    <w:rPr>
      <w:rFonts w:ascii="Calibri Light" w:hAnsi="Calibri Light"/>
      <w:b w:val="1"/>
      <w:i w:val="1"/>
      <w:sz w:val="28"/>
    </w:rPr>
  </w:style>
  <w:style w:styleId="Style_51" w:type="paragraph">
    <w:name w:val="Table Paragraph"/>
    <w:basedOn w:val="Style_4"/>
    <w:link w:val="Style_51_ch"/>
    <w:pPr>
      <w:widowControl w:val="0"/>
      <w:spacing w:after="0" w:line="240" w:lineRule="auto"/>
      <w:ind/>
    </w:pPr>
    <w:rPr>
      <w:rFonts w:ascii="Times New Roman" w:hAnsi="Times New Roman"/>
      <w:color w:val="000000"/>
      <w:sz w:val="24"/>
    </w:rPr>
  </w:style>
  <w:style w:styleId="Style_51_ch" w:type="character">
    <w:name w:val="Table Paragraph"/>
    <w:basedOn w:val="Style_4_ch"/>
    <w:link w:val="Style_51"/>
    <w:rPr>
      <w:rFonts w:ascii="Times New Roman" w:hAnsi="Times New Roman"/>
      <w:color w:val="000000"/>
      <w:sz w:val="24"/>
    </w:rPr>
  </w:style>
  <w:style w:styleId="Style_52" w:type="table">
    <w:name w:val="Table Grid"/>
    <w:basedOn w:val="Style_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jpe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2025-10-31T12:17:02Z</dcterms:created>
  <dcterms:modified xsi:type="dcterms:W3CDTF">2025-10-31T13:21:35Z</dcterms:modified>
</cp:coreProperties>
</file>