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6"/>
        </w:rPr>
        <w:t>EXCERPT FROM THE CHARTER</w:t>
        <w:br/>
        <w:t>Association of Business Professionals (EMEA)</w:t>
      </w:r>
    </w:p>
    <w:p/>
    <w:p>
      <w:pPr>
        <w:jc w:val="left"/>
      </w:pPr>
      <w:r>
        <w:rPr>
          <w:b/>
          <w:sz w:val="24"/>
        </w:rPr>
        <w:t>1. Mission, Purpose, and Objectives</w:t>
      </w:r>
    </w:p>
    <w:p>
      <w:pPr>
        <w:jc w:val="left"/>
      </w:pPr>
      <w:r>
        <w:rPr>
          <w:b/>
          <w:sz w:val="22"/>
        </w:rPr>
        <w:t>1.1. Mission</w:t>
      </w:r>
    </w:p>
    <w:p>
      <w:pPr>
        <w:jc w:val="both"/>
      </w:pPr>
      <w:r>
        <w:rPr>
          <w:sz w:val="22"/>
        </w:rPr>
        <w:t>The mission of the Association is to establish, unite, and support a professional community of highly qualified and internationally recognized individuals whose activities contribute to the advancement of entrepreneurship, strategic management, international trade, digital transformation, business innovation, and sustainable economic development within the EMEA region and globally.</w:t>
      </w:r>
    </w:p>
    <w:p>
      <w:pPr>
        <w:jc w:val="left"/>
      </w:pPr>
      <w:r>
        <w:rPr>
          <w:b/>
          <w:sz w:val="22"/>
        </w:rPr>
        <w:t>1.2. Purpose</w:t>
      </w:r>
    </w:p>
    <w:p>
      <w:pPr>
        <w:jc w:val="both"/>
      </w:pPr>
      <w:r>
        <w:rPr>
          <w:sz w:val="22"/>
        </w:rPr>
        <w:t>The Association is established as a non-profit professional organization aimed at fostering collaboration, knowledge exchange, professional excellence, and the promotion of internationally recognized standards in business leadership and innovation.</w:t>
      </w:r>
    </w:p>
    <w:p>
      <w:pPr>
        <w:jc w:val="left"/>
      </w:pPr>
      <w:r>
        <w:rPr>
          <w:b/>
          <w:sz w:val="22"/>
        </w:rPr>
        <w:t>1.3. Objectives</w:t>
      </w:r>
    </w:p>
    <w:p>
      <w:pPr>
        <w:jc w:val="both"/>
      </w:pPr>
      <w:r>
        <w:rPr>
          <w:sz w:val="22"/>
        </w:rPr>
        <w:t>To achieve its mission, the Association shall pursue the following objectives:</w:t>
      </w:r>
    </w:p>
    <w:p>
      <w:pPr>
        <w:ind w:left="432"/>
        <w:jc w:val="both"/>
      </w:pPr>
      <w:r>
        <w:rPr>
          <w:b/>
        </w:rPr>
        <w:t xml:space="preserve">1.3.1. </w:t>
      </w:r>
      <w:r>
        <w:rPr>
          <w:sz w:val="22"/>
        </w:rPr>
        <w:t>To identify and bring together leading professionals in the fields of strategic management, international trade, supply chain management, product development, corporate governance, and business innovation whose activities demonstrate significant professional impact.</w:t>
      </w:r>
    </w:p>
    <w:p>
      <w:pPr>
        <w:ind w:left="432"/>
        <w:jc w:val="both"/>
      </w:pPr>
      <w:r>
        <w:rPr>
          <w:b/>
        </w:rPr>
        <w:t xml:space="preserve">1.3.2. </w:t>
      </w:r>
      <w:r>
        <w:rPr>
          <w:sz w:val="22"/>
        </w:rPr>
        <w:t>To develop and maintain an international professional network comprising executives, entrepreneurs, innovators, consultants, educators, and other industry leaders engaged in the advancement of sustainable business practices and modern economic models.</w:t>
      </w:r>
    </w:p>
    <w:p>
      <w:pPr>
        <w:ind w:left="432"/>
        <w:jc w:val="both"/>
      </w:pPr>
      <w:r>
        <w:rPr>
          <w:b/>
        </w:rPr>
        <w:t xml:space="preserve">1.3.3. </w:t>
      </w:r>
      <w:r>
        <w:rPr>
          <w:sz w:val="22"/>
        </w:rPr>
        <w:t>To promote the professional achievements and contributions of its Members at international level and to participate in global discussions related to digital transformation, technology-driven products, platform-based economies, creative industries, and innovation ecosystems.</w:t>
      </w:r>
    </w:p>
    <w:p>
      <w:pPr>
        <w:ind w:left="432"/>
        <w:jc w:val="both"/>
      </w:pPr>
      <w:r>
        <w:rPr>
          <w:b/>
        </w:rPr>
        <w:t xml:space="preserve">1.3.4. </w:t>
      </w:r>
      <w:r>
        <w:rPr>
          <w:sz w:val="22"/>
        </w:rPr>
        <w:t>To support continuous professional development, encourage adherence to high ethical and quality standards, and foster responsible and sustainable approaches to digital product development, financial technologies, corporate innovation, and user-centered design methodologies.</w:t>
      </w:r>
    </w:p>
    <w:p>
      <w:pPr>
        <w:ind w:left="432"/>
        <w:jc w:val="both"/>
      </w:pPr>
      <w:r>
        <w:rPr>
          <w:b/>
        </w:rPr>
        <w:t xml:space="preserve">1.3.5. </w:t>
      </w:r>
      <w:r>
        <w:rPr>
          <w:sz w:val="22"/>
        </w:rPr>
        <w:t>To contribute to the development and dissemination of best practices in business management, international cooperation, and innovation leadership.</w:t>
      </w:r>
    </w:p>
    <w:p/>
    <w:p>
      <w:pPr>
        <w:jc w:val="left"/>
      </w:pPr>
      <w:r>
        <w:rPr>
          <w:b/>
          <w:sz w:val="24"/>
        </w:rPr>
        <w:t>2. Membership</w:t>
      </w:r>
    </w:p>
    <w:p>
      <w:pPr>
        <w:jc w:val="left"/>
      </w:pPr>
      <w:r>
        <w:rPr>
          <w:b/>
          <w:sz w:val="22"/>
        </w:rPr>
        <w:t>2.1. Eligibility</w:t>
      </w:r>
    </w:p>
    <w:p>
      <w:pPr>
        <w:jc w:val="both"/>
      </w:pPr>
      <w:r>
        <w:rPr>
          <w:sz w:val="22"/>
        </w:rPr>
        <w:t>Membership in the Association shall be open to individuals who meet the professional and reputational standards established by the Association and who satisfy the criteria defined in this Charter and in the internal regulations adopted by the Association.</w:t>
      </w:r>
    </w:p>
    <w:p>
      <w:pPr>
        <w:jc w:val="left"/>
      </w:pPr>
      <w:r>
        <w:rPr>
          <w:b/>
          <w:sz w:val="22"/>
        </w:rPr>
        <w:t>2.2. Membership Criteria</w:t>
      </w:r>
    </w:p>
    <w:p>
      <w:pPr>
        <w:jc w:val="both"/>
      </w:pPr>
      <w:r>
        <w:rPr>
          <w:sz w:val="22"/>
        </w:rPr>
        <w:t>Candidates for membership must demonstrate:</w:t>
      </w:r>
    </w:p>
    <w:p>
      <w:pPr>
        <w:ind w:left="432"/>
        <w:jc w:val="both"/>
      </w:pPr>
      <w:r>
        <w:rPr>
          <w:b/>
          <w:sz w:val="22"/>
        </w:rPr>
        <w:t xml:space="preserve">2.2.1. </w:t>
      </w:r>
      <w:r>
        <w:rPr>
          <w:sz w:val="22"/>
        </w:rPr>
        <w:t>A high level of professional expertise, leadership experience, strategic competence, and recognized contributions in the fields of business, international trade, supply chain management, entrepreneurship, product development, or related disciplines.</w:t>
      </w:r>
    </w:p>
    <w:p>
      <w:pPr>
        <w:ind w:left="432"/>
        <w:jc w:val="both"/>
      </w:pPr>
      <w:r>
        <w:rPr>
          <w:b/>
          <w:sz w:val="22"/>
        </w:rPr>
        <w:t xml:space="preserve">2.2.2. </w:t>
      </w:r>
      <w:r>
        <w:rPr>
          <w:sz w:val="22"/>
        </w:rPr>
        <w:t>Evidence of international professional recognition, including but not limited to: leadership roles, significant industry achievements, participation in international projects, advisory activities, or comparable contributions to the development of business practices.</w:t>
      </w:r>
    </w:p>
    <w:p>
      <w:pPr>
        <w:ind w:left="432"/>
        <w:jc w:val="both"/>
      </w:pPr>
      <w:r>
        <w:rPr>
          <w:b/>
          <w:sz w:val="22"/>
        </w:rPr>
        <w:t xml:space="preserve">2.2.3. </w:t>
      </w:r>
      <w:r>
        <w:rPr>
          <w:sz w:val="22"/>
        </w:rPr>
        <w:t>Documented professional engagement, which may include publications, academic or industry articles, media appearances, public speaking engagements, teaching activities, conference participation, advisory services, or other forms of recognized professional contribution.</w:t>
      </w:r>
    </w:p>
    <w:p>
      <w:pPr>
        <w:ind w:left="432"/>
        <w:jc w:val="both"/>
      </w:pPr>
      <w:r>
        <w:rPr>
          <w:b/>
          <w:sz w:val="22"/>
        </w:rPr>
        <w:t xml:space="preserve">2.2.4. </w:t>
      </w:r>
      <w:r>
        <w:rPr>
          <w:sz w:val="22"/>
        </w:rPr>
        <w:t>Demonstrable impact on the development of business ecosystems, digital products, innovation initiatives, strategic transformation programs, or related areas within the EMEA region and internationally.</w:t>
      </w:r>
    </w:p>
    <w:p>
      <w:pPr>
        <w:jc w:val="left"/>
      </w:pPr>
      <w:r>
        <w:rPr>
          <w:b/>
          <w:sz w:val="22"/>
        </w:rPr>
        <w:t>2.3. Admission Procedure</w:t>
      </w:r>
    </w:p>
    <w:p>
      <w:pPr>
        <w:jc w:val="both"/>
      </w:pPr>
      <w:r>
        <w:rPr>
          <w:sz w:val="22"/>
        </w:rPr>
        <w:t>The procedure for admission, evaluation of candidates, approval of membership, suspension, and termination of membership shall be governed by internal regulations approved by the competent governing body of the Association.</w:t>
      </w:r>
    </w:p>
    <w:p>
      <w:pPr>
        <w:jc w:val="left"/>
      </w:pPr>
      <w:r>
        <w:rPr>
          <w:b/>
          <w:sz w:val="22"/>
        </w:rPr>
        <w:t>2.4. Principles of Membership</w:t>
      </w:r>
    </w:p>
    <w:p>
      <w:pPr>
        <w:jc w:val="both"/>
      </w:pPr>
      <w:r>
        <w:rPr>
          <w:sz w:val="22"/>
        </w:rPr>
        <w:t>The Association shall operate on the basis of the principles of:</w:t>
      </w:r>
    </w:p>
    <w:p>
      <w:pPr>
        <w:pStyle w:val="ListBullet"/>
        <w:jc w:val="both"/>
      </w:pPr>
      <w:r>
        <w:rPr>
          <w:sz w:val="22"/>
        </w:rPr>
        <w:t>equality of Members;</w:t>
      </w:r>
    </w:p>
    <w:p>
      <w:pPr>
        <w:pStyle w:val="ListBullet"/>
        <w:jc w:val="both"/>
      </w:pPr>
      <w:r>
        <w:rPr>
          <w:sz w:val="22"/>
        </w:rPr>
        <w:t>transparency in governance;</w:t>
      </w:r>
    </w:p>
    <w:p>
      <w:pPr>
        <w:pStyle w:val="ListBullet"/>
        <w:jc w:val="both"/>
      </w:pPr>
      <w:r>
        <w:rPr>
          <w:sz w:val="22"/>
        </w:rPr>
        <w:t>professional integrity;</w:t>
      </w:r>
    </w:p>
    <w:p>
      <w:pPr>
        <w:pStyle w:val="ListBullet"/>
        <w:jc w:val="both"/>
      </w:pPr>
      <w:r>
        <w:rPr>
          <w:sz w:val="22"/>
        </w:rPr>
        <w:t>ethical conduct;</w:t>
      </w:r>
    </w:p>
    <w:p>
      <w:pPr>
        <w:pStyle w:val="ListBullet"/>
        <w:jc w:val="both"/>
      </w:pPr>
      <w:r>
        <w:rPr>
          <w:sz w:val="22"/>
        </w:rPr>
        <w:t>non-discrimination;</w:t>
      </w:r>
    </w:p>
    <w:p>
      <w:pPr>
        <w:pStyle w:val="ListBullet"/>
        <w:jc w:val="both"/>
      </w:pPr>
      <w:r>
        <w:rPr>
          <w:sz w:val="22"/>
        </w:rPr>
        <w:t>voluntary participation;</w:t>
      </w:r>
    </w:p>
    <w:p>
      <w:pPr>
        <w:pStyle w:val="ListBullet"/>
        <w:jc w:val="both"/>
      </w:pPr>
      <w:r>
        <w:rPr>
          <w:sz w:val="22"/>
        </w:rPr>
        <w:t>compliance with applicable laws and regulations.</w:t>
      </w:r>
    </w:p>
    <w:p/>
    <w:p>
      <w:pPr>
        <w:jc w:val="left"/>
      </w:pPr>
      <w:r>
        <w:rPr>
          <w:b/>
          <w:sz w:val="22"/>
        </w:rPr>
        <w:t>2.5. Honorary (Senior) Members</w:t>
      </w:r>
    </w:p>
    <w:p>
      <w:pPr>
        <w:jc w:val="both"/>
      </w:pPr>
      <w:r>
        <w:rPr>
          <w:sz w:val="22"/>
        </w:rPr>
        <w:t>The Association may grant Honorary (Senior) Member status to individuals who have demonstrated outstanding achievements in the field of business and whose professional legacy, influence, or contribution to the advancement of the business community has been recognized at an international level. This section governs the conditions, criteria, and procedure for conferring such status.</w:t>
      </w:r>
    </w:p>
    <w:p>
      <w:pPr>
        <w:jc w:val="both"/>
      </w:pPr>
      <w:r>
        <w:rPr>
          <w:b/>
          <w:sz w:val="22"/>
        </w:rPr>
        <w:t xml:space="preserve">2.5.1. Definition. </w:t>
      </w:r>
      <w:r>
        <w:rPr>
          <w:sz w:val="22"/>
        </w:rPr>
        <w:t>An Honorary (Senior) Member is an individual recognized by the Association for exceptional and sustained contributions to the field of business, including but not limited to: founding or scaling transformative enterprises, shaping industry standards, advancing international business cooperation, or mentoring the next generation of business leaders. Honorary (Senior) Member status is a distinction of honor and does not carry the obligations of regular membership, unless the individual voluntarily assumes them.</w:t>
      </w:r>
    </w:p>
    <w:p>
      <w:pPr>
        <w:jc w:val="both"/>
      </w:pPr>
      <w:r>
        <w:rPr>
          <w:b/>
          <w:sz w:val="22"/>
        </w:rPr>
        <w:t xml:space="preserve">2.5.2. Eligibility Criteria. </w:t>
      </w:r>
      <w:r>
        <w:rPr>
          <w:sz w:val="22"/>
        </w:rPr>
        <w:t>A candidate for Honorary (Senior) Member status must satisfy at least three (3) of the following criteria:</w:t>
      </w:r>
    </w:p>
    <w:p>
      <w:pPr>
        <w:ind w:left="720"/>
        <w:jc w:val="both"/>
      </w:pPr>
      <w:r>
        <w:rPr>
          <w:sz w:val="22"/>
        </w:rPr>
        <w:t>(a) has held a senior executive, board, or advisory position in one or more organizations of international significance for a cumulative period of not less than ten (10) years;</w:t>
      </w:r>
    </w:p>
    <w:p>
      <w:pPr>
        <w:ind w:left="720"/>
        <w:jc w:val="both"/>
      </w:pPr>
      <w:r>
        <w:rPr>
          <w:sz w:val="22"/>
        </w:rPr>
        <w:t>(b) has made a measurable and recognized contribution to the development of a business sector, market, or professional community at the regional (EMEA) or global level, evidenced by industry reports, independent assessments, peer recognition, or comparable sources;</w:t>
      </w:r>
    </w:p>
    <w:p>
      <w:pPr>
        <w:ind w:left="720"/>
        <w:jc w:val="both"/>
      </w:pPr>
      <w:r>
        <w:rPr>
          <w:sz w:val="22"/>
        </w:rPr>
        <w:t>(c) has been the recipient of internationally recognized professional honors, awards, fellowships, or distinctions in the field of business, entrepreneurship, innovation, or economic development;</w:t>
      </w:r>
    </w:p>
    <w:p>
      <w:pPr>
        <w:ind w:left="720"/>
        <w:jc w:val="both"/>
      </w:pPr>
      <w:r>
        <w:rPr>
          <w:sz w:val="22"/>
        </w:rPr>
        <w:t>(d) has authored, co-authored, or substantially contributed to publications, research, frameworks, or standards that have demonstrably influenced business practices, governance models, or industry thought leadership;</w:t>
      </w:r>
    </w:p>
    <w:p>
      <w:pPr>
        <w:ind w:left="720"/>
        <w:jc w:val="both"/>
      </w:pPr>
      <w:r>
        <w:rPr>
          <w:sz w:val="22"/>
        </w:rPr>
        <w:t>(e) has served as a mentor, educator, or advocate for emerging business leaders, contributing to the professional development of others in a sustained and verifiable manner;</w:t>
      </w:r>
    </w:p>
    <w:p>
      <w:pPr>
        <w:ind w:left="720"/>
        <w:jc w:val="both"/>
      </w:pPr>
      <w:r>
        <w:rPr>
          <w:sz w:val="22"/>
        </w:rPr>
        <w:t>(f) has represented the business community in international forums, governmental advisory bodies, intergovernmental organizations, or multi-stakeholder platforms in a capacity that advanced the interests of the business profession.</w:t>
      </w:r>
    </w:p>
    <w:p>
      <w:pPr>
        <w:jc w:val="both"/>
      </w:pPr>
      <w:r>
        <w:rPr>
          <w:b/>
          <w:sz w:val="22"/>
        </w:rPr>
        <w:t xml:space="preserve">2.5.3. Nomination and Admission Procedure. </w:t>
      </w:r>
      <w:r>
        <w:rPr>
          <w:sz w:val="22"/>
        </w:rPr>
        <w:t>Candidates for Honorary (Senior) Member status may be nominated by: (i) any two (2) current Members of the Association; (ii) the President of the Association; or (iii) the Admissions Committee acting on its own initiative. Nominations must be submitted in writing and accompanied by a statement of justification addressing the eligibility criteria set out in Section 2.5.2. The Admissions Committee shall review the nomination in accordance with the procedure described in Section 2.6 and shall make a recommendation to the governing body of the Association. The final decision to confer Honorary (Senior) Member status shall be adopted by the governing body by a simple majority of votes.</w:t>
      </w:r>
    </w:p>
    <w:p>
      <w:pPr>
        <w:jc w:val="both"/>
      </w:pPr>
      <w:r>
        <w:rPr>
          <w:b/>
          <w:sz w:val="22"/>
        </w:rPr>
        <w:t xml:space="preserve">2.5.4. Rights and Privileges. </w:t>
      </w:r>
      <w:r>
        <w:rPr>
          <w:sz w:val="22"/>
        </w:rPr>
        <w:t>Honorary (Senior) Members shall be entitled to: use the designation 'Honorary Member' or 'Senior Member' of the Association; participate in Association events, conferences, and professional activities; receive communications and publications issued by the Association; and be listed in the official register of Honorary Members maintained by the Association. Honorary (Senior) Members are exempt from membership fees unless they elect to contribute voluntarily.</w:t>
      </w:r>
    </w:p>
    <w:p>
      <w:pPr>
        <w:jc w:val="both"/>
      </w:pPr>
      <w:r>
        <w:rPr>
          <w:b/>
          <w:sz w:val="22"/>
        </w:rPr>
        <w:t xml:space="preserve">2.5.5. Revocation. </w:t>
      </w:r>
      <w:r>
        <w:rPr>
          <w:sz w:val="22"/>
        </w:rPr>
        <w:t>Honorary (Senior) Member status may be revoked by the governing body of the Association in the event of conduct that is materially inconsistent with the values, principles, or reputation of the Association, following a review by the Admissions Committee and in accordance with the procedure set out in Section 2.6.</w:t>
      </w:r>
    </w:p>
    <w:p/>
    <w:p>
      <w:pPr>
        <w:jc w:val="left"/>
      </w:pPr>
      <w:r>
        <w:rPr>
          <w:b/>
          <w:sz w:val="22"/>
        </w:rPr>
        <w:t>2.6. Admissions Committee</w:t>
      </w:r>
    </w:p>
    <w:p>
      <w:pPr>
        <w:jc w:val="both"/>
      </w:pPr>
      <w:r>
        <w:rPr>
          <w:sz w:val="22"/>
        </w:rPr>
        <w:t>The Admissions Committee is the standing body of the Association responsible for evaluating applications and nominations for all categories of membership, including Honorary (Senior) Members, and for ensuring that admission decisions are made in a fair, consistent, and transparent manner.</w:t>
      </w:r>
    </w:p>
    <w:p>
      <w:pPr>
        <w:jc w:val="both"/>
      </w:pPr>
      <w:r>
        <w:rPr>
          <w:b/>
          <w:sz w:val="22"/>
        </w:rPr>
        <w:t xml:space="preserve">2.6.1. Composition. </w:t>
      </w:r>
      <w:r>
        <w:rPr>
          <w:sz w:val="22"/>
        </w:rPr>
        <w:t>The Admissions Committee shall consist of not fewer than three (3) and not more than seven (7) members appointed by the governing body of the Association for a term of two (2) years, renewable once. The Committee shall be chaired by a Chairperson elected from among its members. At least one member of the Committee shall hold Honorary (Senior) Member status, where such members exist. Committee members must be in good standing with the Association and must not have a conflict of interest in respect of any application or nomination under review.</w:t>
      </w:r>
    </w:p>
    <w:p>
      <w:pPr>
        <w:jc w:val="both"/>
      </w:pPr>
      <w:r>
        <w:rPr>
          <w:b/>
          <w:sz w:val="22"/>
        </w:rPr>
        <w:t xml:space="preserve">2.6.2. Functions and Powers. </w:t>
      </w:r>
      <w:r>
        <w:rPr>
          <w:sz w:val="22"/>
        </w:rPr>
        <w:t>The Admissions Committee shall: (a) receive and process applications and nominations for membership; (b) verify that candidates satisfy the applicable eligibility criteria; (c) conduct due diligence on submitted documentation; (d) issue written recommendations to the governing body with respect to the admission, deferral, or rejection of each candidate; (e) maintain a confidential register of all applications reviewed; (f) conduct periodic reviews of membership criteria and recommend updates to the governing body; and (g) initiate or conduct reviews in cases of potential revocation of membership or Honorary (Senior) Member status.</w:t>
      </w:r>
    </w:p>
    <w:p>
      <w:pPr>
        <w:jc w:val="both"/>
      </w:pPr>
      <w:r>
        <w:rPr>
          <w:b/>
          <w:sz w:val="22"/>
        </w:rPr>
        <w:t xml:space="preserve">2.6.3. Procedure of Meetings. </w:t>
      </w:r>
      <w:r>
        <w:rPr>
          <w:sz w:val="22"/>
        </w:rPr>
        <w:t>The Admissions Committee shall meet as required and not less than four (4) times per year, whether in person or by electronic means. Meetings shall be convened by the Chairperson or, in their absence, by any two (2) Committee members. A quorum shall consist of a majority of the Committee members then in office. Decisions shall be adopted by a simple majority of members present and voting; in the event of a tie, the Chairperson shall have a casting vote.</w:t>
      </w:r>
    </w:p>
    <w:p>
      <w:pPr>
        <w:jc w:val="both"/>
      </w:pPr>
      <w:r>
        <w:rPr>
          <w:b/>
          <w:sz w:val="22"/>
        </w:rPr>
        <w:t xml:space="preserve">2.6.4. Minutes of Meetings. </w:t>
      </w:r>
      <w:r>
        <w:rPr>
          <w:sz w:val="22"/>
        </w:rPr>
        <w:t>Minutes shall be drawn up for each meeting of the Admissions Committee. The minutes shall record: the date, time, and location (or virtual platform) of the meeting; the names of members present and absent; the agenda items discussed; a summary of the deliberations; the decisions adopted, including the outcome of each application or nomination reviewed (approved, deferred, or rejected) with brief reasons; and any dissenting opinions where a member so requests. Minutes shall be signed by the Chairperson and the designated Secretary of the meeting, approved at the following meeting, and kept in the official records of the Association for a minimum of five (5) years. Copies of minutes shall be made available to the governing body upon request. Personal data contained in the minutes shall be processed in accordance with applicable data protection laws.</w:t>
      </w:r>
    </w:p>
    <w:p>
      <w:pPr>
        <w:jc w:val="both"/>
      </w:pPr>
      <w:r>
        <w:rPr>
          <w:b/>
          <w:sz w:val="22"/>
        </w:rPr>
        <w:t xml:space="preserve">2.6.5. Confidentiality. </w:t>
      </w:r>
      <w:r>
        <w:rPr>
          <w:sz w:val="22"/>
        </w:rPr>
        <w:t>All deliberations of the Admissions Committee and the content of individual applications and nominations shall be treated as strictly confidential. Committee members shall not disclose information relating to specific candidates outside the Committee, except as required by the governing body of the Association or by applicable law.</w:t>
      </w:r>
    </w:p>
    <w:p/>
    <w:p>
      <w:pPr>
        <w:jc w:val="left"/>
      </w:pPr>
      <w:r>
        <w:rPr>
          <w:b/>
          <w:sz w:val="22"/>
        </w:rPr>
        <w:t>Certification</w:t>
      </w:r>
    </w:p>
    <w:p>
      <w:pPr>
        <w:jc w:val="both"/>
      </w:pPr>
      <w:r>
        <w:rPr>
          <w:sz w:val="22"/>
        </w:rPr>
        <w:t>This excerpt is issued in accordance with the original Charter of the Association.</w:t>
      </w:r>
    </w:p>
    <w:p>
      <w:pPr>
        <w:jc w:val="both"/>
      </w:pPr>
      <w:r>
        <w:rPr>
          <w:sz w:val="22"/>
        </w:rPr>
        <w:t>Date: November 17, 2025</w:t>
      </w:r>
    </w:p>
    <w:p/>
    <w:p>
      <w:pPr>
        <w:jc w:val="left"/>
      </w:pPr>
      <w:r>
        <w:drawing>
          <wp:inline xmlns:a="http://schemas.openxmlformats.org/drawingml/2006/main" xmlns:pic="http://schemas.openxmlformats.org/drawingml/2006/picture">
            <wp:extent cx="2011680" cy="1636166"/>
            <wp:docPr id="1" name="Picture 1"/>
            <wp:cNvGraphicFramePr>
              <a:graphicFrameLocks noChangeAspect="1"/>
            </wp:cNvGraphicFramePr>
            <a:graphic>
              <a:graphicData uri="http://schemas.openxmlformats.org/drawingml/2006/picture">
                <pic:pic>
                  <pic:nvPicPr>
                    <pic:cNvPr id="0" name="Подпись устав .png"/>
                    <pic:cNvPicPr/>
                  </pic:nvPicPr>
                  <pic:blipFill>
                    <a:blip r:embed="rId9"/>
                    <a:stretch>
                      <a:fillRect/>
                    </a:stretch>
                  </pic:blipFill>
                  <pic:spPr>
                    <a:xfrm>
                      <a:off x="0" y="0"/>
                      <a:ext cx="2011680" cy="1636166"/>
                    </a:xfrm>
                    <a:prstGeom prst="rect"/>
                  </pic:spPr>
                </pic:pic>
              </a:graphicData>
            </a:graphic>
          </wp:inline>
        </w:drawing>
      </w:r>
    </w:p>
    <w:p>
      <w:pPr>
        <w:jc w:val="left"/>
      </w:pPr>
      <w:r>
        <w:rPr>
          <w:b/>
          <w:sz w:val="22"/>
        </w:rPr>
        <w:t>Domenico Liguori</w:t>
      </w:r>
    </w:p>
    <w:p>
      <w:pPr>
        <w:jc w:val="left"/>
      </w:pPr>
      <w:r>
        <w:rPr>
          <w:sz w:val="22"/>
        </w:rPr>
        <w:t>President</w:t>
      </w:r>
    </w:p>
    <w:p>
      <w:pPr>
        <w:jc w:val="left"/>
      </w:pPr>
      <w:r>
        <w:rPr>
          <w:sz w:val="22"/>
        </w:rPr>
        <w:t>Association of Business Professionals (EMEA)</w:t>
      </w:r>
    </w:p>
    <w:p>
      <w:pPr>
        <w:jc w:val="left"/>
      </w:pPr>
      <w:r>
        <w:rPr>
          <w:sz w:val="22"/>
        </w:rPr>
        <w:t>info@emeaabp.org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