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0" w:lineRule="exact"/>
        <w:jc w:val="center"/>
      </w:pPr>
      <w:r>
        <w:rPr>
          <w:b/>
          <w:sz w:val="24"/>
        </w:rPr>
        <w:t>EXCERPT FROM THE CHARTER</w:t>
        <w:br/>
        <w:t>Association of Business Professionals (EMEA)</w:t>
      </w:r>
    </w:p>
    <w:p>
      <w:pPr>
        <w:spacing w:before="80" w:after="40" w:line="260" w:lineRule="exact"/>
        <w:jc w:val="left"/>
      </w:pPr>
      <w:r>
        <w:rPr>
          <w:b/>
          <w:sz w:val="22"/>
        </w:rPr>
        <w:t>1. Mission, Purpose, and Objectives</w:t>
      </w:r>
    </w:p>
    <w:p>
      <w:pPr>
        <w:spacing w:before="80" w:after="40" w:line="260" w:lineRule="exact"/>
        <w:jc w:val="left"/>
      </w:pPr>
      <w:r>
        <w:rPr>
          <w:b/>
          <w:sz w:val="21"/>
        </w:rPr>
        <w:t>1.1. Mission</w:t>
      </w:r>
    </w:p>
    <w:p>
      <w:pPr>
        <w:spacing w:before="0" w:after="40" w:line="240" w:lineRule="exact"/>
        <w:jc w:val="both"/>
      </w:pPr>
      <w:r>
        <w:rPr>
          <w:sz w:val="20"/>
        </w:rPr>
        <w:t>The mission of the Association is to establish, unite, and support a professional community of highly qualified and internationally recognized individuals whose activities contribute to the advancement of entrepreneurship, strategic management, international trade, digital transformation, business innovation, and sustainable economic development within the EMEA region and globally.</w:t>
      </w:r>
    </w:p>
    <w:p>
      <w:pPr>
        <w:spacing w:before="80" w:after="40" w:line="260" w:lineRule="exact"/>
        <w:jc w:val="left"/>
      </w:pPr>
      <w:r>
        <w:rPr>
          <w:b/>
          <w:sz w:val="21"/>
        </w:rPr>
        <w:t>1.2. Purpose</w:t>
      </w:r>
    </w:p>
    <w:p>
      <w:pPr>
        <w:spacing w:before="0" w:after="40" w:line="240" w:lineRule="exact"/>
        <w:jc w:val="both"/>
      </w:pPr>
      <w:r>
        <w:rPr>
          <w:sz w:val="20"/>
        </w:rPr>
        <w:t>The Association is established as a non-profit professional organization aimed at fostering collaboration, knowledge exchange, professional excellence, and the promotion of internationally recognized standards in business leadership and innovation.</w:t>
      </w:r>
    </w:p>
    <w:p>
      <w:pPr>
        <w:spacing w:before="80" w:after="40" w:line="260" w:lineRule="exact"/>
        <w:jc w:val="left"/>
      </w:pPr>
      <w:r>
        <w:rPr>
          <w:b/>
          <w:sz w:val="21"/>
        </w:rPr>
        <w:t>1.3. Objectives</w:t>
      </w:r>
    </w:p>
    <w:p>
      <w:pPr>
        <w:spacing w:before="0" w:after="40" w:line="240" w:lineRule="exact"/>
        <w:jc w:val="both"/>
      </w:pPr>
      <w:r>
        <w:rPr>
          <w:sz w:val="20"/>
        </w:rPr>
        <w:t>To achieve its mission, the Association shall pursue the following objectives:</w:t>
      </w:r>
    </w:p>
    <w:p>
      <w:pPr>
        <w:spacing w:before="0" w:after="40" w:line="240" w:lineRule="exact"/>
        <w:ind w:left="360"/>
        <w:jc w:val="both"/>
      </w:pPr>
      <w:r>
        <w:rPr>
          <w:b/>
          <w:sz w:val="20"/>
        </w:rPr>
        <w:t xml:space="preserve">1.3.1. </w:t>
      </w:r>
      <w:r>
        <w:rPr>
          <w:sz w:val="20"/>
        </w:rPr>
        <w:t>To identify and bring together leading professionals in the fields of strategic management, international trade, supply chain management, product development, corporate governance, and business innovation whose activities demonstrate significant professional impact.</w:t>
      </w:r>
    </w:p>
    <w:p>
      <w:pPr>
        <w:spacing w:before="0" w:after="40" w:line="240" w:lineRule="exact"/>
        <w:ind w:left="360"/>
        <w:jc w:val="both"/>
      </w:pPr>
      <w:r>
        <w:rPr>
          <w:b/>
          <w:sz w:val="20"/>
        </w:rPr>
        <w:t xml:space="preserve">1.3.2. </w:t>
      </w:r>
      <w:r>
        <w:rPr>
          <w:sz w:val="20"/>
        </w:rPr>
        <w:t>To develop and maintain an international professional network comprising executives, entrepreneurs, innovators, consultants, educators, and other industry leaders engaged in the advancement of sustainable business practices and modern economic models.</w:t>
      </w:r>
    </w:p>
    <w:p>
      <w:pPr>
        <w:spacing w:before="0" w:after="40" w:line="240" w:lineRule="exact"/>
        <w:ind w:left="360"/>
        <w:jc w:val="both"/>
      </w:pPr>
      <w:r>
        <w:rPr>
          <w:b/>
          <w:sz w:val="20"/>
        </w:rPr>
        <w:t xml:space="preserve">1.3.3. </w:t>
      </w:r>
      <w:r>
        <w:rPr>
          <w:sz w:val="20"/>
        </w:rPr>
        <w:t>To promote the professional achievements and contributions of its Members at international level and to participate in global discussions related to digital transformation, technology-driven products, platform-based economies, creative industries, and innovation ecosystems.</w:t>
      </w:r>
    </w:p>
    <w:p>
      <w:pPr>
        <w:spacing w:before="0" w:after="40" w:line="240" w:lineRule="exact"/>
        <w:ind w:left="360"/>
        <w:jc w:val="both"/>
      </w:pPr>
      <w:r>
        <w:rPr>
          <w:b/>
          <w:sz w:val="20"/>
        </w:rPr>
        <w:t xml:space="preserve">1.3.4. </w:t>
      </w:r>
      <w:r>
        <w:rPr>
          <w:sz w:val="20"/>
        </w:rPr>
        <w:t>To support continuous professional development, encourage adherence to high ethical and quality standards, and foster responsible and sustainable approaches to digital product development, financial technologies, corporate innovation, and user-centered design methodologies.</w:t>
      </w:r>
    </w:p>
    <w:p>
      <w:pPr>
        <w:spacing w:before="0" w:after="40" w:line="240" w:lineRule="exact"/>
        <w:ind w:left="360"/>
        <w:jc w:val="both"/>
      </w:pPr>
      <w:r>
        <w:rPr>
          <w:b/>
          <w:sz w:val="20"/>
        </w:rPr>
        <w:t xml:space="preserve">1.3.5. </w:t>
      </w:r>
      <w:r>
        <w:rPr>
          <w:sz w:val="20"/>
        </w:rPr>
        <w:t>To contribute to the development and dissemination of best practices in business management, international cooperation, and innovation leadership.</w:t>
      </w:r>
    </w:p>
    <w:p>
      <w:pPr>
        <w:spacing w:before="80" w:after="40" w:line="260" w:lineRule="exact"/>
        <w:jc w:val="left"/>
      </w:pPr>
      <w:r>
        <w:rPr>
          <w:b/>
          <w:sz w:val="22"/>
        </w:rPr>
        <w:t>2. Membership</w:t>
      </w:r>
    </w:p>
    <w:p>
      <w:pPr>
        <w:spacing w:before="80" w:after="40" w:line="260" w:lineRule="exact"/>
        <w:jc w:val="left"/>
      </w:pPr>
      <w:r>
        <w:rPr>
          <w:b/>
          <w:sz w:val="21"/>
        </w:rPr>
        <w:t>2.1. Eligibility</w:t>
      </w:r>
    </w:p>
    <w:p>
      <w:pPr>
        <w:spacing w:before="0" w:after="40" w:line="240" w:lineRule="exact"/>
        <w:jc w:val="both"/>
      </w:pPr>
      <w:r>
        <w:rPr>
          <w:sz w:val="20"/>
        </w:rPr>
        <w:t>Membership in the Association shall be open to individuals who meet the professional and reputational standards established by the Association and who satisfy the criteria defined in this Charter and in the internal regulations adopted by the Association.</w:t>
      </w:r>
    </w:p>
    <w:p>
      <w:pPr>
        <w:spacing w:before="80" w:after="40" w:line="260" w:lineRule="exact"/>
        <w:jc w:val="left"/>
      </w:pPr>
      <w:r>
        <w:rPr>
          <w:b/>
          <w:sz w:val="21"/>
        </w:rPr>
        <w:t>2.2. Membership Criteria</w:t>
      </w:r>
    </w:p>
    <w:p>
      <w:pPr>
        <w:spacing w:before="0" w:after="40" w:line="240" w:lineRule="exact"/>
        <w:jc w:val="both"/>
      </w:pPr>
      <w:r>
        <w:rPr>
          <w:sz w:val="20"/>
        </w:rPr>
        <w:t>Candidates for membership must demonstrate:</w:t>
      </w:r>
    </w:p>
    <w:p>
      <w:pPr>
        <w:spacing w:before="0" w:after="40" w:line="240" w:lineRule="exact"/>
        <w:ind w:left="360"/>
        <w:jc w:val="both"/>
      </w:pPr>
      <w:r>
        <w:rPr>
          <w:b/>
          <w:sz w:val="20"/>
        </w:rPr>
        <w:t xml:space="preserve">2.2.1. </w:t>
      </w:r>
      <w:r>
        <w:rPr>
          <w:sz w:val="20"/>
        </w:rPr>
        <w:t>A high level of professional expertise, leadership experience, strategic competence, and recognized contributions in the fields of business, international trade, supply chain management, entrepreneurship, product development, or related disciplines.</w:t>
      </w:r>
    </w:p>
    <w:p>
      <w:pPr>
        <w:spacing w:before="0" w:after="40" w:line="240" w:lineRule="exact"/>
        <w:ind w:left="360"/>
        <w:jc w:val="both"/>
      </w:pPr>
      <w:r>
        <w:rPr>
          <w:b/>
          <w:sz w:val="20"/>
        </w:rPr>
        <w:t xml:space="preserve">2.2.2. </w:t>
      </w:r>
      <w:r>
        <w:rPr>
          <w:sz w:val="20"/>
        </w:rPr>
        <w:t>Evidence of international professional recognition, including but not limited to: leadership roles, significant industry achievements, participation in international projects, advisory activities, or comparable contributions to the development of business practices.</w:t>
      </w:r>
    </w:p>
    <w:p>
      <w:pPr>
        <w:spacing w:before="0" w:after="40" w:line="240" w:lineRule="exact"/>
        <w:ind w:left="360"/>
        <w:jc w:val="both"/>
      </w:pPr>
      <w:r>
        <w:rPr>
          <w:b/>
          <w:sz w:val="20"/>
        </w:rPr>
        <w:t xml:space="preserve">2.2.3. </w:t>
      </w:r>
      <w:r>
        <w:rPr>
          <w:sz w:val="20"/>
        </w:rPr>
        <w:t>Documented professional engagement, which may include publications, academic or industry articles, media appearances, public speaking engagements, teaching activities, conference participation, advisory services, or other forms of recognized professional contribution.</w:t>
      </w:r>
    </w:p>
    <w:p>
      <w:pPr>
        <w:spacing w:before="0" w:after="40" w:line="240" w:lineRule="exact"/>
        <w:ind w:left="360"/>
        <w:jc w:val="both"/>
      </w:pPr>
      <w:r>
        <w:rPr>
          <w:b/>
          <w:sz w:val="20"/>
        </w:rPr>
        <w:t xml:space="preserve">2.2.4. </w:t>
      </w:r>
      <w:r>
        <w:rPr>
          <w:sz w:val="20"/>
        </w:rPr>
        <w:t>Demonstrable impact on the development of business ecosystems, digital products, innovation initiatives, strategic transformation programs, or related areas within the EMEA region and internationally.</w:t>
      </w:r>
    </w:p>
    <w:p>
      <w:pPr>
        <w:spacing w:before="80" w:after="40" w:line="260" w:lineRule="exact"/>
        <w:jc w:val="left"/>
      </w:pPr>
      <w:r>
        <w:rPr>
          <w:b/>
          <w:sz w:val="21"/>
        </w:rPr>
        <w:t>2.3. Admission Procedure</w:t>
      </w:r>
    </w:p>
    <w:p>
      <w:pPr>
        <w:spacing w:before="0" w:after="40" w:line="240" w:lineRule="exact"/>
        <w:jc w:val="both"/>
      </w:pPr>
      <w:r>
        <w:rPr>
          <w:sz w:val="20"/>
        </w:rPr>
        <w:t>The procedure for admission, evaluation of candidates, approval of membership, suspension, and termination of membership shall be governed by internal regulations approved by the competent governing body of the Association.</w:t>
      </w:r>
    </w:p>
    <w:p>
      <w:pPr>
        <w:spacing w:before="80" w:after="40" w:line="260" w:lineRule="exact"/>
        <w:jc w:val="left"/>
      </w:pPr>
      <w:r>
        <w:rPr>
          <w:b/>
          <w:sz w:val="21"/>
        </w:rPr>
        <w:t>2.4. Principles of Membership</w:t>
      </w:r>
    </w:p>
    <w:p>
      <w:pPr>
        <w:spacing w:before="0" w:after="40" w:line="240" w:lineRule="exact"/>
        <w:jc w:val="both"/>
      </w:pPr>
      <w:r>
        <w:rPr>
          <w:sz w:val="20"/>
        </w:rPr>
        <w:t>The Association shall operate on the basis of the principles of:</w:t>
      </w:r>
    </w:p>
    <w:p>
      <w:pPr>
        <w:pStyle w:val="ListBullet"/>
        <w:spacing w:before="0" w:after="20" w:line="240" w:lineRule="exact"/>
        <w:jc w:val="both"/>
      </w:pPr>
      <w:r>
        <w:rPr>
          <w:sz w:val="20"/>
        </w:rPr>
        <w:t>equality of Members;</w:t>
      </w:r>
    </w:p>
    <w:p>
      <w:pPr>
        <w:pStyle w:val="ListBullet"/>
        <w:spacing w:before="0" w:after="20" w:line="240" w:lineRule="exact"/>
        <w:jc w:val="both"/>
      </w:pPr>
      <w:r>
        <w:rPr>
          <w:sz w:val="20"/>
        </w:rPr>
        <w:t>transparency in governance;</w:t>
      </w:r>
    </w:p>
    <w:p>
      <w:pPr>
        <w:pStyle w:val="ListBullet"/>
        <w:spacing w:before="0" w:after="20" w:line="240" w:lineRule="exact"/>
        <w:jc w:val="both"/>
      </w:pPr>
      <w:r>
        <w:rPr>
          <w:sz w:val="20"/>
        </w:rPr>
        <w:t>professional integrity;</w:t>
      </w:r>
    </w:p>
    <w:p>
      <w:pPr>
        <w:pStyle w:val="ListBullet"/>
        <w:spacing w:before="0" w:after="20" w:line="240" w:lineRule="exact"/>
        <w:jc w:val="both"/>
      </w:pPr>
      <w:r>
        <w:rPr>
          <w:sz w:val="20"/>
        </w:rPr>
        <w:t>ethical conduct;</w:t>
      </w:r>
    </w:p>
    <w:p>
      <w:pPr>
        <w:pStyle w:val="ListBullet"/>
        <w:spacing w:before="0" w:after="20" w:line="240" w:lineRule="exact"/>
        <w:jc w:val="both"/>
      </w:pPr>
      <w:r>
        <w:rPr>
          <w:sz w:val="20"/>
        </w:rPr>
        <w:t>non-discrimination;</w:t>
      </w:r>
    </w:p>
    <w:p>
      <w:pPr>
        <w:pStyle w:val="ListBullet"/>
        <w:spacing w:before="0" w:after="20" w:line="240" w:lineRule="exact"/>
        <w:jc w:val="both"/>
      </w:pPr>
      <w:r>
        <w:rPr>
          <w:sz w:val="20"/>
        </w:rPr>
        <w:t>voluntary participation;</w:t>
      </w:r>
    </w:p>
    <w:p>
      <w:pPr>
        <w:pStyle w:val="ListBullet"/>
        <w:spacing w:before="0" w:after="20" w:line="240" w:lineRule="exact"/>
        <w:jc w:val="both"/>
      </w:pPr>
      <w:r>
        <w:rPr>
          <w:sz w:val="20"/>
        </w:rPr>
        <w:t>compliance with applicable laws and regulations.</w:t>
      </w:r>
    </w:p>
    <w:p>
      <w:pPr>
        <w:spacing w:before="80" w:after="40" w:line="260" w:lineRule="exact"/>
        <w:jc w:val="left"/>
      </w:pPr>
      <w:r>
        <w:rPr>
          <w:b/>
          <w:sz w:val="21"/>
        </w:rPr>
        <w:t>2.5. Honorary (Senior) Members</w:t>
      </w:r>
    </w:p>
    <w:p>
      <w:pPr>
        <w:spacing w:before="0" w:after="40" w:line="240" w:lineRule="exact"/>
        <w:jc w:val="both"/>
      </w:pPr>
      <w:r>
        <w:rPr>
          <w:sz w:val="20"/>
        </w:rPr>
        <w:t>The Association may grant Honorary (Senior) Member status to individuals who have demonstrated outstanding achievements in the field of business. Candidates are accepted on the basis of criteria established for outstanding professional contribution to business development, as further specified in the Regulation on Special Membership approved by the governing body of the Association.</w:t>
      </w:r>
    </w:p>
    <w:p>
      <w:pPr>
        <w:spacing w:before="0" w:after="40" w:line="240" w:lineRule="exact"/>
        <w:jc w:val="both"/>
      </w:pPr>
      <w:r>
        <w:rPr>
          <w:sz w:val="20"/>
        </w:rPr>
        <w:t>Honorary (Senior) Members enjoy the rights and privileges of membership and are exempt from membership fees. The conditions of admission, criteria, rights, and revocation of this status are set out in full in the Regulation on Special Membership.</w:t>
      </w:r>
    </w:p>
    <w:p>
      <w:pPr>
        <w:spacing w:before="80" w:after="40" w:line="260" w:lineRule="exact"/>
        <w:jc w:val="left"/>
      </w:pPr>
      <w:r>
        <w:rPr>
          <w:b/>
          <w:sz w:val="21"/>
        </w:rPr>
        <w:t>2.6. Admissions Committee</w:t>
      </w:r>
    </w:p>
    <w:p>
      <w:pPr>
        <w:spacing w:before="0" w:after="40" w:line="240" w:lineRule="exact"/>
        <w:jc w:val="both"/>
      </w:pPr>
      <w:r>
        <w:rPr>
          <w:sz w:val="20"/>
        </w:rPr>
        <w:t>The Association shall maintain a standing Admissions Committee responsible for evaluating applications and nominations for all categories of membership, including Honorary (Senior) Members. The composition, functions, meeting procedure, minutes requirements, and confidentiality rules of the Admissions Committee are governed by the Regulation on Special Membership.</w:t>
      </w:r>
    </w:p>
    <w:p>
      <w:pPr>
        <w:spacing w:before="120" w:after="40" w:line="260" w:lineRule="exact"/>
        <w:jc w:val="left"/>
        <w:keepLines/>
        <w:keepNext/>
      </w:pPr>
      <w:r>
        <w:rPr>
          <w:b/>
          <w:sz w:val="21"/>
        </w:rPr>
        <w:t>Certification</w:t>
      </w:r>
    </w:p>
    <w:p>
      <w:pPr>
        <w:spacing w:before="0" w:after="80" w:line="240" w:lineRule="exact"/>
        <w:jc w:val="left"/>
        <w:keepLines/>
        <w:keepNext/>
      </w:pPr>
      <w:r>
        <w:rPr>
          <w:sz w:val="20"/>
        </w:rPr>
        <w:t>This excerpt is issued in accordance with the original Charter of the Association.</w:t>
      </w:r>
    </w:p>
    <w:p>
      <w:pPr>
        <w:spacing w:before="0" w:after="40" w:line="240" w:lineRule="exact"/>
        <w:jc w:val="left"/>
        <w:keepLines/>
        <w:keepNext/>
      </w:pPr>
      <w:r>
        <w:drawing>
          <wp:inline xmlns:a="http://schemas.openxmlformats.org/drawingml/2006/main" xmlns:pic="http://schemas.openxmlformats.org/drawingml/2006/picture">
            <wp:extent cx="1645920" cy="1338682"/>
            <wp:docPr id="1" name="Picture 1"/>
            <wp:cNvGraphicFramePr>
              <a:graphicFrameLocks noChangeAspect="1"/>
            </wp:cNvGraphicFramePr>
            <a:graphic>
              <a:graphicData uri="http://schemas.openxmlformats.org/drawingml/2006/picture">
                <pic:pic>
                  <pic:nvPicPr>
                    <pic:cNvPr id="0" name="Подпись устав .png"/>
                    <pic:cNvPicPr/>
                  </pic:nvPicPr>
                  <pic:blipFill>
                    <a:blip r:embed="rId9"/>
                    <a:stretch>
                      <a:fillRect/>
                    </a:stretch>
                  </pic:blipFill>
                  <pic:spPr>
                    <a:xfrm>
                      <a:off x="0" y="0"/>
                      <a:ext cx="1645920" cy="1338682"/>
                    </a:xfrm>
                    <a:prstGeom prst="rect"/>
                  </pic:spPr>
                </pic:pic>
              </a:graphicData>
            </a:graphic>
          </wp:inline>
        </w:drawing>
      </w:r>
    </w:p>
    <w:p>
      <w:pPr>
        <w:spacing w:before="0" w:after="80" w:line="240" w:lineRule="exact"/>
        <w:jc w:val="left"/>
        <w:keepLines/>
        <w:keepNext/>
      </w:pPr>
      <w:r>
        <w:rPr>
          <w:sz w:val="20"/>
        </w:rPr>
        <w:t>Date: November 17, 2025</w:t>
      </w:r>
    </w:p>
    <w:p>
      <w:pPr>
        <w:spacing w:before="0" w:after="20" w:line="240" w:lineRule="exact"/>
        <w:jc w:val="left"/>
        <w:keepLines/>
        <w:keepNext/>
      </w:pPr>
      <w:r>
        <w:rPr>
          <w:b/>
          <w:sz w:val="20"/>
        </w:rPr>
        <w:t>Domenico Liguori</w:t>
      </w:r>
    </w:p>
    <w:p>
      <w:pPr>
        <w:spacing w:before="0" w:after="20" w:line="240" w:lineRule="exact"/>
        <w:jc w:val="left"/>
        <w:keepLines/>
        <w:keepNext/>
      </w:pPr>
      <w:r>
        <w:rPr>
          <w:sz w:val="20"/>
        </w:rPr>
        <w:t>President</w:t>
      </w:r>
    </w:p>
    <w:p>
      <w:pPr>
        <w:spacing w:before="0" w:after="20" w:line="240" w:lineRule="exact"/>
        <w:jc w:val="left"/>
        <w:keepLines/>
        <w:keepNext/>
      </w:pPr>
      <w:r>
        <w:rPr>
          <w:sz w:val="20"/>
        </w:rPr>
        <w:t>Association of Business Professionals (EMEA)</w:t>
      </w:r>
    </w:p>
    <w:p>
      <w:pPr>
        <w:spacing w:before="0" w:after="20" w:line="240" w:lineRule="exact"/>
        <w:jc w:val="left"/>
        <w:keepLines/>
        <w:keepNext/>
      </w:pPr>
      <w:r>
        <w:rPr>
          <w:sz w:val="20"/>
        </w:rPr>
        <w:t>info@emeaabp.org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