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0"/>
        <w:tabs>
          <w:tab w:leader="none" w:pos="142" w:val="left"/>
          <w:tab w:leader="none" w:pos="6324" w:val="left"/>
        </w:tabs>
        <w:spacing w:after="0" w:line="240" w:lineRule="auto"/>
        <w:ind/>
        <w:jc w:val="right"/>
        <w:rPr>
          <w:rFonts w:ascii="Times New Roman" w:hAnsi="Times New Roman"/>
          <w:b w:val="1"/>
          <w:sz w:val="28"/>
        </w:rPr>
      </w:pPr>
      <w:r>
        <w:drawing>
          <wp:inline>
            <wp:extent cx="6119494" cy="1127773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119494" cy="11277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000000">
      <w:pPr>
        <w:widowControl w:val="0"/>
        <w:tabs>
          <w:tab w:leader="none" w:pos="142" w:val="left"/>
        </w:tabs>
        <w:spacing w:after="0" w:line="240" w:lineRule="auto"/>
        <w:ind/>
        <w:rPr>
          <w:rFonts w:ascii="Times New Roman" w:hAnsi="Times New Roman"/>
          <w:b w:val="1"/>
          <w:sz w:val="28"/>
        </w:rPr>
      </w:pPr>
    </w:p>
    <w:tbl>
      <w:tblPr>
        <w:tblStyle w:val="Style_1"/>
        <w:tblW w:type="auto" w:w="0"/>
        <w:jc w:val="center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left w:type="dxa" w:w="78"/>
        </w:tblCellMar>
      </w:tblPr>
      <w:tblGrid>
        <w:gridCol w:w="450"/>
        <w:gridCol w:w="4786"/>
        <w:gridCol w:w="597"/>
        <w:gridCol w:w="1845"/>
        <w:gridCol w:w="1960"/>
      </w:tblGrid>
      <w:tr>
        <w:trPr>
          <w:trHeight w:hRule="atLeast" w:val="1620"/>
        </w:trPr>
        <w:tc>
          <w:tcPr>
            <w:tcW w:type="dxa" w:w="5236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3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Weichai-rus</w:t>
            </w:r>
          </w:p>
          <w:p w14:paraId="04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sz w:val="24"/>
              </w:rPr>
              <w:t xml:space="preserve">656067, Алтайский край, г. Барнаул, </w:t>
            </w:r>
          </w:p>
          <w:p w14:paraId="05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sz w:val="24"/>
              </w:rPr>
              <w:t>ул. Балтийская, здание 92, строение 1, офис 301</w:t>
            </w:r>
          </w:p>
          <w:p w14:paraId="06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тел: +7 (9</w:t>
            </w:r>
            <w:r>
              <w:rPr>
                <w:rFonts w:ascii="Times New Roman" w:hAnsi="Times New Roman"/>
                <w:color w:val="000000"/>
                <w:sz w:val="24"/>
              </w:rPr>
              <w:t>26</w:t>
            </w:r>
            <w:r>
              <w:rPr>
                <w:rFonts w:ascii="Times New Roman" w:hAnsi="Times New Roman"/>
                <w:color w:val="000000"/>
                <w:sz w:val="24"/>
              </w:rPr>
              <w:t>)0</w:t>
            </w:r>
            <w:r>
              <w:rPr>
                <w:rFonts w:ascii="Times New Roman" w:hAnsi="Times New Roman"/>
                <w:color w:val="000000"/>
                <w:sz w:val="24"/>
              </w:rPr>
              <w:t>24</w:t>
            </w:r>
            <w:r>
              <w:rPr>
                <w:rFonts w:ascii="Times New Roman" w:hAnsi="Times New Roman"/>
                <w:color w:val="000000"/>
                <w:sz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</w:rPr>
              <w:t>81</w:t>
            </w:r>
            <w:r>
              <w:rPr>
                <w:rFonts w:ascii="Times New Roman" w:hAnsi="Times New Roman"/>
                <w:color w:val="000000"/>
                <w:sz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</w:rPr>
              <w:t>4</w:t>
            </w: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  <w:p w14:paraId="07000000">
            <w:pPr>
              <w:widowControl w:val="1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(Исп. Алексей Силаев)</w:t>
            </w:r>
          </w:p>
        </w:tc>
        <w:tc>
          <w:tcPr>
            <w:tcW w:type="dxa" w:w="4402"/>
            <w:gridSpan w:val="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8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rPr>
          <w:trHeight w:hRule="atLeast" w:val="370"/>
        </w:trPr>
        <w:tc>
          <w:tcPr>
            <w:tcW w:type="dxa" w:w="5236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9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Исх. № 225А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от 31</w:t>
            </w:r>
            <w:r>
              <w:rPr>
                <w:rFonts w:ascii="Times New Roman" w:hAnsi="Times New Roman"/>
                <w:sz w:val="24"/>
              </w:rPr>
              <w:t>.10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2025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г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type="dxa" w:w="4402"/>
            <w:gridSpan w:val="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A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0B000000">
      <w:pPr>
        <w:widowControl w:val="0"/>
        <w:tabs>
          <w:tab w:leader="none" w:pos="142" w:val="left"/>
        </w:tabs>
        <w:spacing w:after="0" w:line="240" w:lineRule="auto"/>
        <w:ind/>
        <w:jc w:val="center"/>
        <w:rPr>
          <w:b w:val="1"/>
          <w:sz w:val="40"/>
        </w:rPr>
      </w:pPr>
    </w:p>
    <w:p w14:paraId="0C000000">
      <w:pPr>
        <w:widowControl w:val="0"/>
        <w:tabs>
          <w:tab w:leader="none" w:pos="142" w:val="left"/>
        </w:tabs>
        <w:spacing w:after="0" w:line="240" w:lineRule="auto"/>
        <w:ind/>
        <w:jc w:val="center"/>
        <w:rPr>
          <w:b w:val="1"/>
          <w:sz w:val="40"/>
        </w:rPr>
      </w:pPr>
      <w:r>
        <w:rPr>
          <w:b w:val="1"/>
          <w:sz w:val="40"/>
        </w:rPr>
        <w:t>Коммерческое предложение</w:t>
      </w:r>
    </w:p>
    <w:p w14:paraId="0D000000">
      <w:pPr>
        <w:widowControl w:val="0"/>
        <w:tabs>
          <w:tab w:leader="none" w:pos="142" w:val="left"/>
        </w:tabs>
        <w:spacing w:after="0" w:line="240" w:lineRule="auto"/>
        <w:ind/>
        <w:jc w:val="center"/>
        <w:rPr>
          <w:b w:val="1"/>
          <w:sz w:val="28"/>
        </w:rPr>
      </w:pPr>
    </w:p>
    <w:tbl>
      <w:tblPr>
        <w:tblStyle w:val="Style_1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left w:type="dxa" w:w="78"/>
        </w:tblCellMar>
      </w:tblPr>
      <w:tblGrid>
        <w:gridCol w:w="450"/>
        <w:gridCol w:w="4786"/>
        <w:gridCol w:w="597"/>
        <w:gridCol w:w="1845"/>
        <w:gridCol w:w="1960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E000000">
            <w:pPr>
              <w:widowControl w:val="0"/>
              <w:spacing w:after="0" w:line="240" w:lineRule="auto"/>
              <w:ind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№</w:t>
            </w:r>
          </w:p>
        </w:tc>
        <w:tc>
          <w:tcPr>
            <w:tcW w:type="dxa" w:w="478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F000000">
            <w:pPr>
              <w:widowControl w:val="0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Наименование</w:t>
            </w:r>
          </w:p>
        </w:tc>
        <w:tc>
          <w:tcPr>
            <w:tcW w:type="dxa" w:w="5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0000000">
            <w:pPr>
              <w:widowControl w:val="0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Кол-во</w:t>
            </w:r>
          </w:p>
        </w:tc>
        <w:tc>
          <w:tcPr>
            <w:tcW w:type="dxa" w:w="18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1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 xml:space="preserve">Цена в руб. </w:t>
            </w:r>
          </w:p>
          <w:p w14:paraId="12000000">
            <w:pPr>
              <w:widowControl w:val="0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</w:rPr>
              <w:t>с НДС 20%</w:t>
            </w:r>
          </w:p>
        </w:tc>
        <w:tc>
          <w:tcPr>
            <w:tcW w:type="dxa" w:w="19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3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 xml:space="preserve">Стоимость в руб. </w:t>
            </w:r>
          </w:p>
          <w:p w14:paraId="14000000">
            <w:pPr>
              <w:widowControl w:val="0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</w:rPr>
              <w:t>с НДС 20%</w:t>
            </w:r>
          </w:p>
        </w:tc>
      </w:tr>
      <w:tr>
        <w:trPr>
          <w:trHeight w:hRule="atLeast" w:val="2812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5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78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6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</w:t>
            </w:r>
            <w:r>
              <w:rPr>
                <w:rFonts w:ascii="Times New Roman" w:hAnsi="Times New Roman"/>
                <w:color w:val="000000"/>
                <w:sz w:val="24"/>
              </w:rPr>
              <w:t>азопоршневая электростанция Weichai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WPG312B8NG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номинальной мощностью 250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кВт/ 313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кВА </w:t>
            </w:r>
            <w:r>
              <w:rPr>
                <w:rFonts w:ascii="Times New Roman" w:hAnsi="Times New Roman"/>
                <w:b w:val="1"/>
                <w:sz w:val="24"/>
              </w:rPr>
              <w:t>в открытом исполнении</w:t>
            </w:r>
          </w:p>
          <w:p w14:paraId="17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Габаритные размеры: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ДхШхВ (</w:t>
            </w:r>
            <w:r>
              <w:rPr>
                <w:rFonts w:ascii="Times New Roman" w:hAnsi="Times New Roman"/>
                <w:color w:val="000000"/>
                <w:sz w:val="24"/>
              </w:rPr>
              <w:t>3200х1345х1885мм)</w:t>
            </w:r>
          </w:p>
          <w:p w14:paraId="18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Мощность при длительной нагрузке 200 кВт </w:t>
            </w:r>
          </w:p>
          <w:p w14:paraId="19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Двигатель </w:t>
            </w:r>
            <w:r>
              <w:rPr>
                <w:rFonts w:ascii="Times New Roman" w:hAnsi="Times New Roman"/>
                <w:color w:val="000000"/>
                <w:sz w:val="24"/>
              </w:rPr>
              <w:t>Weichai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WP13D317E300NG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1A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Альтернатор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ENGGA EG280-250N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1B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Панель управления </w:t>
            </w:r>
            <w:r>
              <w:rPr>
                <w:rFonts w:ascii="Times New Roman" w:hAnsi="Times New Roman"/>
                <w:color w:val="000000"/>
                <w:sz w:val="24"/>
              </w:rPr>
              <w:t>DSE8610 параллельная работа</w:t>
            </w:r>
          </w:p>
        </w:tc>
        <w:tc>
          <w:tcPr>
            <w:tcW w:type="dxa" w:w="5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C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8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D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4 400 000,00</w:t>
            </w:r>
          </w:p>
        </w:tc>
        <w:tc>
          <w:tcPr>
            <w:tcW w:type="dxa" w:w="19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E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4 400 000,00</w:t>
            </w:r>
          </w:p>
        </w:tc>
      </w:tr>
      <w:tr>
        <w:trPr>
          <w:trHeight w:hRule="atLeast" w:val="876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F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78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0000000">
            <w:pPr>
              <w:spacing w:after="0" w:before="0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Пусконаладочные работы (ПНР)</w:t>
            </w:r>
          </w:p>
        </w:tc>
        <w:tc>
          <w:tcPr>
            <w:tcW w:type="dxa" w:w="5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1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8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2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90 000,00</w:t>
            </w:r>
          </w:p>
        </w:tc>
        <w:tc>
          <w:tcPr>
            <w:tcW w:type="dxa" w:w="19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3000000">
            <w:pPr>
              <w:widowControl w:val="0"/>
              <w:spacing w:after="0" w:before="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90 000,00</w:t>
            </w:r>
          </w:p>
        </w:tc>
      </w:tr>
    </w:tbl>
    <w:p w14:paraId="24000000">
      <w:pPr>
        <w:widowControl w:val="0"/>
        <w:tabs>
          <w:tab w:leader="none" w:pos="142" w:val="left"/>
        </w:tabs>
        <w:spacing w:after="0" w:line="240" w:lineRule="auto"/>
        <w:ind/>
        <w:jc w:val="left"/>
        <w:rPr>
          <w:rFonts w:ascii="Times New Roman" w:hAnsi="Times New Roman"/>
          <w:b w:val="0"/>
          <w:sz w:val="23"/>
        </w:rPr>
      </w:pPr>
    </w:p>
    <w:p w14:paraId="25000000">
      <w:pPr>
        <w:widowControl w:val="0"/>
        <w:tabs>
          <w:tab w:leader="none" w:pos="142" w:val="left"/>
        </w:tabs>
        <w:spacing w:after="0" w:line="240" w:lineRule="auto"/>
        <w:ind w:left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Комплектация</w:t>
      </w:r>
      <w:r>
        <w:rPr>
          <w:rFonts w:ascii="Times New Roman" w:hAnsi="Times New Roman"/>
          <w:b w:val="1"/>
          <w:sz w:val="24"/>
        </w:rPr>
        <w:t>:</w:t>
      </w:r>
    </w:p>
    <w:p w14:paraId="26000000">
      <w:pPr>
        <w:widowControl w:val="0"/>
        <w:tabs>
          <w:tab w:leader="none" w:pos="142" w:val="left"/>
        </w:tabs>
        <w:spacing w:after="0" w:line="240" w:lineRule="auto"/>
        <w:ind w:left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color w:themeColor="dark1" w:val="000000"/>
          <w:sz w:val="24"/>
        </w:rPr>
        <w:t>Газовая рампа</w:t>
      </w:r>
    </w:p>
    <w:p w14:paraId="27000000">
      <w:pPr>
        <w:widowControl w:val="0"/>
        <w:tabs>
          <w:tab w:leader="none" w:pos="450" w:val="left"/>
          <w:tab w:leader="none" w:pos="3084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</w:rPr>
        <w:t>Блок заряда батарей</w:t>
      </w:r>
    </w:p>
    <w:p w14:paraId="28000000">
      <w:pPr>
        <w:widowControl w:val="0"/>
        <w:tabs>
          <w:tab w:leader="none" w:pos="450" w:val="left"/>
          <w:tab w:leader="none" w:pos="3084" w:val="left"/>
        </w:tabs>
        <w:spacing w:after="0" w:line="240" w:lineRule="auto"/>
        <w:ind w:lef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Комплект АКБ</w:t>
      </w:r>
    </w:p>
    <w:p w14:paraId="29000000">
      <w:pPr>
        <w:widowControl w:val="0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</w:p>
    <w:p w14:paraId="2A000000">
      <w:pPr>
        <w:widowControl w:val="0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Стоимость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2B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Цены указаны на условиях отгрузки оборудования со склада </w:t>
      </w:r>
      <w:r>
        <w:rPr>
          <w:rFonts w:ascii="Times New Roman" w:hAnsi="Times New Roman"/>
          <w:sz w:val="24"/>
        </w:rPr>
        <w:t>г. Барнаул с учетом</w:t>
      </w:r>
      <w:r>
        <w:rPr>
          <w:rFonts w:ascii="Times New Roman" w:hAnsi="Times New Roman"/>
          <w:sz w:val="24"/>
        </w:rPr>
        <w:t xml:space="preserve"> всех пошлин и налогов, в том числе НДС (20%).</w:t>
      </w:r>
    </w:p>
    <w:p w14:paraId="2C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</w:p>
    <w:p w14:paraId="2D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Срок изготовления</w:t>
      </w:r>
      <w:r>
        <w:rPr>
          <w:rFonts w:ascii="Times New Roman" w:hAnsi="Times New Roman"/>
          <w:b w:val="1"/>
          <w:sz w:val="24"/>
        </w:rPr>
        <w:t xml:space="preserve"> и доставки</w:t>
      </w:r>
      <w:r>
        <w:rPr>
          <w:rFonts w:ascii="Times New Roman" w:hAnsi="Times New Roman"/>
          <w:b w:val="1"/>
          <w:sz w:val="24"/>
        </w:rPr>
        <w:t xml:space="preserve"> оборудования</w:t>
      </w:r>
      <w:r>
        <w:rPr>
          <w:rFonts w:ascii="Times New Roman" w:hAnsi="Times New Roman"/>
          <w:sz w:val="24"/>
        </w:rPr>
        <w:t>:</w:t>
      </w:r>
    </w:p>
    <w:p w14:paraId="2E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35 календарных дней;</w:t>
      </w:r>
    </w:p>
    <w:p w14:paraId="2F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</w:p>
    <w:p w14:paraId="30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Условия платежа</w:t>
      </w:r>
      <w:r>
        <w:rPr>
          <w:rFonts w:ascii="Times New Roman" w:hAnsi="Times New Roman"/>
          <w:sz w:val="24"/>
        </w:rPr>
        <w:t>:</w:t>
      </w:r>
    </w:p>
    <w:p w14:paraId="31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Предоплата 30%; 40% перед отправкой ГПУ из Китая; 30% </w:t>
      </w:r>
      <w:r>
        <w:rPr>
          <w:rFonts w:ascii="Times New Roman" w:hAnsi="Times New Roman"/>
          <w:sz w:val="24"/>
        </w:rPr>
        <w:t xml:space="preserve">по факту готовности к отгрузке </w:t>
      </w:r>
      <w:r>
        <w:rPr>
          <w:rFonts w:ascii="Times New Roman" w:hAnsi="Times New Roman"/>
          <w:sz w:val="24"/>
        </w:rPr>
        <w:t>со склада Поставщика в Российской Федерации;</w:t>
      </w:r>
    </w:p>
    <w:p w14:paraId="32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33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Гарантия</w:t>
      </w:r>
      <w:r>
        <w:rPr>
          <w:rFonts w:ascii="Times New Roman" w:hAnsi="Times New Roman"/>
          <w:b w:val="1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34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</w:t>
      </w:r>
      <w:r>
        <w:rPr>
          <w:rFonts w:ascii="Times New Roman" w:hAnsi="Times New Roman"/>
          <w:sz w:val="24"/>
        </w:rPr>
        <w:t xml:space="preserve"> мес. либо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000 мото</w:t>
      </w:r>
      <w:r>
        <w:rPr>
          <w:rFonts w:ascii="Times New Roman" w:hAnsi="Times New Roman"/>
          <w:sz w:val="24"/>
        </w:rPr>
        <w:t>часов, в зависимости от того что наступит ранее</w:t>
      </w:r>
      <w:r>
        <w:rPr>
          <w:rFonts w:ascii="Times New Roman" w:hAnsi="Times New Roman"/>
          <w:sz w:val="24"/>
        </w:rPr>
        <w:t>.</w:t>
      </w:r>
    </w:p>
    <w:p w14:paraId="35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36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</w:p>
    <w:p w14:paraId="37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действия данного предложения:</w:t>
      </w:r>
    </w:p>
    <w:p w14:paraId="38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Данное </w:t>
      </w:r>
      <w:r>
        <w:rPr>
          <w:rFonts w:ascii="Times New Roman" w:hAnsi="Times New Roman"/>
          <w:sz w:val="24"/>
        </w:rPr>
        <w:t>предложение действительно до «30</w:t>
      </w:r>
      <w:r>
        <w:rPr>
          <w:rFonts w:ascii="Times New Roman" w:hAnsi="Times New Roman"/>
          <w:sz w:val="24"/>
        </w:rPr>
        <w:t>» Ноября</w:t>
      </w:r>
      <w:r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г.</w:t>
      </w:r>
    </w:p>
    <w:p w14:paraId="39000000">
      <w:pPr>
        <w:widowControl w:val="0"/>
        <w:spacing w:after="0" w:line="240" w:lineRule="auto"/>
        <w:ind w:hanging="2127" w:left="2127"/>
        <w:jc w:val="both"/>
        <w:rPr>
          <w:rFonts w:ascii="Times New Roman" w:hAnsi="Times New Roman"/>
          <w:sz w:val="24"/>
        </w:rPr>
      </w:pPr>
    </w:p>
    <w:p w14:paraId="3A000000">
      <w:pPr>
        <w:widowControl w:val="0"/>
        <w:spacing w:after="0" w:line="240" w:lineRule="auto"/>
        <w:ind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 xml:space="preserve">С уважением, </w:t>
      </w:r>
    </w:p>
    <w:p w14:paraId="3B000000">
      <w:pPr>
        <w:widowControl w:val="0"/>
        <w:spacing w:after="0" w:line="240" w:lineRule="auto"/>
        <w:ind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Алексей Силаев</w:t>
      </w:r>
    </w:p>
    <w:p w14:paraId="3C000000">
      <w:pPr>
        <w:widowControl w:val="0"/>
        <w:spacing w:after="0" w:line="240" w:lineRule="auto"/>
        <w:ind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sz w:val="24"/>
        </w:rPr>
        <w:t>Weichai Import</w:t>
      </w:r>
    </w:p>
    <w:p w14:paraId="3D000000">
      <w:pPr>
        <w:widowControl w:val="0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sz w:val="24"/>
        </w:rPr>
        <w:t xml:space="preserve">Моб. </w:t>
      </w:r>
      <w:r>
        <w:rPr>
          <w:rFonts w:ascii="Times New Roman" w:hAnsi="Times New Roman"/>
          <w:color w:val="000000"/>
          <w:sz w:val="24"/>
        </w:rPr>
        <w:t>+7 (9</w:t>
      </w:r>
      <w:r>
        <w:rPr>
          <w:rFonts w:ascii="Times New Roman" w:hAnsi="Times New Roman"/>
          <w:color w:val="000000"/>
          <w:sz w:val="24"/>
        </w:rPr>
        <w:t>26</w:t>
      </w:r>
      <w:r>
        <w:rPr>
          <w:rFonts w:ascii="Times New Roman" w:hAnsi="Times New Roman"/>
          <w:color w:val="000000"/>
          <w:sz w:val="24"/>
        </w:rPr>
        <w:t>)0</w:t>
      </w:r>
      <w:r>
        <w:rPr>
          <w:rFonts w:ascii="Times New Roman" w:hAnsi="Times New Roman"/>
          <w:color w:val="000000"/>
          <w:sz w:val="24"/>
        </w:rPr>
        <w:t>24</w:t>
      </w:r>
      <w:r>
        <w:rPr>
          <w:rFonts w:ascii="Times New Roman" w:hAnsi="Times New Roman"/>
          <w:color w:val="000000"/>
          <w:sz w:val="24"/>
        </w:rPr>
        <w:t>-</w:t>
      </w:r>
      <w:r>
        <w:rPr>
          <w:rFonts w:ascii="Times New Roman" w:hAnsi="Times New Roman"/>
          <w:color w:val="000000"/>
          <w:sz w:val="24"/>
        </w:rPr>
        <w:t>81</w:t>
      </w:r>
      <w:r>
        <w:rPr>
          <w:rFonts w:ascii="Times New Roman" w:hAnsi="Times New Roman"/>
          <w:color w:val="000000"/>
          <w:sz w:val="24"/>
        </w:rPr>
        <w:t>-</w:t>
      </w:r>
      <w:r>
        <w:rPr>
          <w:rFonts w:ascii="Times New Roman" w:hAnsi="Times New Roman"/>
          <w:color w:val="000000"/>
          <w:sz w:val="24"/>
        </w:rPr>
        <w:t>4</w:t>
      </w:r>
      <w:r>
        <w:rPr>
          <w:rFonts w:ascii="Times New Roman" w:hAnsi="Times New Roman"/>
          <w:color w:val="000000"/>
          <w:sz w:val="24"/>
        </w:rPr>
        <w:t>5</w:t>
      </w:r>
    </w:p>
    <w:p w14:paraId="3E000000">
      <w:pPr>
        <w:widowControl w:val="0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Weichai-rus.ru</w:t>
      </w:r>
    </w:p>
    <w:sectPr>
      <w:pgSz w:h="16838" w:orient="portrait" w:w="11906"/>
      <w:pgMar w:bottom="567" w:footer="0" w:gutter="0" w:header="0" w:left="1418" w:right="851" w:top="56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1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2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3">
      <w:start w:val="1"/>
      <w:numFmt w:val="decimal"/>
      <w:pStyle w:val="Style_40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4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5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6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7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8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0"/>
      </w:rPr>
    </w:rPrDefault>
    <w:pPrDefault>
      <w:pPr>
        <w:widowControl w:val="0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0"/>
      <w:spacing w:after="200" w:line="276" w:lineRule="auto"/>
      <w:ind/>
    </w:pPr>
    <w:rPr>
      <w:sz w:val="22"/>
    </w:rPr>
  </w:style>
  <w:style w:default="1" w:styleId="Style_2_ch" w:type="character">
    <w:name w:val="Normal"/>
    <w:link w:val="Style_2"/>
    <w:rPr>
      <w:sz w:val="22"/>
    </w:rPr>
  </w:style>
  <w:style w:styleId="Style_3" w:type="paragraph">
    <w:name w:val="Содержимое таблицы"/>
    <w:basedOn w:val="Style_2"/>
    <w:link w:val="Style_3_ch"/>
  </w:style>
  <w:style w:styleId="Style_3_ch" w:type="character">
    <w:name w:val="Содержимое таблицы"/>
    <w:basedOn w:val="Style_2_ch"/>
    <w:link w:val="Style_3"/>
  </w:style>
  <w:style w:styleId="Style_4" w:type="paragraph">
    <w:name w:val="toc 2"/>
    <w:next w:val="Style_2"/>
    <w:link w:val="Style_4_ch"/>
    <w:uiPriority w:val="39"/>
    <w:pPr>
      <w:widowControl w:val="0"/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Normal (Web)"/>
    <w:basedOn w:val="Style_2"/>
    <w:link w:val="Style_5_ch"/>
    <w:pPr>
      <w:widowControl w:val="0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5_ch" w:type="character">
    <w:name w:val="Normal (Web)"/>
    <w:basedOn w:val="Style_2_ch"/>
    <w:link w:val="Style_5"/>
    <w:rPr>
      <w:rFonts w:ascii="Times New Roman" w:hAnsi="Times New Roman"/>
      <w:sz w:val="24"/>
    </w:rPr>
  </w:style>
  <w:style w:styleId="Style_6" w:type="paragraph">
    <w:name w:val="toc 4"/>
    <w:next w:val="Style_2"/>
    <w:link w:val="Style_6_ch"/>
    <w:uiPriority w:val="39"/>
    <w:pPr>
      <w:widowControl w:val="0"/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No Spacing"/>
    <w:link w:val="Style_7_ch"/>
    <w:rPr>
      <w:rFonts w:ascii="Times New Roman" w:hAnsi="Times New Roman"/>
      <w:sz w:val="24"/>
    </w:rPr>
  </w:style>
  <w:style w:styleId="Style_7_ch" w:type="character">
    <w:name w:val="No Spacing"/>
    <w:link w:val="Style_7"/>
    <w:rPr>
      <w:rFonts w:ascii="Times New Roman" w:hAnsi="Times New Roman"/>
      <w:sz w:val="24"/>
    </w:rPr>
  </w:style>
  <w:style w:styleId="Style_8" w:type="paragraph">
    <w:name w:val="Выделение жирным"/>
    <w:link w:val="Style_8_ch"/>
    <w:rPr>
      <w:b w:val="1"/>
    </w:rPr>
  </w:style>
  <w:style w:styleId="Style_8_ch" w:type="character">
    <w:name w:val="Выделение жирным"/>
    <w:link w:val="Style_8"/>
    <w:rPr>
      <w:b w:val="1"/>
    </w:rPr>
  </w:style>
  <w:style w:styleId="Style_9" w:type="paragraph">
    <w:name w:val="toc 6"/>
    <w:next w:val="Style_2"/>
    <w:link w:val="Style_9_ch"/>
    <w:uiPriority w:val="39"/>
    <w:pPr>
      <w:widowControl w:val="0"/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2"/>
    <w:link w:val="Style_10_ch"/>
    <w:uiPriority w:val="39"/>
    <w:pPr>
      <w:widowControl w:val="0"/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Standard"/>
    <w:link w:val="Style_11_ch"/>
    <w:rPr>
      <w:rFonts w:ascii="Times New Roman" w:hAnsi="Times New Roman"/>
    </w:rPr>
  </w:style>
  <w:style w:styleId="Style_11_ch" w:type="character">
    <w:name w:val="Standard"/>
    <w:link w:val="Style_11"/>
    <w:rPr>
      <w:rFonts w:ascii="Times New Roman" w:hAnsi="Times New Roman"/>
    </w:rPr>
  </w:style>
  <w:style w:styleId="Style_12" w:type="paragraph">
    <w:name w:val="List"/>
    <w:basedOn w:val="Style_13"/>
    <w:link w:val="Style_12_ch"/>
  </w:style>
  <w:style w:styleId="Style_12_ch" w:type="character">
    <w:name w:val="List"/>
    <w:basedOn w:val="Style_13_ch"/>
    <w:link w:val="Style_12"/>
  </w:style>
  <w:style w:styleId="Style_14" w:type="paragraph">
    <w:name w:val="Balloon Text"/>
    <w:basedOn w:val="Style_2"/>
    <w:link w:val="Style_14_ch"/>
    <w:pPr>
      <w:widowControl w:val="0"/>
      <w:spacing w:after="0" w:line="240" w:lineRule="auto"/>
      <w:ind/>
    </w:pPr>
    <w:rPr>
      <w:rFonts w:ascii="Tahoma" w:hAnsi="Tahoma"/>
      <w:sz w:val="16"/>
    </w:rPr>
  </w:style>
  <w:style w:styleId="Style_14_ch" w:type="character">
    <w:name w:val="Balloon Text"/>
    <w:basedOn w:val="Style_2_ch"/>
    <w:link w:val="Style_14"/>
    <w:rPr>
      <w:rFonts w:ascii="Tahoma" w:hAnsi="Tahoma"/>
      <w:sz w:val="16"/>
    </w:rPr>
  </w:style>
  <w:style w:styleId="Style_15" w:type="paragraph">
    <w:name w:val="Endnote"/>
    <w:link w:val="Style_15_ch"/>
    <w:pPr>
      <w:widowControl w:val="0"/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Endnote"/>
    <w:link w:val="Style_15"/>
    <w:rPr>
      <w:rFonts w:ascii="XO Thames" w:hAnsi="XO Thames"/>
      <w:sz w:val="22"/>
    </w:rPr>
  </w:style>
  <w:style w:styleId="Style_16" w:type="paragraph">
    <w:name w:val="heading 3"/>
    <w:basedOn w:val="Style_2"/>
    <w:next w:val="Style_2"/>
    <w:link w:val="Style_16_ch"/>
    <w:uiPriority w:val="9"/>
    <w:qFormat/>
    <w:pPr>
      <w:keepNext w:val="1"/>
      <w:keepLines w:val="1"/>
      <w:widowControl w:val="0"/>
      <w:spacing w:after="0" w:before="40"/>
      <w:ind/>
      <w:outlineLvl w:val="2"/>
    </w:pPr>
    <w:rPr>
      <w:rFonts w:asciiTheme="majorAscii" w:hAnsiTheme="majorHAnsi"/>
      <w:color w:themeColor="accent1" w:themeShade="7F" w:val="244061"/>
      <w:sz w:val="24"/>
    </w:rPr>
  </w:style>
  <w:style w:styleId="Style_16_ch" w:type="character">
    <w:name w:val="heading 3"/>
    <w:basedOn w:val="Style_2_ch"/>
    <w:link w:val="Style_16"/>
    <w:rPr>
      <w:rFonts w:asciiTheme="majorAscii" w:hAnsiTheme="majorHAnsi"/>
      <w:color w:themeColor="accent1" w:themeShade="7F" w:val="244061"/>
      <w:sz w:val="24"/>
    </w:rPr>
  </w:style>
  <w:style w:styleId="Style_17" w:type="paragraph">
    <w:name w:val="Символ нумерации"/>
    <w:link w:val="Style_17_ch"/>
  </w:style>
  <w:style w:styleId="Style_17_ch" w:type="character">
    <w:name w:val="Символ нумерации"/>
    <w:link w:val="Style_17"/>
  </w:style>
  <w:style w:styleId="Style_18" w:type="paragraph">
    <w:name w:val="caption"/>
    <w:basedOn w:val="Style_2"/>
    <w:link w:val="Style_18_ch"/>
    <w:pPr>
      <w:widowControl w:val="0"/>
      <w:spacing w:after="120" w:before="120"/>
      <w:ind/>
    </w:pPr>
    <w:rPr>
      <w:i w:val="1"/>
      <w:sz w:val="24"/>
    </w:rPr>
  </w:style>
  <w:style w:styleId="Style_18_ch" w:type="character">
    <w:name w:val="caption"/>
    <w:basedOn w:val="Style_2_ch"/>
    <w:link w:val="Style_18"/>
    <w:rPr>
      <w:i w:val="1"/>
      <w:sz w:val="24"/>
    </w:rPr>
  </w:style>
  <w:style w:styleId="Style_19" w:type="paragraph">
    <w:name w:val="Заголовок"/>
    <w:basedOn w:val="Style_2"/>
    <w:next w:val="Style_13"/>
    <w:link w:val="Style_19_ch"/>
    <w:pPr>
      <w:keepNext w:val="1"/>
      <w:widowControl w:val="0"/>
      <w:spacing w:after="120" w:before="240"/>
      <w:ind/>
    </w:pPr>
    <w:rPr>
      <w:rFonts w:ascii="Liberation Sans" w:hAnsi="Liberation Sans"/>
      <w:sz w:val="28"/>
    </w:rPr>
  </w:style>
  <w:style w:styleId="Style_19_ch" w:type="character">
    <w:name w:val="Заголовок"/>
    <w:basedOn w:val="Style_2_ch"/>
    <w:link w:val="Style_19"/>
    <w:rPr>
      <w:rFonts w:ascii="Liberation Sans" w:hAnsi="Liberation Sans"/>
      <w:sz w:val="28"/>
    </w:rPr>
  </w:style>
  <w:style w:styleId="Style_13" w:type="paragraph">
    <w:name w:val="Body Text"/>
    <w:basedOn w:val="Style_2"/>
    <w:link w:val="Style_13_ch"/>
    <w:pPr>
      <w:widowControl w:val="0"/>
      <w:spacing w:after="140"/>
      <w:ind/>
    </w:pPr>
  </w:style>
  <w:style w:styleId="Style_13_ch" w:type="character">
    <w:name w:val="Body Text"/>
    <w:basedOn w:val="Style_2_ch"/>
    <w:link w:val="Style_13"/>
  </w:style>
  <w:style w:styleId="Style_20" w:type="paragraph">
    <w:name w:val="Strong"/>
    <w:link w:val="Style_20_ch"/>
    <w:rPr>
      <w:b w:val="1"/>
    </w:rPr>
  </w:style>
  <w:style w:styleId="Style_20_ch" w:type="character">
    <w:name w:val="Strong"/>
    <w:link w:val="Style_20"/>
    <w:rPr>
      <w:b w:val="1"/>
    </w:rPr>
  </w:style>
  <w:style w:styleId="Style_21" w:type="paragraph">
    <w:name w:val="toc 3"/>
    <w:next w:val="Style_2"/>
    <w:link w:val="Style_21_ch"/>
    <w:uiPriority w:val="39"/>
    <w:pPr>
      <w:widowControl w:val="0"/>
      <w:ind w:firstLine="0" w:left="400"/>
      <w:jc w:val="left"/>
    </w:pPr>
    <w:rPr>
      <w:rFonts w:ascii="XO Thames" w:hAnsi="XO Thames"/>
      <w:sz w:val="28"/>
    </w:rPr>
  </w:style>
  <w:style w:styleId="Style_21_ch" w:type="character">
    <w:name w:val="toc 3"/>
    <w:link w:val="Style_21"/>
    <w:rPr>
      <w:rFonts w:ascii="XO Thames" w:hAnsi="XO Thames"/>
      <w:sz w:val="28"/>
    </w:rPr>
  </w:style>
  <w:style w:styleId="Style_22" w:type="paragraph">
    <w:name w:val="index heading"/>
    <w:basedOn w:val="Style_2"/>
    <w:link w:val="Style_22_ch"/>
  </w:style>
  <w:style w:styleId="Style_22_ch" w:type="character">
    <w:name w:val="index heading"/>
    <w:basedOn w:val="Style_2_ch"/>
    <w:link w:val="Style_22"/>
  </w:style>
  <w:style w:styleId="Style_23" w:type="paragraph">
    <w:name w:val="Маркеры"/>
    <w:link w:val="Style_23_ch"/>
    <w:rPr>
      <w:rFonts w:ascii="OpenSymbol" w:hAnsi="OpenSymbol"/>
    </w:rPr>
  </w:style>
  <w:style w:styleId="Style_23_ch" w:type="character">
    <w:name w:val="Маркеры"/>
    <w:link w:val="Style_23"/>
    <w:rPr>
      <w:rFonts w:ascii="OpenSymbol" w:hAnsi="OpenSymbol"/>
    </w:rPr>
  </w:style>
  <w:style w:styleId="Style_24" w:type="paragraph">
    <w:name w:val="Текст выноски Знак"/>
    <w:basedOn w:val="Style_25"/>
    <w:link w:val="Style_24_ch"/>
    <w:rPr>
      <w:rFonts w:ascii="Tahoma" w:hAnsi="Tahoma"/>
      <w:sz w:val="16"/>
    </w:rPr>
  </w:style>
  <w:style w:styleId="Style_24_ch" w:type="character">
    <w:name w:val="Текст выноски Знак"/>
    <w:basedOn w:val="Style_25_ch"/>
    <w:link w:val="Style_24"/>
    <w:rPr>
      <w:rFonts w:ascii="Tahoma" w:hAnsi="Tahoma"/>
      <w:sz w:val="16"/>
    </w:rPr>
  </w:style>
  <w:style w:styleId="Style_26" w:type="paragraph">
    <w:name w:val="heading 5"/>
    <w:next w:val="Style_2"/>
    <w:link w:val="Style_26_ch"/>
    <w:uiPriority w:val="9"/>
    <w:qFormat/>
    <w:pPr>
      <w:widowControl w:val="0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6_ch" w:type="character">
    <w:name w:val="heading 5"/>
    <w:link w:val="Style_26"/>
    <w:rPr>
      <w:rFonts w:ascii="XO Thames" w:hAnsi="XO Thames"/>
      <w:b w:val="1"/>
      <w:sz w:val="22"/>
    </w:rPr>
  </w:style>
  <w:style w:styleId="Style_27" w:type="paragraph">
    <w:name w:val="heading 1"/>
    <w:basedOn w:val="Style_2"/>
    <w:next w:val="Style_2"/>
    <w:link w:val="Style_27_ch"/>
    <w:uiPriority w:val="9"/>
    <w:qFormat/>
    <w:pPr>
      <w:keepNext w:val="1"/>
      <w:keepLines w:val="1"/>
      <w:widowControl w:val="0"/>
      <w:spacing w:after="0" w:before="240"/>
      <w:ind/>
      <w:outlineLvl w:val="0"/>
    </w:pPr>
    <w:rPr>
      <w:rFonts w:asciiTheme="majorAscii" w:hAnsiTheme="majorHAnsi"/>
      <w:color w:themeColor="accent1" w:themeShade="BF" w:val="376092"/>
      <w:sz w:val="32"/>
    </w:rPr>
  </w:style>
  <w:style w:styleId="Style_27_ch" w:type="character">
    <w:name w:val="heading 1"/>
    <w:basedOn w:val="Style_2_ch"/>
    <w:link w:val="Style_27"/>
    <w:rPr>
      <w:rFonts w:asciiTheme="majorAscii" w:hAnsiTheme="majorHAnsi"/>
      <w:color w:themeColor="accent1" w:themeShade="BF" w:val="376092"/>
      <w:sz w:val="32"/>
    </w:rPr>
  </w:style>
  <w:style w:styleId="Style_28" w:type="paragraph">
    <w:name w:val="Маркеры списка"/>
    <w:link w:val="Style_28_ch"/>
    <w:rPr>
      <w:rFonts w:ascii="OpenSymbol" w:hAnsi="OpenSymbol"/>
    </w:rPr>
  </w:style>
  <w:style w:styleId="Style_28_ch" w:type="character">
    <w:name w:val="Маркеры списка"/>
    <w:link w:val="Style_28"/>
    <w:rPr>
      <w:rFonts w:ascii="OpenSymbol" w:hAnsi="OpenSymbol"/>
    </w:rPr>
  </w:style>
  <w:style w:styleId="Style_29" w:type="paragraph">
    <w:name w:val="Hyperlink"/>
    <w:link w:val="Style_29_ch"/>
    <w:rPr>
      <w:color w:val="0000FF"/>
      <w:u w:val="single"/>
    </w:rPr>
  </w:style>
  <w:style w:styleId="Style_29_ch" w:type="character">
    <w:name w:val="Hyperlink"/>
    <w:link w:val="Style_29"/>
    <w:rPr>
      <w:color w:val="0000FF"/>
      <w:u w:val="single"/>
    </w:rPr>
  </w:style>
  <w:style w:styleId="Style_30" w:type="paragraph">
    <w:name w:val="Footnote"/>
    <w:link w:val="Style_30_ch"/>
    <w:pPr>
      <w:widowControl w:val="0"/>
      <w:ind w:firstLine="851" w:left="0"/>
      <w:jc w:val="both"/>
    </w:pPr>
    <w:rPr>
      <w:rFonts w:ascii="XO Thames" w:hAnsi="XO Thames"/>
      <w:sz w:val="22"/>
    </w:rPr>
  </w:style>
  <w:style w:styleId="Style_30_ch" w:type="character">
    <w:name w:val="Footnote"/>
    <w:link w:val="Style_30"/>
    <w:rPr>
      <w:rFonts w:ascii="XO Thames" w:hAnsi="XO Thames"/>
      <w:sz w:val="22"/>
    </w:rPr>
  </w:style>
  <w:style w:styleId="Style_31" w:type="paragraph">
    <w:name w:val="toc 1"/>
    <w:next w:val="Style_2"/>
    <w:link w:val="Style_31_ch"/>
    <w:uiPriority w:val="39"/>
    <w:pPr>
      <w:widowControl w:val="0"/>
      <w:ind w:firstLine="0" w:left="0"/>
      <w:jc w:val="left"/>
    </w:pPr>
    <w:rPr>
      <w:rFonts w:ascii="XO Thames" w:hAnsi="XO Thames"/>
      <w:b w:val="1"/>
      <w:sz w:val="28"/>
    </w:rPr>
  </w:style>
  <w:style w:styleId="Style_31_ch" w:type="character">
    <w:name w:val="toc 1"/>
    <w:link w:val="Style_31"/>
    <w:rPr>
      <w:rFonts w:ascii="XO Thames" w:hAnsi="XO Thames"/>
      <w:b w:val="1"/>
      <w:sz w:val="28"/>
    </w:rPr>
  </w:style>
  <w:style w:styleId="Style_32" w:type="paragraph">
    <w:name w:val="Header and Footer"/>
    <w:link w:val="Style_32_ch"/>
    <w:pPr>
      <w:widowControl w:val="0"/>
      <w:spacing w:line="240" w:lineRule="auto"/>
      <w:ind/>
      <w:jc w:val="both"/>
    </w:pPr>
    <w:rPr>
      <w:rFonts w:ascii="XO Thames" w:hAnsi="XO Thames"/>
      <w:sz w:val="20"/>
    </w:rPr>
  </w:style>
  <w:style w:styleId="Style_32_ch" w:type="character">
    <w:name w:val="Header and Footer"/>
    <w:link w:val="Style_32"/>
    <w:rPr>
      <w:rFonts w:ascii="XO Thames" w:hAnsi="XO Thames"/>
      <w:sz w:val="20"/>
    </w:rPr>
  </w:style>
  <w:style w:styleId="Style_33" w:type="paragraph">
    <w:name w:val="Заголовок таблицы"/>
    <w:basedOn w:val="Style_3"/>
    <w:link w:val="Style_33_ch"/>
    <w:pPr>
      <w:widowControl w:val="0"/>
      <w:ind/>
      <w:jc w:val="center"/>
    </w:pPr>
    <w:rPr>
      <w:b w:val="1"/>
    </w:rPr>
  </w:style>
  <w:style w:styleId="Style_33_ch" w:type="character">
    <w:name w:val="Заголовок таблицы"/>
    <w:basedOn w:val="Style_3_ch"/>
    <w:link w:val="Style_33"/>
    <w:rPr>
      <w:b w:val="1"/>
    </w:rPr>
  </w:style>
  <w:style w:styleId="Style_34" w:type="paragraph">
    <w:name w:val="toc 9"/>
    <w:next w:val="Style_2"/>
    <w:link w:val="Style_34_ch"/>
    <w:uiPriority w:val="39"/>
    <w:pPr>
      <w:widowControl w:val="0"/>
      <w:ind w:firstLine="0" w:left="1600"/>
      <w:jc w:val="left"/>
    </w:pPr>
    <w:rPr>
      <w:rFonts w:ascii="XO Thames" w:hAnsi="XO Thames"/>
      <w:sz w:val="28"/>
    </w:rPr>
  </w:style>
  <w:style w:styleId="Style_34_ch" w:type="character">
    <w:name w:val="toc 9"/>
    <w:link w:val="Style_34"/>
    <w:rPr>
      <w:rFonts w:ascii="XO Thames" w:hAnsi="XO Thames"/>
      <w:sz w:val="28"/>
    </w:rPr>
  </w:style>
  <w:style w:styleId="Style_35" w:type="paragraph">
    <w:name w:val="toc 8"/>
    <w:next w:val="Style_2"/>
    <w:link w:val="Style_35_ch"/>
    <w:uiPriority w:val="39"/>
    <w:pPr>
      <w:widowControl w:val="0"/>
      <w:ind w:firstLine="0" w:left="1400"/>
      <w:jc w:val="left"/>
    </w:pPr>
    <w:rPr>
      <w:rFonts w:ascii="XO Thames" w:hAnsi="XO Thames"/>
      <w:sz w:val="28"/>
    </w:rPr>
  </w:style>
  <w:style w:styleId="Style_35_ch" w:type="character">
    <w:name w:val="toc 8"/>
    <w:link w:val="Style_35"/>
    <w:rPr>
      <w:rFonts w:ascii="XO Thames" w:hAnsi="XO Thames"/>
      <w:sz w:val="28"/>
    </w:rPr>
  </w:style>
  <w:style w:styleId="Style_36" w:type="paragraph">
    <w:name w:val="toc 5"/>
    <w:next w:val="Style_2"/>
    <w:link w:val="Style_36_ch"/>
    <w:uiPriority w:val="39"/>
    <w:pPr>
      <w:widowControl w:val="0"/>
      <w:ind w:firstLine="0" w:left="800"/>
      <w:jc w:val="left"/>
    </w:pPr>
    <w:rPr>
      <w:rFonts w:ascii="XO Thames" w:hAnsi="XO Thames"/>
      <w:sz w:val="28"/>
    </w:rPr>
  </w:style>
  <w:style w:styleId="Style_36_ch" w:type="character">
    <w:name w:val="toc 5"/>
    <w:link w:val="Style_36"/>
    <w:rPr>
      <w:rFonts w:ascii="XO Thames" w:hAnsi="XO Thames"/>
      <w:sz w:val="28"/>
    </w:rPr>
  </w:style>
  <w:style w:styleId="Style_25" w:type="paragraph">
    <w:name w:val="Default Paragraph Font"/>
    <w:link w:val="Style_25_ch"/>
  </w:style>
  <w:style w:styleId="Style_25_ch" w:type="character">
    <w:name w:val="Default Paragraph Font"/>
    <w:link w:val="Style_25"/>
  </w:style>
  <w:style w:styleId="Style_37" w:type="paragraph">
    <w:name w:val="List Paragraph"/>
    <w:basedOn w:val="Style_2"/>
    <w:link w:val="Style_37_ch"/>
    <w:pPr>
      <w:widowControl w:val="0"/>
      <w:ind w:firstLine="0" w:left="720"/>
      <w:contextualSpacing w:val="1"/>
    </w:pPr>
  </w:style>
  <w:style w:styleId="Style_37_ch" w:type="character">
    <w:name w:val="List Paragraph"/>
    <w:basedOn w:val="Style_2_ch"/>
    <w:link w:val="Style_37"/>
  </w:style>
  <w:style w:styleId="Style_38" w:type="paragraph">
    <w:name w:val="Subtitle"/>
    <w:next w:val="Style_2"/>
    <w:link w:val="Style_38_ch"/>
    <w:uiPriority w:val="11"/>
    <w:qFormat/>
    <w:pPr>
      <w:widowControl w:val="0"/>
      <w:ind/>
      <w:jc w:val="both"/>
    </w:pPr>
    <w:rPr>
      <w:rFonts w:ascii="XO Thames" w:hAnsi="XO Thames"/>
      <w:i w:val="1"/>
      <w:sz w:val="24"/>
    </w:rPr>
  </w:style>
  <w:style w:styleId="Style_38_ch" w:type="character">
    <w:name w:val="Subtitle"/>
    <w:link w:val="Style_38"/>
    <w:rPr>
      <w:rFonts w:ascii="XO Thames" w:hAnsi="XO Thames"/>
      <w:i w:val="1"/>
      <w:sz w:val="24"/>
    </w:rPr>
  </w:style>
  <w:style w:styleId="Style_39" w:type="paragraph">
    <w:name w:val="Title"/>
    <w:next w:val="Style_2"/>
    <w:link w:val="Style_39_ch"/>
    <w:uiPriority w:val="10"/>
    <w:qFormat/>
    <w:pPr>
      <w:widowControl w:val="0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9_ch" w:type="character">
    <w:name w:val="Title"/>
    <w:link w:val="Style_39"/>
    <w:rPr>
      <w:rFonts w:ascii="XO Thames" w:hAnsi="XO Thames"/>
      <w:b w:val="1"/>
      <w:caps w:val="1"/>
      <w:sz w:val="40"/>
    </w:rPr>
  </w:style>
  <w:style w:styleId="Style_40" w:type="paragraph">
    <w:name w:val="heading 4"/>
    <w:basedOn w:val="Style_19"/>
    <w:link w:val="Style_40_ch"/>
    <w:uiPriority w:val="9"/>
    <w:qFormat/>
    <w:pPr>
      <w:widowControl w:val="0"/>
      <w:numPr>
        <w:ilvl w:val="3"/>
        <w:numId w:val="1"/>
      </w:numPr>
      <w:spacing w:before="120"/>
      <w:ind/>
      <w:outlineLvl w:val="3"/>
    </w:pPr>
    <w:rPr>
      <w:rFonts w:ascii="Liberation Serif" w:hAnsi="Liberation Serif"/>
      <w:b w:val="1"/>
      <w:sz w:val="24"/>
    </w:rPr>
  </w:style>
  <w:style w:styleId="Style_40_ch" w:type="character">
    <w:name w:val="heading 4"/>
    <w:basedOn w:val="Style_19_ch"/>
    <w:link w:val="Style_40"/>
    <w:rPr>
      <w:rFonts w:ascii="Liberation Serif" w:hAnsi="Liberation Serif"/>
      <w:b w:val="1"/>
      <w:sz w:val="24"/>
    </w:rPr>
  </w:style>
  <w:style w:styleId="Style_41" w:type="paragraph">
    <w:name w:val="heading 2"/>
    <w:next w:val="Style_2"/>
    <w:link w:val="Style_41_ch"/>
    <w:uiPriority w:val="9"/>
    <w:qFormat/>
    <w:pPr>
      <w:widowControl w:val="0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41_ch" w:type="character">
    <w:name w:val="heading 2"/>
    <w:link w:val="Style_41"/>
    <w:rPr>
      <w:rFonts w:ascii="XO Thames" w:hAnsi="XO Thames"/>
      <w:b w:val="1"/>
      <w:sz w:val="28"/>
    </w:rPr>
  </w:style>
  <w:style w:styleId="Style_42" w:type="paragraph">
    <w:name w:val="Интернет-ссылка"/>
    <w:basedOn w:val="Style_25"/>
    <w:link w:val="Style_42_ch"/>
    <w:rPr>
      <w:color w:themeColor="hyperlink" w:val="0000FF"/>
      <w:u w:val="single"/>
    </w:rPr>
  </w:style>
  <w:style w:styleId="Style_42_ch" w:type="character">
    <w:name w:val="Интернет-ссылка"/>
    <w:basedOn w:val="Style_25_ch"/>
    <w:link w:val="Style_42"/>
    <w:rPr>
      <w:color w:themeColor="hyperlink" w:val="0000FF"/>
      <w:u w:val="single"/>
    </w:rPr>
  </w:style>
  <w:style w:default="1" w:styleId="Style_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43" w:type="table">
    <w:name w:val="Light Grid Accent 4"/>
    <w:basedOn w:val="Style_1"/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44" w:type="table">
    <w:name w:val="Table Grid"/>
    <w:basedOn w:val="Style_1"/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2025-10-31T13:18:28Z</dcterms:created>
  <dcterms:modified xsi:type="dcterms:W3CDTF">2025-10-31T13:36:47Z</dcterms:modified>
</cp:coreProperties>
</file>