
<file path=[Content_Types].xml><?xml version="1.0" encoding="utf-8"?>
<Types xmlns="http://schemas.openxmlformats.org/package/2006/content-types"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0"/>
        <w:tabs>
          <w:tab w:leader="none" w:pos="142" w:val="left"/>
          <w:tab w:leader="none" w:pos="6324" w:val="left"/>
        </w:tabs>
        <w:spacing w:after="0" w:line="240" w:lineRule="auto"/>
        <w:ind w:firstLine="0" w:left="0" w:right="0"/>
        <w:jc w:val="center"/>
        <w:rPr>
          <w:rFonts w:ascii="Times New Roman" w:hAnsi="Times New Roman"/>
          <w:b w:val="1"/>
          <w:sz w:val="28"/>
        </w:rPr>
      </w:pPr>
      <w:r>
        <w:drawing>
          <wp:inline>
            <wp:extent cx="6148069" cy="1159039"/>
            <wp:effectExtent b="0" l="0" r="0" t="0"/>
            <wp:docPr hidden="false" id="2" name="Picture 2"/>
            <a:graphic>
              <a:graphicData uri="http://schemas.openxmlformats.org/drawingml/2006/picture">
                <pic:pic>
                  <pic:nvPicPr>
                    <pic:cNvPr hidden="false" id="1" name="Picture 1"/>
                    <pic:cNvPicPr preferRelativeResize="true"/>
                  </pic:nvPicPr>
                  <pic:blipFill>
                    <a:blip r:embed="rId1"/>
                    <a:stretch/>
                  </pic:blipFill>
                  <pic:spPr>
                    <a:xfrm flipH="false" flipV="false" rot="0">
                      <a:ext cx="6148069" cy="11590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2000000">
      <w:pPr>
        <w:widowControl w:val="0"/>
        <w:tabs>
          <w:tab w:leader="none" w:pos="142" w:val="left"/>
        </w:tabs>
        <w:spacing w:after="0" w:line="240" w:lineRule="auto"/>
        <w:ind/>
        <w:rPr>
          <w:rFonts w:ascii="Times New Roman" w:hAnsi="Times New Roman"/>
          <w:b w:val="1"/>
          <w:sz w:val="28"/>
        </w:rPr>
      </w:pPr>
    </w:p>
    <w:tbl>
      <w:tblPr>
        <w:tblStyle w:val="Style_1"/>
        <w:tblW w:type="auto" w:w="0"/>
        <w:jc w:val="center"/>
        <w:tblInd w:type="dxa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left w:type="dxa" w:w="78"/>
        </w:tblCellMar>
      </w:tblPr>
      <w:tblGrid>
        <w:gridCol w:w="450"/>
        <w:gridCol w:w="4786"/>
        <w:gridCol w:w="597"/>
        <w:gridCol w:w="1845"/>
        <w:gridCol w:w="1959"/>
      </w:tblGrid>
      <w:tr>
        <w:trPr>
          <w:trHeight w:hRule="atLeast" w:val="1620"/>
        </w:trPr>
        <w:tc>
          <w:tcPr>
            <w:tcW w:type="dxa" w:w="5236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03000000">
            <w:pPr>
              <w:widowControl w:val="0"/>
              <w:spacing w:after="0" w:line="240" w:lineRule="auto"/>
              <w:ind w:firstLine="0" w:left="0"/>
              <w:jc w:val="both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Weichai-rus</w:t>
            </w:r>
          </w:p>
          <w:p w14:paraId="04000000">
            <w:pPr>
              <w:widowControl w:val="0"/>
              <w:spacing w:after="0" w:line="240" w:lineRule="auto"/>
              <w:ind w:firstLine="0" w:left="0"/>
              <w:jc w:val="both"/>
              <w:rPr>
                <w:rFonts w:ascii="Times New Roman" w:hAnsi="Times New Roman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sz w:val="24"/>
              </w:rPr>
              <w:t xml:space="preserve">656067, Алтайский край, г. Барнаул, </w:t>
            </w:r>
          </w:p>
          <w:p w14:paraId="05000000">
            <w:pPr>
              <w:widowControl w:val="0"/>
              <w:spacing w:after="0" w:line="240" w:lineRule="auto"/>
              <w:ind w:firstLine="0" w:left="0"/>
              <w:jc w:val="both"/>
              <w:rPr>
                <w:rFonts w:ascii="Times New Roman" w:hAnsi="Times New Roman"/>
                <w:color w:val="000000"/>
                <w:sz w:val="24"/>
                <w:u w:val="none"/>
              </w:rPr>
            </w:pPr>
            <w:r>
              <w:rPr>
                <w:rFonts w:ascii="Times New Roman" w:hAnsi="Times New Roman"/>
                <w:sz w:val="24"/>
              </w:rPr>
              <w:t>ул. Балтийская, здание 92, строение 1, офис 301</w:t>
            </w:r>
          </w:p>
          <w:p w14:paraId="06000000">
            <w:pPr>
              <w:widowControl w:val="0"/>
              <w:spacing w:after="0" w:line="240" w:lineRule="auto"/>
              <w:ind w:firstLine="0" w:left="0"/>
              <w:jc w:val="both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тел: +7 (9</w:t>
            </w:r>
            <w:r>
              <w:rPr>
                <w:rFonts w:ascii="Times New Roman" w:hAnsi="Times New Roman"/>
                <w:color w:val="000000"/>
                <w:sz w:val="24"/>
              </w:rPr>
              <w:t>26</w:t>
            </w:r>
            <w:r>
              <w:rPr>
                <w:rFonts w:ascii="Times New Roman" w:hAnsi="Times New Roman"/>
                <w:color w:val="000000"/>
                <w:sz w:val="24"/>
              </w:rPr>
              <w:t>)0</w:t>
            </w:r>
            <w:r>
              <w:rPr>
                <w:rFonts w:ascii="Times New Roman" w:hAnsi="Times New Roman"/>
                <w:color w:val="000000"/>
                <w:sz w:val="24"/>
              </w:rPr>
              <w:t>24</w:t>
            </w:r>
            <w:r>
              <w:rPr>
                <w:rFonts w:ascii="Times New Roman" w:hAnsi="Times New Roman"/>
                <w:color w:val="000000"/>
                <w:sz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</w:rPr>
              <w:t>81</w:t>
            </w:r>
            <w:r>
              <w:rPr>
                <w:rFonts w:ascii="Times New Roman" w:hAnsi="Times New Roman"/>
                <w:color w:val="000000"/>
                <w:sz w:val="24"/>
              </w:rPr>
              <w:t>-</w:t>
            </w:r>
            <w:r>
              <w:rPr>
                <w:rFonts w:ascii="Times New Roman" w:hAnsi="Times New Roman"/>
                <w:color w:val="000000"/>
                <w:sz w:val="24"/>
              </w:rPr>
              <w:t>4</w:t>
            </w:r>
            <w:r>
              <w:rPr>
                <w:rFonts w:ascii="Times New Roman" w:hAnsi="Times New Roman"/>
                <w:color w:val="000000"/>
                <w:sz w:val="24"/>
              </w:rPr>
              <w:t>5</w:t>
            </w:r>
          </w:p>
          <w:p w14:paraId="07000000">
            <w:pPr>
              <w:widowControl w:val="1"/>
              <w:spacing w:after="0" w:line="240" w:lineRule="auto"/>
              <w:ind w:firstLine="0"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(Исп. Алексей Силаев)</w:t>
            </w:r>
          </w:p>
        </w:tc>
        <w:tc>
          <w:tcPr>
            <w:tcW w:type="dxa" w:w="4401"/>
            <w:gridSpan w:val="3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08000000">
            <w:pPr>
              <w:widowControl w:val="1"/>
              <w:ind w:firstLine="0" w:left="-1418"/>
              <w:rPr>
                <w:rFonts w:ascii="Times New Roman" w:hAnsi="Times New Roman"/>
                <w:sz w:val="24"/>
              </w:rPr>
            </w:pPr>
          </w:p>
        </w:tc>
      </w:tr>
      <w:tr>
        <w:trPr>
          <w:trHeight w:hRule="atLeast" w:val="370"/>
        </w:trPr>
        <w:tc>
          <w:tcPr>
            <w:tcW w:type="dxa" w:w="5236"/>
            <w:gridSpan w:val="2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09000000">
            <w:pPr>
              <w:widowControl w:val="0"/>
              <w:spacing w:after="0" w:line="240" w:lineRule="auto"/>
              <w:ind w:firstLine="0" w:left="0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Исх. № 236.1А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от 02</w:t>
            </w:r>
            <w:r>
              <w:rPr>
                <w:rFonts w:ascii="Times New Roman" w:hAnsi="Times New Roman"/>
                <w:sz w:val="24"/>
              </w:rPr>
              <w:t>.12</w:t>
            </w:r>
            <w:r>
              <w:rPr>
                <w:rFonts w:ascii="Times New Roman" w:hAnsi="Times New Roman"/>
                <w:sz w:val="24"/>
              </w:rPr>
              <w:t>.</w:t>
            </w:r>
            <w:r>
              <w:rPr>
                <w:rFonts w:ascii="Times New Roman" w:hAnsi="Times New Roman"/>
                <w:sz w:val="24"/>
              </w:rPr>
              <w:t>2025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г</w:t>
            </w:r>
            <w:r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type="dxa" w:w="4401"/>
            <w:gridSpan w:val="3"/>
            <w:tcBorders>
              <w:top w:color="000000" w:sz="4" w:val="nil"/>
              <w:left w:color="000000" w:sz="4" w:val="nil"/>
              <w:bottom w:color="000000" w:sz="4" w:val="nil"/>
              <w:right w:color="000000" w:sz="4" w:val="nil"/>
              <w:tl2br w:color="000000" w:sz="4" w:val="nil"/>
              <w:tr2bl w:color="000000" w:sz="4" w:val="nil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0A000000">
            <w:pPr>
              <w:widowControl w:val="0"/>
              <w:spacing w:after="0" w:before="0" w:line="240" w:lineRule="auto"/>
              <w:ind w:firstLine="0" w:left="0" w:right="0"/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14:paraId="0B000000">
      <w:pPr>
        <w:widowControl w:val="0"/>
        <w:tabs>
          <w:tab w:leader="none" w:pos="142" w:val="left"/>
        </w:tabs>
        <w:spacing w:after="0" w:line="240" w:lineRule="auto"/>
        <w:ind/>
        <w:jc w:val="center"/>
        <w:rPr>
          <w:b w:val="1"/>
          <w:sz w:val="40"/>
        </w:rPr>
      </w:pPr>
    </w:p>
    <w:p w14:paraId="0C000000">
      <w:pPr>
        <w:widowControl w:val="0"/>
        <w:tabs>
          <w:tab w:leader="none" w:pos="142" w:val="left"/>
        </w:tabs>
        <w:spacing w:after="0" w:line="240" w:lineRule="auto"/>
        <w:ind/>
        <w:jc w:val="center"/>
        <w:rPr>
          <w:b w:val="1"/>
          <w:sz w:val="40"/>
        </w:rPr>
      </w:pPr>
      <w:r>
        <w:rPr>
          <w:b w:val="1"/>
          <w:sz w:val="40"/>
        </w:rPr>
        <w:t>Коммерческое предложение</w:t>
      </w:r>
    </w:p>
    <w:p w14:paraId="0D000000">
      <w:pPr>
        <w:widowControl w:val="0"/>
        <w:tabs>
          <w:tab w:leader="none" w:pos="142" w:val="left"/>
        </w:tabs>
        <w:spacing w:after="0" w:line="240" w:lineRule="auto"/>
        <w:ind/>
        <w:jc w:val="center"/>
        <w:rPr>
          <w:b w:val="1"/>
          <w:sz w:val="28"/>
        </w:rPr>
      </w:pPr>
    </w:p>
    <w:tbl>
      <w:tblPr>
        <w:tblStyle w:val="Style_1"/>
        <w:tblW w:type="auto" w:w="0"/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  <w:tblCellMar>
          <w:left w:type="dxa" w:w="78"/>
        </w:tblCellMar>
      </w:tblPr>
      <w:tblGrid>
        <w:gridCol w:w="450"/>
        <w:gridCol w:w="4786"/>
        <w:gridCol w:w="597"/>
        <w:gridCol w:w="1845"/>
        <w:gridCol w:w="1960"/>
      </w:tblGrid>
      <w:tr>
        <w:trPr>
          <w:trHeight w:hRule="atLeast" w:val="594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BDD6EE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0E000000">
            <w:pPr>
              <w:widowControl w:val="0"/>
              <w:spacing w:after="0" w:line="240" w:lineRule="auto"/>
              <w:ind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  <w:sz w:val="22"/>
              </w:rPr>
              <w:t>№</w:t>
            </w:r>
          </w:p>
        </w:tc>
        <w:tc>
          <w:tcPr>
            <w:tcW w:type="dxa" w:w="478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BDD6EE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0F000000">
            <w:pPr>
              <w:widowControl w:val="0"/>
              <w:spacing w:after="0" w:line="240" w:lineRule="auto"/>
              <w:ind/>
              <w:jc w:val="center"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  <w:sz w:val="22"/>
              </w:rPr>
              <w:t>Наименование</w:t>
            </w:r>
          </w:p>
        </w:tc>
        <w:tc>
          <w:tcPr>
            <w:tcW w:type="dxa" w:w="5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BDD6EE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0000000">
            <w:pPr>
              <w:widowControl w:val="0"/>
              <w:spacing w:after="0" w:line="240" w:lineRule="auto"/>
              <w:ind/>
              <w:jc w:val="center"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  <w:sz w:val="22"/>
              </w:rPr>
              <w:t>Кол-во</w:t>
            </w:r>
          </w:p>
        </w:tc>
        <w:tc>
          <w:tcPr>
            <w:tcW w:type="dxa" w:w="18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BDD6EE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1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b w:val="1"/>
              </w:rPr>
            </w:pPr>
            <w:r>
              <w:rPr>
                <w:rFonts w:ascii="Times New Roman" w:hAnsi="Times New Roman"/>
                <w:b w:val="1"/>
              </w:rPr>
              <w:t xml:space="preserve">Цена в руб. </w:t>
            </w:r>
          </w:p>
          <w:p w14:paraId="12000000">
            <w:pPr>
              <w:widowControl w:val="0"/>
              <w:spacing w:after="0" w:line="240" w:lineRule="auto"/>
              <w:ind/>
              <w:jc w:val="center"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</w:rPr>
              <w:t>с НДС 20%</w:t>
            </w:r>
          </w:p>
        </w:tc>
        <w:tc>
          <w:tcPr>
            <w:tcW w:type="dxa" w:w="19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shd w:fill="BDD6EE" w:val="clear"/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3000000">
            <w:pPr>
              <w:widowControl w:val="1"/>
              <w:spacing w:after="0" w:line="240" w:lineRule="auto"/>
              <w:ind/>
              <w:jc w:val="center"/>
              <w:rPr>
                <w:rFonts w:ascii="Times New Roman" w:hAnsi="Times New Roman"/>
                <w:b w:val="1"/>
              </w:rPr>
            </w:pPr>
            <w:r>
              <w:rPr>
                <w:rFonts w:ascii="Times New Roman" w:hAnsi="Times New Roman"/>
                <w:b w:val="1"/>
              </w:rPr>
              <w:t xml:space="preserve">Стоимость в руб. </w:t>
            </w:r>
          </w:p>
          <w:p w14:paraId="14000000">
            <w:pPr>
              <w:widowControl w:val="0"/>
              <w:spacing w:after="0" w:line="240" w:lineRule="auto"/>
              <w:ind/>
              <w:jc w:val="center"/>
              <w:rPr>
                <w:rFonts w:ascii="Times New Roman" w:hAnsi="Times New Roman"/>
                <w:b w:val="1"/>
                <w:sz w:val="22"/>
              </w:rPr>
            </w:pPr>
            <w:r>
              <w:rPr>
                <w:rFonts w:ascii="Times New Roman" w:hAnsi="Times New Roman"/>
                <w:b w:val="1"/>
              </w:rPr>
              <w:t>с НДС 20%</w:t>
            </w:r>
          </w:p>
        </w:tc>
      </w:tr>
      <w:tr>
        <w:trPr>
          <w:trHeight w:hRule="atLeast" w:val="2812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5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478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6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Г</w:t>
            </w:r>
            <w:r>
              <w:rPr>
                <w:rFonts w:ascii="Times New Roman" w:hAnsi="Times New Roman"/>
                <w:color w:val="000000"/>
                <w:sz w:val="24"/>
              </w:rPr>
              <w:t>азопоршневая электростанция Weichai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WPG312B8NG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номинальной мощностью 250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кВт/ 313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кВА </w:t>
            </w:r>
            <w:r>
              <w:rPr>
                <w:rFonts w:ascii="Times New Roman" w:hAnsi="Times New Roman"/>
                <w:b w:val="1"/>
                <w:sz w:val="24"/>
              </w:rPr>
              <w:t>в открытом исполнении</w:t>
            </w:r>
          </w:p>
          <w:p w14:paraId="17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b w:val="1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Габаритные размеры: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ДхШхВ (</w:t>
            </w:r>
            <w:r>
              <w:rPr>
                <w:rFonts w:ascii="Times New Roman" w:hAnsi="Times New Roman"/>
                <w:color w:val="000000"/>
                <w:sz w:val="24"/>
              </w:rPr>
              <w:t>3200х1345х1885мм)</w:t>
            </w:r>
          </w:p>
          <w:p w14:paraId="18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Мощность при длительной нагрузке 200 кВт </w:t>
            </w:r>
          </w:p>
          <w:p w14:paraId="19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Двигатель </w:t>
            </w:r>
            <w:r>
              <w:rPr>
                <w:rFonts w:ascii="Times New Roman" w:hAnsi="Times New Roman"/>
                <w:color w:val="000000"/>
                <w:sz w:val="24"/>
              </w:rPr>
              <w:t>Weichai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WP13D317E300NG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1A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Альтернатор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ENGGA EG280-250N</w:t>
            </w: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</w:p>
          <w:p w14:paraId="1B000000">
            <w:pPr>
              <w:widowControl w:val="0"/>
              <w:spacing w:after="0" w:before="0" w:line="240" w:lineRule="auto"/>
              <w:ind w:firstLine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Панель управления </w:t>
            </w:r>
            <w:r>
              <w:rPr>
                <w:rFonts w:ascii="Times New Roman" w:hAnsi="Times New Roman"/>
                <w:color w:val="000000"/>
                <w:sz w:val="24"/>
              </w:rPr>
              <w:t>DSE8610 параллельная работа</w:t>
            </w:r>
          </w:p>
        </w:tc>
        <w:tc>
          <w:tcPr>
            <w:tcW w:type="dxa" w:w="5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C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8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D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4 400 000,00</w:t>
            </w:r>
          </w:p>
        </w:tc>
        <w:tc>
          <w:tcPr>
            <w:tcW w:type="dxa" w:w="19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E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4 400 000,00</w:t>
            </w:r>
          </w:p>
        </w:tc>
      </w:tr>
      <w:tr>
        <w:trPr>
          <w:trHeight w:hRule="atLeast" w:val="2812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1F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478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20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Газопоршневая электростанция Weichai WPG312L8NG номинальной мощностью 250 кВт/ 313 кВА </w:t>
            </w:r>
            <w:r>
              <w:rPr>
                <w:rFonts w:ascii="Times New Roman" w:hAnsi="Times New Roman"/>
                <w:b w:val="1"/>
                <w:sz w:val="24"/>
              </w:rPr>
              <w:t>в защитном кожухе</w:t>
            </w:r>
          </w:p>
          <w:p w14:paraId="21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Габаритные размеры: ДхШхВ (4400х1300х2100 мм)</w:t>
            </w:r>
          </w:p>
          <w:p w14:paraId="22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Мощность при длительной нагрузке 200 кВт </w:t>
            </w:r>
          </w:p>
          <w:p w14:paraId="23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Двигатель Weichai WP13D317E300NG </w:t>
            </w:r>
          </w:p>
          <w:p w14:paraId="24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Альтернатор ENGGA EG280-250N </w:t>
            </w:r>
          </w:p>
          <w:p w14:paraId="25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Панель управления DSE8610 параллельная работа</w:t>
            </w:r>
          </w:p>
        </w:tc>
        <w:tc>
          <w:tcPr>
            <w:tcW w:type="dxa" w:w="5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26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8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27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4 700 000,00</w:t>
            </w:r>
          </w:p>
        </w:tc>
        <w:tc>
          <w:tcPr>
            <w:tcW w:type="dxa" w:w="19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28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4 700 000,00</w:t>
            </w:r>
          </w:p>
        </w:tc>
      </w:tr>
      <w:tr>
        <w:trPr>
          <w:trHeight w:hRule="atLeast" w:val="1144"/>
        </w:trPr>
        <w:tc>
          <w:tcPr>
            <w:tcW w:type="dxa" w:w="45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29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4786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2A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Шкаф параллельной работы с сетью (ШПР)</w:t>
            </w:r>
          </w:p>
          <w:p w14:paraId="2B000000">
            <w:pPr>
              <w:widowControl w:val="1"/>
              <w:spacing w:after="0" w:line="240" w:lineRule="auto"/>
              <w:ind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Панель управления DSE8660 </w:t>
            </w:r>
          </w:p>
        </w:tc>
        <w:tc>
          <w:tcPr>
            <w:tcW w:type="dxa" w:w="59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2C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1845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2D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1 080 000,00 </w:t>
            </w:r>
          </w:p>
        </w:tc>
        <w:tc>
          <w:tcPr>
            <w:tcW w:type="dxa" w:w="196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0"/>
              <w:left w:type="dxa" w:w="78"/>
              <w:bottom w:type="dxa" w:w="0"/>
              <w:right w:type="dxa" w:w="108"/>
            </w:tcMar>
            <w:vAlign w:val="center"/>
          </w:tcPr>
          <w:p w14:paraId="2E000000">
            <w:pPr>
              <w:widowControl w:val="0"/>
              <w:spacing w:after="0" w:before="120" w:line="240" w:lineRule="auto"/>
              <w:ind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1 080 000,00</w:t>
            </w:r>
          </w:p>
        </w:tc>
      </w:tr>
    </w:tbl>
    <w:p w14:paraId="2F000000">
      <w:pPr>
        <w:widowControl w:val="0"/>
        <w:tabs>
          <w:tab w:leader="none" w:pos="142" w:val="left"/>
        </w:tabs>
        <w:spacing w:after="0" w:line="240" w:lineRule="auto"/>
        <w:ind/>
        <w:jc w:val="left"/>
        <w:rPr>
          <w:rFonts w:ascii="Times New Roman" w:hAnsi="Times New Roman"/>
          <w:b w:val="0"/>
          <w:sz w:val="23"/>
        </w:rPr>
      </w:pPr>
    </w:p>
    <w:p w14:paraId="30000000">
      <w:pPr>
        <w:widowControl w:val="0"/>
        <w:tabs>
          <w:tab w:leader="none" w:pos="142" w:val="left"/>
        </w:tabs>
        <w:spacing w:after="0" w:line="240" w:lineRule="auto"/>
        <w:ind/>
        <w:jc w:val="left"/>
        <w:rPr>
          <w:rFonts w:ascii="Times New Roman" w:hAnsi="Times New Roman"/>
          <w:b w:val="0"/>
          <w:sz w:val="24"/>
        </w:rPr>
      </w:pPr>
    </w:p>
    <w:p w14:paraId="31000000">
      <w:pPr>
        <w:widowControl w:val="0"/>
        <w:tabs>
          <w:tab w:leader="none" w:pos="142" w:val="left"/>
        </w:tabs>
        <w:spacing w:after="0" w:line="240" w:lineRule="auto"/>
        <w:ind w:left="0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Комплектация</w:t>
      </w:r>
      <w:r>
        <w:rPr>
          <w:rFonts w:ascii="Times New Roman" w:hAnsi="Times New Roman"/>
          <w:b w:val="1"/>
          <w:sz w:val="24"/>
        </w:rPr>
        <w:t>:</w:t>
      </w:r>
    </w:p>
    <w:p w14:paraId="32000000">
      <w:pPr>
        <w:widowControl w:val="0"/>
        <w:tabs>
          <w:tab w:leader="none" w:pos="142" w:val="left"/>
        </w:tabs>
        <w:spacing w:after="0" w:line="240" w:lineRule="auto"/>
        <w:ind w:left="0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color w:themeColor="dark1" w:val="000000"/>
          <w:sz w:val="24"/>
        </w:rPr>
        <w:t>Газовая рампа</w:t>
      </w:r>
    </w:p>
    <w:p w14:paraId="33000000">
      <w:pPr>
        <w:widowControl w:val="0"/>
        <w:tabs>
          <w:tab w:leader="none" w:pos="450" w:val="left"/>
          <w:tab w:leader="none" w:pos="3084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000000"/>
          <w:sz w:val="24"/>
        </w:rPr>
        <w:t>Блок заряда батарей</w:t>
      </w:r>
    </w:p>
    <w:p w14:paraId="34000000">
      <w:pPr>
        <w:widowControl w:val="0"/>
        <w:tabs>
          <w:tab w:leader="none" w:pos="450" w:val="left"/>
          <w:tab w:leader="none" w:pos="3084" w:val="left"/>
        </w:tabs>
        <w:spacing w:after="0" w:line="240" w:lineRule="auto"/>
        <w:ind w:lef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color w:val="000000"/>
          <w:sz w:val="24"/>
        </w:rPr>
        <w:t>Комплект АКБ</w:t>
      </w:r>
    </w:p>
    <w:p w14:paraId="35000000">
      <w:pPr>
        <w:widowControl w:val="0"/>
        <w:tabs>
          <w:tab w:leader="none" w:pos="450" w:val="left"/>
          <w:tab w:leader="none" w:pos="3084" w:val="left"/>
        </w:tabs>
        <w:spacing w:after="0" w:line="240" w:lineRule="auto"/>
        <w:ind w:left="0"/>
        <w:rPr>
          <w:rFonts w:ascii="Times New Roman" w:hAnsi="Times New Roman"/>
          <w:color w:val="000000"/>
          <w:sz w:val="24"/>
        </w:rPr>
      </w:pPr>
      <w:r>
        <w:rPr>
          <w:rFonts w:ascii="Times New Roman" w:hAnsi="Times New Roman"/>
          <w:b w:val="1"/>
          <w:sz w:val="24"/>
        </w:rPr>
        <w:t>Стоимость</w:t>
      </w:r>
      <w:r>
        <w:rPr>
          <w:rFonts w:ascii="Times New Roman" w:hAnsi="Times New Roman"/>
          <w:sz w:val="24"/>
        </w:rPr>
        <w:t>:</w:t>
      </w:r>
      <w:r>
        <w:rPr>
          <w:rFonts w:ascii="Times New Roman" w:hAnsi="Times New Roman"/>
          <w:sz w:val="24"/>
        </w:rPr>
        <w:tab/>
      </w:r>
    </w:p>
    <w:p w14:paraId="36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Цены указаны на условиях отгрузки оборудования со склада </w:t>
      </w:r>
      <w:r>
        <w:rPr>
          <w:rFonts w:ascii="Times New Roman" w:hAnsi="Times New Roman"/>
          <w:sz w:val="24"/>
        </w:rPr>
        <w:t>г. Барнаул с учетом</w:t>
      </w:r>
      <w:r>
        <w:rPr>
          <w:rFonts w:ascii="Times New Roman" w:hAnsi="Times New Roman"/>
          <w:sz w:val="24"/>
        </w:rPr>
        <w:t xml:space="preserve"> всех пошлин и налогов, в том числе НДС (20%).</w:t>
      </w:r>
    </w:p>
    <w:p w14:paraId="37000000">
      <w:pPr>
        <w:widowControl w:val="0"/>
        <w:spacing w:after="0" w:line="240" w:lineRule="auto"/>
        <w:ind w:left="0"/>
        <w:jc w:val="left"/>
        <w:rPr>
          <w:rFonts w:ascii="Times New Roman" w:hAnsi="Times New Roman"/>
          <w:sz w:val="24"/>
        </w:rPr>
      </w:pPr>
    </w:p>
    <w:p w14:paraId="38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Срок изготовления</w:t>
      </w:r>
      <w:r>
        <w:rPr>
          <w:rFonts w:ascii="Times New Roman" w:hAnsi="Times New Roman"/>
          <w:b w:val="1"/>
          <w:sz w:val="24"/>
        </w:rPr>
        <w:t xml:space="preserve"> и доставки</w:t>
      </w:r>
      <w:r>
        <w:rPr>
          <w:rFonts w:ascii="Times New Roman" w:hAnsi="Times New Roman"/>
          <w:b w:val="1"/>
          <w:sz w:val="24"/>
        </w:rPr>
        <w:t xml:space="preserve"> оборудования</w:t>
      </w:r>
      <w:r>
        <w:rPr>
          <w:rFonts w:ascii="Times New Roman" w:hAnsi="Times New Roman"/>
          <w:sz w:val="24"/>
        </w:rPr>
        <w:t>:</w:t>
      </w:r>
    </w:p>
    <w:p w14:paraId="39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35-45 календарных дней;</w:t>
      </w:r>
    </w:p>
    <w:p w14:paraId="3A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</w:p>
    <w:p w14:paraId="3B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Условия платежа</w:t>
      </w:r>
      <w:r>
        <w:rPr>
          <w:rFonts w:ascii="Times New Roman" w:hAnsi="Times New Roman"/>
          <w:sz w:val="24"/>
        </w:rPr>
        <w:t>:</w:t>
      </w:r>
    </w:p>
    <w:p w14:paraId="3C000000">
      <w:pPr>
        <w:widowControl w:val="0"/>
        <w:spacing w:after="0" w:line="240" w:lineRule="auto"/>
        <w:ind w:firstLine="0" w:left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Предоплата 30%; 40% перед отправкой ГПУ из Китая; 30% </w:t>
      </w:r>
      <w:r>
        <w:rPr>
          <w:rFonts w:ascii="Times New Roman" w:hAnsi="Times New Roman"/>
          <w:sz w:val="24"/>
        </w:rPr>
        <w:t xml:space="preserve">по факту готовности к отгрузке </w:t>
      </w:r>
      <w:r>
        <w:rPr>
          <w:rFonts w:ascii="Times New Roman" w:hAnsi="Times New Roman"/>
          <w:sz w:val="24"/>
        </w:rPr>
        <w:t>со склада Поставщика в Российской Федерации;</w:t>
      </w:r>
    </w:p>
    <w:p w14:paraId="3D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</w:p>
    <w:p w14:paraId="3E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b w:val="1"/>
          <w:sz w:val="24"/>
        </w:rPr>
        <w:t>Гарантия</w:t>
      </w:r>
      <w:r>
        <w:rPr>
          <w:rFonts w:ascii="Times New Roman" w:hAnsi="Times New Roman"/>
          <w:b w:val="1"/>
          <w:sz w:val="24"/>
        </w:rPr>
        <w:t>:</w:t>
      </w:r>
      <w:r>
        <w:rPr>
          <w:rFonts w:ascii="Times New Roman" w:hAnsi="Times New Roman"/>
          <w:sz w:val="24"/>
        </w:rPr>
        <w:tab/>
      </w:r>
    </w:p>
    <w:p w14:paraId="3F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12</w:t>
      </w:r>
      <w:r>
        <w:rPr>
          <w:rFonts w:ascii="Times New Roman" w:hAnsi="Times New Roman"/>
          <w:sz w:val="24"/>
        </w:rPr>
        <w:t xml:space="preserve"> мес. либо </w:t>
      </w:r>
      <w:r>
        <w:rPr>
          <w:rFonts w:ascii="Times New Roman" w:hAnsi="Times New Roman"/>
          <w:sz w:val="24"/>
        </w:rPr>
        <w:t>8</w:t>
      </w:r>
      <w:r>
        <w:rPr>
          <w:rFonts w:ascii="Times New Roman" w:hAnsi="Times New Roman"/>
          <w:sz w:val="24"/>
        </w:rPr>
        <w:t>000 мото</w:t>
      </w:r>
      <w:r>
        <w:rPr>
          <w:rFonts w:ascii="Times New Roman" w:hAnsi="Times New Roman"/>
          <w:sz w:val="24"/>
        </w:rPr>
        <w:t>часов, в зависимости от того что наступит ранее</w:t>
      </w:r>
      <w:r>
        <w:rPr>
          <w:rFonts w:ascii="Times New Roman" w:hAnsi="Times New Roman"/>
          <w:sz w:val="24"/>
        </w:rPr>
        <w:t>.</w:t>
      </w:r>
    </w:p>
    <w:p w14:paraId="40000000">
      <w:pPr>
        <w:widowControl w:val="0"/>
        <w:tabs>
          <w:tab w:leader="none" w:pos="0" w:val="left"/>
        </w:tabs>
        <w:spacing w:after="0" w:line="240" w:lineRule="auto"/>
        <w:ind w:left="0"/>
        <w:rPr>
          <w:rFonts w:ascii="Times New Roman" w:hAnsi="Times New Roman"/>
          <w:sz w:val="24"/>
        </w:rPr>
      </w:pPr>
    </w:p>
    <w:p w14:paraId="41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b w:val="1"/>
          <w:sz w:val="24"/>
        </w:rPr>
      </w:pPr>
      <w:r>
        <w:rPr>
          <w:rFonts w:ascii="Times New Roman" w:hAnsi="Times New Roman"/>
          <w:b w:val="1"/>
          <w:sz w:val="24"/>
        </w:rPr>
        <w:t>Срок действия данного предложения:</w:t>
      </w:r>
    </w:p>
    <w:p w14:paraId="42000000">
      <w:pPr>
        <w:widowControl w:val="0"/>
        <w:spacing w:after="0" w:line="240" w:lineRule="auto"/>
        <w:ind w:firstLine="0" w:left="0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Данное </w:t>
      </w:r>
      <w:r>
        <w:rPr>
          <w:rFonts w:ascii="Times New Roman" w:hAnsi="Times New Roman"/>
          <w:sz w:val="24"/>
        </w:rPr>
        <w:t>предложение действительно до «31</w:t>
      </w:r>
      <w:r>
        <w:rPr>
          <w:rFonts w:ascii="Times New Roman" w:hAnsi="Times New Roman"/>
          <w:sz w:val="24"/>
        </w:rPr>
        <w:t>» Декабря</w:t>
      </w:r>
      <w:r>
        <w:rPr>
          <w:rFonts w:ascii="Times New Roman" w:hAnsi="Times New Roman"/>
          <w:sz w:val="24"/>
        </w:rPr>
        <w:t xml:space="preserve"> 202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>г.</w:t>
      </w:r>
    </w:p>
    <w:p w14:paraId="43000000">
      <w:pPr>
        <w:widowControl w:val="0"/>
        <w:spacing w:after="0" w:line="240" w:lineRule="auto"/>
        <w:ind w:hanging="2127" w:left="2127"/>
        <w:jc w:val="both"/>
        <w:rPr>
          <w:rFonts w:ascii="Times New Roman" w:hAnsi="Times New Roman"/>
          <w:sz w:val="24"/>
        </w:rPr>
      </w:pPr>
    </w:p>
    <w:p w14:paraId="44000000">
      <w:pPr>
        <w:widowControl w:val="0"/>
        <w:spacing w:after="0" w:line="240" w:lineRule="auto"/>
        <w:ind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 xml:space="preserve">С уважением, </w:t>
      </w:r>
    </w:p>
    <w:p w14:paraId="45000000">
      <w:pPr>
        <w:widowControl w:val="0"/>
        <w:spacing w:after="0" w:line="240" w:lineRule="auto"/>
        <w:ind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b w:val="0"/>
          <w:sz w:val="24"/>
        </w:rPr>
        <w:t>Алексей Силаев</w:t>
      </w:r>
    </w:p>
    <w:p w14:paraId="46000000">
      <w:pPr>
        <w:widowControl w:val="0"/>
        <w:spacing w:after="0" w:line="240" w:lineRule="auto"/>
        <w:ind/>
        <w:rPr>
          <w:rFonts w:ascii="Times New Roman" w:hAnsi="Times New Roman"/>
          <w:b w:val="0"/>
          <w:sz w:val="24"/>
        </w:rPr>
      </w:pPr>
      <w:r>
        <w:rPr>
          <w:rFonts w:ascii="Times New Roman" w:hAnsi="Times New Roman"/>
          <w:sz w:val="24"/>
        </w:rPr>
        <w:t>Weichai Import</w:t>
      </w:r>
    </w:p>
    <w:p w14:paraId="47000000">
      <w:pPr>
        <w:widowControl w:val="0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b w:val="0"/>
          <w:sz w:val="24"/>
        </w:rPr>
        <w:t xml:space="preserve">Моб. </w:t>
      </w:r>
      <w:r>
        <w:rPr>
          <w:rFonts w:ascii="Times New Roman" w:hAnsi="Times New Roman"/>
          <w:color w:val="000000"/>
          <w:sz w:val="24"/>
        </w:rPr>
        <w:t>+7 (9</w:t>
      </w:r>
      <w:r>
        <w:rPr>
          <w:rFonts w:ascii="Times New Roman" w:hAnsi="Times New Roman"/>
          <w:color w:val="000000"/>
          <w:sz w:val="24"/>
        </w:rPr>
        <w:t>26</w:t>
      </w:r>
      <w:r>
        <w:rPr>
          <w:rFonts w:ascii="Times New Roman" w:hAnsi="Times New Roman"/>
          <w:color w:val="000000"/>
          <w:sz w:val="24"/>
        </w:rPr>
        <w:t>)0</w:t>
      </w:r>
      <w:r>
        <w:rPr>
          <w:rFonts w:ascii="Times New Roman" w:hAnsi="Times New Roman"/>
          <w:color w:val="000000"/>
          <w:sz w:val="24"/>
        </w:rPr>
        <w:t>24</w:t>
      </w:r>
      <w:r>
        <w:rPr>
          <w:rFonts w:ascii="Times New Roman" w:hAnsi="Times New Roman"/>
          <w:color w:val="000000"/>
          <w:sz w:val="24"/>
        </w:rPr>
        <w:t>-</w:t>
      </w:r>
      <w:r>
        <w:rPr>
          <w:rFonts w:ascii="Times New Roman" w:hAnsi="Times New Roman"/>
          <w:color w:val="000000"/>
          <w:sz w:val="24"/>
        </w:rPr>
        <w:t>81</w:t>
      </w:r>
      <w:r>
        <w:rPr>
          <w:rFonts w:ascii="Times New Roman" w:hAnsi="Times New Roman"/>
          <w:color w:val="000000"/>
          <w:sz w:val="24"/>
        </w:rPr>
        <w:t>-</w:t>
      </w:r>
      <w:r>
        <w:rPr>
          <w:rFonts w:ascii="Times New Roman" w:hAnsi="Times New Roman"/>
          <w:color w:val="000000"/>
          <w:sz w:val="24"/>
        </w:rPr>
        <w:t>4</w:t>
      </w:r>
      <w:r>
        <w:rPr>
          <w:rFonts w:ascii="Times New Roman" w:hAnsi="Times New Roman"/>
          <w:color w:val="000000"/>
          <w:sz w:val="24"/>
        </w:rPr>
        <w:t>5</w:t>
      </w:r>
    </w:p>
    <w:p w14:paraId="48000000">
      <w:pPr>
        <w:widowControl w:val="0"/>
        <w:spacing w:after="0" w:line="240" w:lineRule="auto"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Weichai-rus.ru</w:t>
      </w:r>
    </w:p>
    <w:sectPr>
      <w:pgSz w:h="16838" w:orient="portrait" w:w="11906"/>
      <w:pgMar w:bottom="567" w:footer="0" w:gutter="0" w:header="0" w:left="1418" w:right="851" w:top="567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1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2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3">
      <w:start w:val="1"/>
      <w:numFmt w:val="decimal"/>
      <w:pStyle w:val="Style_40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4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5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6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7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  <w:lvl w:ilvl="8">
      <w:start w:val="1"/>
      <w:numFmt w:val="decimal"/>
      <w:suff w:val="tab"/>
      <w:lvlText w:val=""/>
      <w:lvlJc w:val="left"/>
      <w:pPr>
        <w:widowControl w:val="0"/>
        <w:tabs>
          <w:tab w:leader="none" w:pos="0" w:val="left"/>
        </w:tabs>
        <w:ind w:firstLine="0" w:left="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0"/>
      </w:rPr>
    </w:rPrDefault>
    <w:pPrDefault>
      <w:pPr>
        <w:widowControl w:val="0"/>
        <w:spacing w:after="0" w:before="0" w:line="240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0"/>
      <w:spacing w:after="200" w:line="276" w:lineRule="auto"/>
      <w:ind/>
    </w:pPr>
    <w:rPr>
      <w:sz w:val="22"/>
    </w:rPr>
  </w:style>
  <w:style w:default="1" w:styleId="Style_2_ch" w:type="character">
    <w:name w:val="Normal"/>
    <w:link w:val="Style_2"/>
    <w:rPr>
      <w:sz w:val="22"/>
    </w:rPr>
  </w:style>
  <w:style w:styleId="Style_3" w:type="paragraph">
    <w:name w:val="Strong"/>
    <w:link w:val="Style_3_ch"/>
    <w:rPr>
      <w:b w:val="1"/>
    </w:rPr>
  </w:style>
  <w:style w:styleId="Style_3_ch" w:type="character">
    <w:name w:val="Strong"/>
    <w:link w:val="Style_3"/>
    <w:rPr>
      <w:b w:val="1"/>
    </w:rPr>
  </w:style>
  <w:style w:styleId="Style_4" w:type="paragraph">
    <w:name w:val="toc 2"/>
    <w:next w:val="Style_2"/>
    <w:link w:val="Style_4_ch"/>
    <w:uiPriority w:val="39"/>
    <w:pPr>
      <w:widowControl w:val="0"/>
      <w:ind w:firstLine="0" w:left="200"/>
      <w:jc w:val="left"/>
    </w:pPr>
    <w:rPr>
      <w:rFonts w:ascii="XO Thames" w:hAnsi="XO Thames"/>
      <w:sz w:val="28"/>
    </w:rPr>
  </w:style>
  <w:style w:styleId="Style_4_ch" w:type="character">
    <w:name w:val="toc 2"/>
    <w:link w:val="Style_4"/>
    <w:rPr>
      <w:rFonts w:ascii="XO Thames" w:hAnsi="XO Thames"/>
      <w:sz w:val="28"/>
    </w:rPr>
  </w:style>
  <w:style w:styleId="Style_5" w:type="paragraph">
    <w:name w:val="toc 4"/>
    <w:next w:val="Style_2"/>
    <w:link w:val="Style_5_ch"/>
    <w:uiPriority w:val="39"/>
    <w:pPr>
      <w:widowControl w:val="0"/>
      <w:ind w:firstLine="0" w:left="600"/>
      <w:jc w:val="left"/>
    </w:pPr>
    <w:rPr>
      <w:rFonts w:ascii="XO Thames" w:hAnsi="XO Thames"/>
      <w:sz w:val="28"/>
    </w:rPr>
  </w:style>
  <w:style w:styleId="Style_5_ch" w:type="character">
    <w:name w:val="toc 4"/>
    <w:link w:val="Style_5"/>
    <w:rPr>
      <w:rFonts w:ascii="XO Thames" w:hAnsi="XO Thames"/>
      <w:sz w:val="28"/>
    </w:rPr>
  </w:style>
  <w:style w:styleId="Style_6" w:type="paragraph">
    <w:name w:val="toc 6"/>
    <w:next w:val="Style_2"/>
    <w:link w:val="Style_6_ch"/>
    <w:uiPriority w:val="39"/>
    <w:pPr>
      <w:widowControl w:val="0"/>
      <w:ind w:firstLine="0" w:left="1000"/>
      <w:jc w:val="left"/>
    </w:pPr>
    <w:rPr>
      <w:rFonts w:ascii="XO Thames" w:hAnsi="XO Thames"/>
      <w:sz w:val="28"/>
    </w:rPr>
  </w:style>
  <w:style w:styleId="Style_6_ch" w:type="character">
    <w:name w:val="toc 6"/>
    <w:link w:val="Style_6"/>
    <w:rPr>
      <w:rFonts w:ascii="XO Thames" w:hAnsi="XO Thames"/>
      <w:sz w:val="28"/>
    </w:rPr>
  </w:style>
  <w:style w:styleId="Style_7" w:type="paragraph">
    <w:name w:val="toc 7"/>
    <w:next w:val="Style_2"/>
    <w:link w:val="Style_7_ch"/>
    <w:uiPriority w:val="39"/>
    <w:pPr>
      <w:widowControl w:val="0"/>
      <w:ind w:firstLine="0" w:left="1200"/>
      <w:jc w:val="left"/>
    </w:pPr>
    <w:rPr>
      <w:rFonts w:ascii="XO Thames" w:hAnsi="XO Thames"/>
      <w:sz w:val="28"/>
    </w:rPr>
  </w:style>
  <w:style w:styleId="Style_7_ch" w:type="character">
    <w:name w:val="toc 7"/>
    <w:link w:val="Style_7"/>
    <w:rPr>
      <w:rFonts w:ascii="XO Thames" w:hAnsi="XO Thames"/>
      <w:sz w:val="28"/>
    </w:rPr>
  </w:style>
  <w:style w:styleId="Style_8" w:type="paragraph">
    <w:name w:val="Endnote"/>
    <w:link w:val="Style_8_ch"/>
    <w:pPr>
      <w:widowControl w:val="0"/>
      <w:ind w:firstLine="851" w:left="0"/>
      <w:jc w:val="both"/>
    </w:pPr>
    <w:rPr>
      <w:rFonts w:ascii="XO Thames" w:hAnsi="XO Thames"/>
      <w:sz w:val="22"/>
    </w:rPr>
  </w:style>
  <w:style w:styleId="Style_8_ch" w:type="character">
    <w:name w:val="Endnote"/>
    <w:link w:val="Style_8"/>
    <w:rPr>
      <w:rFonts w:ascii="XO Thames" w:hAnsi="XO Thames"/>
      <w:sz w:val="22"/>
    </w:rPr>
  </w:style>
  <w:style w:styleId="Style_9" w:type="paragraph">
    <w:name w:val="heading 3"/>
    <w:basedOn w:val="Style_2"/>
    <w:next w:val="Style_2"/>
    <w:link w:val="Style_9_ch"/>
    <w:uiPriority w:val="9"/>
    <w:qFormat/>
    <w:pPr>
      <w:keepNext w:val="1"/>
      <w:keepLines w:val="1"/>
      <w:widowControl w:val="0"/>
      <w:spacing w:after="0" w:before="40"/>
      <w:ind/>
      <w:outlineLvl w:val="2"/>
    </w:pPr>
    <w:rPr>
      <w:rFonts w:asciiTheme="majorAscii" w:hAnsiTheme="majorHAnsi"/>
      <w:color w:themeColor="accent1" w:themeShade="7F" w:val="244061"/>
      <w:sz w:val="24"/>
    </w:rPr>
  </w:style>
  <w:style w:styleId="Style_9_ch" w:type="character">
    <w:name w:val="heading 3"/>
    <w:basedOn w:val="Style_2_ch"/>
    <w:link w:val="Style_9"/>
    <w:rPr>
      <w:rFonts w:asciiTheme="majorAscii" w:hAnsiTheme="majorHAnsi"/>
      <w:color w:themeColor="accent1" w:themeShade="7F" w:val="244061"/>
      <w:sz w:val="24"/>
    </w:rPr>
  </w:style>
  <w:style w:styleId="Style_10" w:type="paragraph">
    <w:name w:val="Заголовок таблицы"/>
    <w:basedOn w:val="Style_11"/>
    <w:link w:val="Style_10_ch"/>
    <w:pPr>
      <w:widowControl w:val="0"/>
      <w:ind/>
      <w:jc w:val="center"/>
    </w:pPr>
    <w:rPr>
      <w:b w:val="1"/>
    </w:rPr>
  </w:style>
  <w:style w:styleId="Style_10_ch" w:type="character">
    <w:name w:val="Заголовок таблицы"/>
    <w:basedOn w:val="Style_11_ch"/>
    <w:link w:val="Style_10"/>
    <w:rPr>
      <w:b w:val="1"/>
    </w:rPr>
  </w:style>
  <w:style w:styleId="Style_12" w:type="paragraph">
    <w:name w:val="List"/>
    <w:basedOn w:val="Style_13"/>
    <w:link w:val="Style_12_ch"/>
  </w:style>
  <w:style w:styleId="Style_12_ch" w:type="character">
    <w:name w:val="List"/>
    <w:basedOn w:val="Style_13_ch"/>
    <w:link w:val="Style_12"/>
  </w:style>
  <w:style w:styleId="Style_13" w:type="paragraph">
    <w:name w:val="Body Text"/>
    <w:basedOn w:val="Style_2"/>
    <w:link w:val="Style_13_ch"/>
    <w:pPr>
      <w:widowControl w:val="0"/>
      <w:spacing w:after="140"/>
      <w:ind/>
    </w:pPr>
  </w:style>
  <w:style w:styleId="Style_13_ch" w:type="character">
    <w:name w:val="Body Text"/>
    <w:basedOn w:val="Style_2_ch"/>
    <w:link w:val="Style_13"/>
  </w:style>
  <w:style w:styleId="Style_14" w:type="paragraph">
    <w:name w:val="Маркеры списка"/>
    <w:link w:val="Style_14_ch"/>
    <w:rPr>
      <w:rFonts w:ascii="OpenSymbol" w:hAnsi="OpenSymbol"/>
    </w:rPr>
  </w:style>
  <w:style w:styleId="Style_14_ch" w:type="character">
    <w:name w:val="Маркеры списка"/>
    <w:link w:val="Style_14"/>
    <w:rPr>
      <w:rFonts w:ascii="OpenSymbol" w:hAnsi="OpenSymbol"/>
    </w:rPr>
  </w:style>
  <w:style w:styleId="Style_15" w:type="paragraph">
    <w:name w:val="Default Paragraph Font"/>
    <w:link w:val="Style_15_ch"/>
  </w:style>
  <w:style w:styleId="Style_15_ch" w:type="character">
    <w:name w:val="Default Paragraph Font"/>
    <w:link w:val="Style_15"/>
  </w:style>
  <w:style w:styleId="Style_16" w:type="paragraph">
    <w:name w:val="Маркеры"/>
    <w:link w:val="Style_16_ch"/>
    <w:rPr>
      <w:rFonts w:ascii="OpenSymbol" w:hAnsi="OpenSymbol"/>
    </w:rPr>
  </w:style>
  <w:style w:styleId="Style_16_ch" w:type="character">
    <w:name w:val="Маркеры"/>
    <w:link w:val="Style_16"/>
    <w:rPr>
      <w:rFonts w:ascii="OpenSymbol" w:hAnsi="OpenSymbol"/>
    </w:rPr>
  </w:style>
  <w:style w:styleId="Style_17" w:type="paragraph">
    <w:name w:val="toc 3"/>
    <w:next w:val="Style_2"/>
    <w:link w:val="Style_17_ch"/>
    <w:uiPriority w:val="39"/>
    <w:pPr>
      <w:widowControl w:val="0"/>
      <w:ind w:firstLine="0" w:left="400"/>
      <w:jc w:val="left"/>
    </w:pPr>
    <w:rPr>
      <w:rFonts w:ascii="XO Thames" w:hAnsi="XO Thames"/>
      <w:sz w:val="28"/>
    </w:rPr>
  </w:style>
  <w:style w:styleId="Style_17_ch" w:type="character">
    <w:name w:val="toc 3"/>
    <w:link w:val="Style_17"/>
    <w:rPr>
      <w:rFonts w:ascii="XO Thames" w:hAnsi="XO Thames"/>
      <w:sz w:val="28"/>
    </w:rPr>
  </w:style>
  <w:style w:styleId="Style_18" w:type="paragraph">
    <w:name w:val="Текст выноски Знак"/>
    <w:basedOn w:val="Style_15"/>
    <w:link w:val="Style_18_ch"/>
    <w:rPr>
      <w:rFonts w:ascii="Tahoma" w:hAnsi="Tahoma"/>
      <w:sz w:val="16"/>
    </w:rPr>
  </w:style>
  <w:style w:styleId="Style_18_ch" w:type="character">
    <w:name w:val="Текст выноски Знак"/>
    <w:basedOn w:val="Style_15_ch"/>
    <w:link w:val="Style_18"/>
    <w:rPr>
      <w:rFonts w:ascii="Tahoma" w:hAnsi="Tahoma"/>
      <w:sz w:val="16"/>
    </w:rPr>
  </w:style>
  <w:style w:styleId="Style_19" w:type="paragraph">
    <w:name w:val="heading 5"/>
    <w:next w:val="Style_2"/>
    <w:link w:val="Style_19_ch"/>
    <w:uiPriority w:val="9"/>
    <w:qFormat/>
    <w:pPr>
      <w:widowControl w:val="0"/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9_ch" w:type="character">
    <w:name w:val="heading 5"/>
    <w:link w:val="Style_19"/>
    <w:rPr>
      <w:rFonts w:ascii="XO Thames" w:hAnsi="XO Thames"/>
      <w:b w:val="1"/>
      <w:sz w:val="22"/>
    </w:rPr>
  </w:style>
  <w:style w:styleId="Style_20" w:type="paragraph">
    <w:name w:val="heading 1"/>
    <w:basedOn w:val="Style_2"/>
    <w:next w:val="Style_2"/>
    <w:link w:val="Style_20_ch"/>
    <w:uiPriority w:val="9"/>
    <w:qFormat/>
    <w:pPr>
      <w:keepNext w:val="1"/>
      <w:keepLines w:val="1"/>
      <w:widowControl w:val="0"/>
      <w:spacing w:after="0" w:before="240"/>
      <w:ind/>
      <w:outlineLvl w:val="0"/>
    </w:pPr>
    <w:rPr>
      <w:rFonts w:asciiTheme="majorAscii" w:hAnsiTheme="majorHAnsi"/>
      <w:color w:themeColor="accent1" w:themeShade="BF" w:val="376092"/>
      <w:sz w:val="32"/>
    </w:rPr>
  </w:style>
  <w:style w:styleId="Style_20_ch" w:type="character">
    <w:name w:val="heading 1"/>
    <w:basedOn w:val="Style_2_ch"/>
    <w:link w:val="Style_20"/>
    <w:rPr>
      <w:rFonts w:asciiTheme="majorAscii" w:hAnsiTheme="majorHAnsi"/>
      <w:color w:themeColor="accent1" w:themeShade="BF" w:val="376092"/>
      <w:sz w:val="32"/>
    </w:rPr>
  </w:style>
  <w:style w:styleId="Style_21" w:type="paragraph">
    <w:name w:val="Hyperlink"/>
    <w:link w:val="Style_21_ch"/>
    <w:rPr>
      <w:color w:val="0000FF"/>
      <w:u w:val="single"/>
    </w:rPr>
  </w:style>
  <w:style w:styleId="Style_21_ch" w:type="character">
    <w:name w:val="Hyperlink"/>
    <w:link w:val="Style_21"/>
    <w:rPr>
      <w:color w:val="0000FF"/>
      <w:u w:val="single"/>
    </w:rPr>
  </w:style>
  <w:style w:styleId="Style_22" w:type="paragraph">
    <w:name w:val="Footnote"/>
    <w:link w:val="Style_22_ch"/>
    <w:pPr>
      <w:widowControl w:val="0"/>
      <w:ind w:firstLine="851" w:left="0"/>
      <w:jc w:val="both"/>
    </w:pPr>
    <w:rPr>
      <w:rFonts w:ascii="XO Thames" w:hAnsi="XO Thames"/>
      <w:sz w:val="22"/>
    </w:rPr>
  </w:style>
  <w:style w:styleId="Style_22_ch" w:type="character">
    <w:name w:val="Footnote"/>
    <w:link w:val="Style_22"/>
    <w:rPr>
      <w:rFonts w:ascii="XO Thames" w:hAnsi="XO Thames"/>
      <w:sz w:val="22"/>
    </w:rPr>
  </w:style>
  <w:style w:styleId="Style_23" w:type="paragraph">
    <w:name w:val="toc 1"/>
    <w:next w:val="Style_2"/>
    <w:link w:val="Style_23_ch"/>
    <w:uiPriority w:val="39"/>
    <w:pPr>
      <w:widowControl w:val="0"/>
      <w:ind w:firstLine="0" w:left="0"/>
      <w:jc w:val="left"/>
    </w:pPr>
    <w:rPr>
      <w:rFonts w:ascii="XO Thames" w:hAnsi="XO Thames"/>
      <w:b w:val="1"/>
      <w:sz w:val="28"/>
    </w:rPr>
  </w:style>
  <w:style w:styleId="Style_23_ch" w:type="character">
    <w:name w:val="toc 1"/>
    <w:link w:val="Style_23"/>
    <w:rPr>
      <w:rFonts w:ascii="XO Thames" w:hAnsi="XO Thames"/>
      <w:b w:val="1"/>
      <w:sz w:val="28"/>
    </w:rPr>
  </w:style>
  <w:style w:styleId="Style_24" w:type="paragraph">
    <w:name w:val="Standard"/>
    <w:link w:val="Style_24_ch"/>
    <w:rPr>
      <w:rFonts w:ascii="Times New Roman" w:hAnsi="Times New Roman"/>
    </w:rPr>
  </w:style>
  <w:style w:styleId="Style_24_ch" w:type="character">
    <w:name w:val="Standard"/>
    <w:link w:val="Style_24"/>
    <w:rPr>
      <w:rFonts w:ascii="Times New Roman" w:hAnsi="Times New Roman"/>
    </w:rPr>
  </w:style>
  <w:style w:styleId="Style_25" w:type="paragraph">
    <w:name w:val="Header and Footer"/>
    <w:link w:val="Style_25_ch"/>
    <w:pPr>
      <w:widowControl w:val="0"/>
      <w:spacing w:line="240" w:lineRule="auto"/>
      <w:ind/>
      <w:jc w:val="both"/>
    </w:pPr>
    <w:rPr>
      <w:rFonts w:ascii="XO Thames" w:hAnsi="XO Thames"/>
      <w:sz w:val="20"/>
    </w:rPr>
  </w:style>
  <w:style w:styleId="Style_25_ch" w:type="character">
    <w:name w:val="Header and Footer"/>
    <w:link w:val="Style_25"/>
    <w:rPr>
      <w:rFonts w:ascii="XO Thames" w:hAnsi="XO Thames"/>
      <w:sz w:val="20"/>
    </w:rPr>
  </w:style>
  <w:style w:styleId="Style_26" w:type="paragraph">
    <w:name w:val="No Spacing"/>
    <w:link w:val="Style_26_ch"/>
    <w:rPr>
      <w:rFonts w:ascii="Times New Roman" w:hAnsi="Times New Roman"/>
      <w:sz w:val="24"/>
    </w:rPr>
  </w:style>
  <w:style w:styleId="Style_26_ch" w:type="character">
    <w:name w:val="No Spacing"/>
    <w:link w:val="Style_26"/>
    <w:rPr>
      <w:rFonts w:ascii="Times New Roman" w:hAnsi="Times New Roman"/>
      <w:sz w:val="24"/>
    </w:rPr>
  </w:style>
  <w:style w:styleId="Style_27" w:type="paragraph">
    <w:name w:val="toc 9"/>
    <w:next w:val="Style_2"/>
    <w:link w:val="Style_27_ch"/>
    <w:uiPriority w:val="39"/>
    <w:pPr>
      <w:widowControl w:val="0"/>
      <w:ind w:firstLine="0" w:left="1600"/>
      <w:jc w:val="left"/>
    </w:pPr>
    <w:rPr>
      <w:rFonts w:ascii="XO Thames" w:hAnsi="XO Thames"/>
      <w:sz w:val="28"/>
    </w:rPr>
  </w:style>
  <w:style w:styleId="Style_27_ch" w:type="character">
    <w:name w:val="toc 9"/>
    <w:link w:val="Style_27"/>
    <w:rPr>
      <w:rFonts w:ascii="XO Thames" w:hAnsi="XO Thames"/>
      <w:sz w:val="28"/>
    </w:rPr>
  </w:style>
  <w:style w:styleId="Style_28" w:type="paragraph">
    <w:name w:val="Выделение жирным"/>
    <w:link w:val="Style_28_ch"/>
    <w:rPr>
      <w:b w:val="1"/>
    </w:rPr>
  </w:style>
  <w:style w:styleId="Style_28_ch" w:type="character">
    <w:name w:val="Выделение жирным"/>
    <w:link w:val="Style_28"/>
    <w:rPr>
      <w:b w:val="1"/>
    </w:rPr>
  </w:style>
  <w:style w:styleId="Style_29" w:type="paragraph">
    <w:name w:val="Normal (Web)"/>
    <w:basedOn w:val="Style_2"/>
    <w:link w:val="Style_29_ch"/>
    <w:pPr>
      <w:widowControl w:val="0"/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29_ch" w:type="character">
    <w:name w:val="Normal (Web)"/>
    <w:basedOn w:val="Style_2_ch"/>
    <w:link w:val="Style_29"/>
    <w:rPr>
      <w:rFonts w:ascii="Times New Roman" w:hAnsi="Times New Roman"/>
      <w:sz w:val="24"/>
    </w:rPr>
  </w:style>
  <w:style w:styleId="Style_30" w:type="paragraph">
    <w:name w:val="toc 8"/>
    <w:next w:val="Style_2"/>
    <w:link w:val="Style_30_ch"/>
    <w:uiPriority w:val="39"/>
    <w:pPr>
      <w:widowControl w:val="0"/>
      <w:ind w:firstLine="0" w:left="1400"/>
      <w:jc w:val="left"/>
    </w:pPr>
    <w:rPr>
      <w:rFonts w:ascii="XO Thames" w:hAnsi="XO Thames"/>
      <w:sz w:val="28"/>
    </w:rPr>
  </w:style>
  <w:style w:styleId="Style_30_ch" w:type="character">
    <w:name w:val="toc 8"/>
    <w:link w:val="Style_30"/>
    <w:rPr>
      <w:rFonts w:ascii="XO Thames" w:hAnsi="XO Thames"/>
      <w:sz w:val="28"/>
    </w:rPr>
  </w:style>
  <w:style w:styleId="Style_31" w:type="paragraph">
    <w:name w:val="Символ нумерации"/>
    <w:link w:val="Style_31_ch"/>
  </w:style>
  <w:style w:styleId="Style_31_ch" w:type="character">
    <w:name w:val="Символ нумерации"/>
    <w:link w:val="Style_31"/>
  </w:style>
  <w:style w:styleId="Style_32" w:type="paragraph">
    <w:name w:val="Balloon Text"/>
    <w:basedOn w:val="Style_2"/>
    <w:link w:val="Style_32_ch"/>
    <w:pPr>
      <w:widowControl w:val="0"/>
      <w:spacing w:after="0" w:line="240" w:lineRule="auto"/>
      <w:ind/>
    </w:pPr>
    <w:rPr>
      <w:rFonts w:ascii="Tahoma" w:hAnsi="Tahoma"/>
      <w:sz w:val="16"/>
    </w:rPr>
  </w:style>
  <w:style w:styleId="Style_32_ch" w:type="character">
    <w:name w:val="Balloon Text"/>
    <w:basedOn w:val="Style_2_ch"/>
    <w:link w:val="Style_32"/>
    <w:rPr>
      <w:rFonts w:ascii="Tahoma" w:hAnsi="Tahoma"/>
      <w:sz w:val="16"/>
    </w:rPr>
  </w:style>
  <w:style w:styleId="Style_33" w:type="paragraph">
    <w:name w:val="toc 5"/>
    <w:next w:val="Style_2"/>
    <w:link w:val="Style_33_ch"/>
    <w:uiPriority w:val="39"/>
    <w:pPr>
      <w:widowControl w:val="0"/>
      <w:ind w:firstLine="0" w:left="800"/>
      <w:jc w:val="left"/>
    </w:pPr>
    <w:rPr>
      <w:rFonts w:ascii="XO Thames" w:hAnsi="XO Thames"/>
      <w:sz w:val="28"/>
    </w:rPr>
  </w:style>
  <w:style w:styleId="Style_33_ch" w:type="character">
    <w:name w:val="toc 5"/>
    <w:link w:val="Style_33"/>
    <w:rPr>
      <w:rFonts w:ascii="XO Thames" w:hAnsi="XO Thames"/>
      <w:sz w:val="28"/>
    </w:rPr>
  </w:style>
  <w:style w:styleId="Style_34" w:type="paragraph">
    <w:name w:val="caption"/>
    <w:basedOn w:val="Style_2"/>
    <w:link w:val="Style_34_ch"/>
    <w:pPr>
      <w:widowControl w:val="0"/>
      <w:spacing w:after="120" w:before="120"/>
      <w:ind/>
    </w:pPr>
    <w:rPr>
      <w:i w:val="1"/>
      <w:sz w:val="24"/>
    </w:rPr>
  </w:style>
  <w:style w:styleId="Style_34_ch" w:type="character">
    <w:name w:val="caption"/>
    <w:basedOn w:val="Style_2_ch"/>
    <w:link w:val="Style_34"/>
    <w:rPr>
      <w:i w:val="1"/>
      <w:sz w:val="24"/>
    </w:rPr>
  </w:style>
  <w:style w:styleId="Style_11" w:type="paragraph">
    <w:name w:val="Содержимое таблицы"/>
    <w:basedOn w:val="Style_2"/>
    <w:link w:val="Style_11_ch"/>
  </w:style>
  <w:style w:styleId="Style_11_ch" w:type="character">
    <w:name w:val="Содержимое таблицы"/>
    <w:basedOn w:val="Style_2_ch"/>
    <w:link w:val="Style_11"/>
  </w:style>
  <w:style w:styleId="Style_35" w:type="paragraph">
    <w:name w:val="index heading"/>
    <w:basedOn w:val="Style_2"/>
    <w:link w:val="Style_35_ch"/>
  </w:style>
  <w:style w:styleId="Style_35_ch" w:type="character">
    <w:name w:val="index heading"/>
    <w:basedOn w:val="Style_2_ch"/>
    <w:link w:val="Style_35"/>
  </w:style>
  <w:style w:styleId="Style_36" w:type="paragraph">
    <w:name w:val="Интернет-ссылка"/>
    <w:basedOn w:val="Style_15"/>
    <w:link w:val="Style_36_ch"/>
    <w:rPr>
      <w:color w:themeColor="hyperlink" w:val="0000FF"/>
      <w:u w:val="single"/>
    </w:rPr>
  </w:style>
  <w:style w:styleId="Style_36_ch" w:type="character">
    <w:name w:val="Интернет-ссылка"/>
    <w:basedOn w:val="Style_15_ch"/>
    <w:link w:val="Style_36"/>
    <w:rPr>
      <w:color w:themeColor="hyperlink" w:val="0000FF"/>
      <w:u w:val="single"/>
    </w:rPr>
  </w:style>
  <w:style w:styleId="Style_37" w:type="paragraph">
    <w:name w:val="Subtitle"/>
    <w:next w:val="Style_2"/>
    <w:link w:val="Style_37_ch"/>
    <w:uiPriority w:val="11"/>
    <w:qFormat/>
    <w:pPr>
      <w:widowControl w:val="0"/>
      <w:ind/>
      <w:jc w:val="both"/>
    </w:pPr>
    <w:rPr>
      <w:rFonts w:ascii="XO Thames" w:hAnsi="XO Thames"/>
      <w:i w:val="1"/>
      <w:sz w:val="24"/>
    </w:rPr>
  </w:style>
  <w:style w:styleId="Style_37_ch" w:type="character">
    <w:name w:val="Subtitle"/>
    <w:link w:val="Style_37"/>
    <w:rPr>
      <w:rFonts w:ascii="XO Thames" w:hAnsi="XO Thames"/>
      <w:i w:val="1"/>
      <w:sz w:val="24"/>
    </w:rPr>
  </w:style>
  <w:style w:styleId="Style_38" w:type="paragraph">
    <w:name w:val="Заголовок"/>
    <w:basedOn w:val="Style_2"/>
    <w:next w:val="Style_13"/>
    <w:link w:val="Style_38_ch"/>
    <w:pPr>
      <w:keepNext w:val="1"/>
      <w:widowControl w:val="0"/>
      <w:spacing w:after="120" w:before="240"/>
      <w:ind/>
    </w:pPr>
    <w:rPr>
      <w:rFonts w:ascii="Liberation Sans" w:hAnsi="Liberation Sans"/>
      <w:sz w:val="28"/>
    </w:rPr>
  </w:style>
  <w:style w:styleId="Style_38_ch" w:type="character">
    <w:name w:val="Заголовок"/>
    <w:basedOn w:val="Style_2_ch"/>
    <w:link w:val="Style_38"/>
    <w:rPr>
      <w:rFonts w:ascii="Liberation Sans" w:hAnsi="Liberation Sans"/>
      <w:sz w:val="28"/>
    </w:rPr>
  </w:style>
  <w:style w:styleId="Style_39" w:type="paragraph">
    <w:name w:val="Title"/>
    <w:next w:val="Style_2"/>
    <w:link w:val="Style_39_ch"/>
    <w:uiPriority w:val="10"/>
    <w:qFormat/>
    <w:pPr>
      <w:widowControl w:val="0"/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39_ch" w:type="character">
    <w:name w:val="Title"/>
    <w:link w:val="Style_39"/>
    <w:rPr>
      <w:rFonts w:ascii="XO Thames" w:hAnsi="XO Thames"/>
      <w:b w:val="1"/>
      <w:caps w:val="1"/>
      <w:sz w:val="40"/>
    </w:rPr>
  </w:style>
  <w:style w:styleId="Style_40" w:type="paragraph">
    <w:name w:val="heading 4"/>
    <w:basedOn w:val="Style_38"/>
    <w:link w:val="Style_40_ch"/>
    <w:uiPriority w:val="9"/>
    <w:qFormat/>
    <w:pPr>
      <w:widowControl w:val="0"/>
      <w:numPr>
        <w:ilvl w:val="3"/>
        <w:numId w:val="1"/>
      </w:numPr>
      <w:spacing w:before="120"/>
      <w:ind/>
      <w:outlineLvl w:val="3"/>
    </w:pPr>
    <w:rPr>
      <w:rFonts w:ascii="Liberation Serif" w:hAnsi="Liberation Serif"/>
      <w:b w:val="1"/>
      <w:sz w:val="24"/>
    </w:rPr>
  </w:style>
  <w:style w:styleId="Style_40_ch" w:type="character">
    <w:name w:val="heading 4"/>
    <w:basedOn w:val="Style_38_ch"/>
    <w:link w:val="Style_40"/>
    <w:rPr>
      <w:rFonts w:ascii="Liberation Serif" w:hAnsi="Liberation Serif"/>
      <w:b w:val="1"/>
      <w:sz w:val="24"/>
    </w:rPr>
  </w:style>
  <w:style w:styleId="Style_41" w:type="paragraph">
    <w:name w:val="heading 2"/>
    <w:next w:val="Style_2"/>
    <w:link w:val="Style_41_ch"/>
    <w:uiPriority w:val="9"/>
    <w:qFormat/>
    <w:pPr>
      <w:widowControl w:val="0"/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41_ch" w:type="character">
    <w:name w:val="heading 2"/>
    <w:link w:val="Style_41"/>
    <w:rPr>
      <w:rFonts w:ascii="XO Thames" w:hAnsi="XO Thames"/>
      <w:b w:val="1"/>
      <w:sz w:val="28"/>
    </w:rPr>
  </w:style>
  <w:style w:styleId="Style_42" w:type="paragraph">
    <w:name w:val="List Paragraph"/>
    <w:basedOn w:val="Style_2"/>
    <w:link w:val="Style_42_ch"/>
    <w:pPr>
      <w:widowControl w:val="0"/>
      <w:ind w:firstLine="0" w:left="720"/>
      <w:contextualSpacing w:val="1"/>
    </w:pPr>
  </w:style>
  <w:style w:styleId="Style_42_ch" w:type="character">
    <w:name w:val="List Paragraph"/>
    <w:basedOn w:val="Style_2_ch"/>
    <w:link w:val="Style_42"/>
  </w:style>
  <w:style w:styleId="Style_43" w:type="table">
    <w:name w:val="Table Grid"/>
    <w:basedOn w:val="Style_1"/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44" w:type="table">
    <w:name w:val="Light Grid Accent 4"/>
    <w:basedOn w:val="Style_1"/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1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webSettings.xml" Type="http://schemas.openxmlformats.org/officeDocument/2006/relationships/webSettings"/>
  <Relationship Id="rId1" Target="media/1.png" Type="http://schemas.openxmlformats.org/officeDocument/2006/relationships/image"/>
  <Relationship Id="rId2" Target="fontTable.xml" Type="http://schemas.openxmlformats.org/officeDocument/2006/relationships/fontTable"/>
  <Relationship Id="rId3" Target="settings.xml" Type="http://schemas.openxmlformats.org/officeDocument/2006/relationships/settings"/>
  <Relationship Id="rId8" Target="numbering.xml" Type="http://schemas.openxmlformats.org/officeDocument/2006/relationships/numbering"/>
  <Relationship Id="rId4" Target="styles.xml" Type="http://schemas.openxmlformats.org/officeDocument/2006/relationships/styles"/>
  <Relationship Id="rId7" Target="theme/theme1.xml" Type="http://schemas.openxmlformats.org/officeDocument/2006/relationships/theme"/>
  <Relationship Id="rId5" Target="stylesWithEffects.xml" Type="http://schemas.microsoft.com/office/2007/relationships/stylesWithEffect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2025-12-02T14:08:06Z</dcterms:created>
  <dcterms:modified xsi:type="dcterms:W3CDTF">2025-12-02T14:29:45Z</dcterms:modified>
</cp:coreProperties>
</file>