
<file path=[Content_Types].xml><?xml version="1.0" encoding="utf-8"?>
<Types xmlns="http://schemas.openxmlformats.org/package/2006/content-types">
  <Default ContentType="image/jpeg" Extension="jpe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rPr>
          <w:rFonts w:ascii="Times New Roman" w:hAnsi="Times New Roman"/>
          <w:b w:val="1"/>
          <w:sz w:val="22"/>
        </w:rPr>
      </w:pPr>
    </w:p>
    <w:tbl>
      <w:tblPr>
        <w:tblStyle w:val="Style_2"/>
        <w:tblW w:type="auto" w:w="0"/>
        <w:tblInd w:type="dxa" w:w="93"/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5030"/>
        <w:gridCol w:w="1574"/>
        <w:gridCol w:w="3107"/>
        <w:gridCol w:w="690"/>
      </w:tblGrid>
      <w:tr>
        <w:trPr>
          <w:trHeight w:hRule="atLeast" w:val="2061"/>
        </w:trPr>
        <w:tc>
          <w:tcPr>
            <w:tcW w:type="dxa" w:w="6604"/>
            <w:gridSpan w:val="2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2000000">
            <w:pPr>
              <w:widowControl w:val="1"/>
              <w:spacing w:after="0"/>
              <w:ind/>
            </w:pPr>
            <w:r>
              <w:drawing>
                <wp:anchor allowOverlap="true" behindDoc="true" distB="0" distL="114300" distR="114300" distT="0" layoutInCell="true" locked="false" relativeHeight="251658240" simplePos="false">
                  <wp:simplePos x="0" y="0"/>
                  <wp:positionH relativeFrom="margin">
                    <wp:posOffset>-7302</wp:posOffset>
                  </wp:positionH>
                  <wp:positionV relativeFrom="page">
                    <wp:posOffset>22856</wp:posOffset>
                  </wp:positionV>
                  <wp:extent cx="4048125" cy="1206999"/>
                  <wp:effectExtent b="0" l="0" r="0" t="0"/>
                  <wp:wrapTight distL="114300" distR="114300" wrapText="bothSides">
                    <wp:wrapPolygon>
                      <wp:start x="0" y="0"/>
                      <wp:lineTo x="0" y="21410"/>
                      <wp:lineTo x="21527" y="21410"/>
                      <wp:lineTo x="21527" y="0"/>
                      <wp:lineTo x="0" y="0"/>
                    </wp:wrapPolygon>
                  </wp:wrapTight>
                  <wp:docPr hidden="false" id="2" name="Picture 2"/>
                  <a:graphic>
                    <a:graphicData uri="http://schemas.openxmlformats.org/drawingml/2006/picture">
                      <pic:pic>
                        <pic:nvPicPr>
                          <pic:cNvPr hidden="false" id="1" name="Picture 1"/>
                          <pic:cNvPicPr preferRelativeResize="true"/>
                        </pic:nvPicPr>
                        <pic:blipFill>
                          <a:blip r:embed="rId1"/>
                          <a:stretch/>
                        </pic:blipFill>
                        <pic:spPr>
                          <a:xfrm flipH="false" flipV="false" rot="0">
                            <a:ext cx="4048125" cy="120699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797"/>
            <w:gridSpan w:val="2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3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  <w:sz w:val="22"/>
              </w:rPr>
            </w:pPr>
            <w:r>
              <w:rPr>
                <w:rFonts w:ascii="Times New Roman" w:hAnsi="Times New Roman"/>
                <w:b w:val="0"/>
                <w:sz w:val="22"/>
              </w:rPr>
              <w:t>ООО «</w:t>
            </w:r>
            <w:r>
              <w:rPr>
                <w:rFonts w:ascii="Times New Roman" w:hAnsi="Times New Roman"/>
                <w:b w:val="0"/>
                <w:sz w:val="22"/>
              </w:rPr>
              <w:t>АлтайДизельМаш</w:t>
            </w:r>
            <w:r>
              <w:rPr>
                <w:rFonts w:ascii="Times New Roman" w:hAnsi="Times New Roman"/>
                <w:b w:val="0"/>
                <w:sz w:val="22"/>
              </w:rPr>
              <w:t>»</w:t>
            </w:r>
          </w:p>
          <w:p w14:paraId="04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  <w:sz w:val="22"/>
              </w:rPr>
            </w:pPr>
            <w:r>
              <w:rPr>
                <w:rFonts w:ascii="Times New Roman" w:hAnsi="Times New Roman"/>
                <w:b w:val="0"/>
                <w:sz w:val="22"/>
              </w:rPr>
              <w:t xml:space="preserve">656067, Алтайский край, </w:t>
            </w:r>
            <w:r>
              <w:rPr>
                <w:rFonts w:ascii="Times New Roman" w:hAnsi="Times New Roman"/>
                <w:b w:val="0"/>
                <w:sz w:val="22"/>
              </w:rPr>
              <w:t xml:space="preserve">г Барнаул, </w:t>
            </w:r>
          </w:p>
          <w:p w14:paraId="05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  <w:sz w:val="22"/>
              </w:rPr>
            </w:pPr>
            <w:r>
              <w:rPr>
                <w:rFonts w:ascii="Times New Roman" w:hAnsi="Times New Roman"/>
                <w:b w:val="0"/>
                <w:sz w:val="22"/>
              </w:rPr>
              <w:t>ул Балтийская</w:t>
            </w:r>
            <w:r>
              <w:rPr>
                <w:rFonts w:ascii="Times New Roman" w:hAnsi="Times New Roman"/>
                <w:b w:val="0"/>
                <w:sz w:val="22"/>
              </w:rPr>
              <w:t xml:space="preserve"> </w:t>
            </w:r>
            <w:r>
              <w:rPr>
                <w:rFonts w:ascii="Times New Roman" w:hAnsi="Times New Roman"/>
                <w:b w:val="0"/>
                <w:sz w:val="22"/>
              </w:rPr>
              <w:t>92, стр. 1</w:t>
            </w:r>
          </w:p>
          <w:p w14:paraId="06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  <w:sz w:val="22"/>
              </w:rPr>
            </w:pPr>
            <w:r>
              <w:rPr>
                <w:rFonts w:ascii="Times New Roman" w:hAnsi="Times New Roman"/>
                <w:b w:val="0"/>
                <w:sz w:val="22"/>
              </w:rPr>
              <w:t>тел</w:t>
            </w:r>
            <w:r>
              <w:rPr>
                <w:rFonts w:ascii="Times New Roman" w:hAnsi="Times New Roman"/>
                <w:b w:val="0"/>
                <w:sz w:val="22"/>
              </w:rPr>
              <w:t>. +7</w:t>
            </w:r>
            <w:r>
              <w:rPr>
                <w:rFonts w:ascii="Times New Roman" w:hAnsi="Times New Roman"/>
                <w:b w:val="0"/>
                <w:sz w:val="22"/>
              </w:rPr>
              <w:t xml:space="preserve"> (800) 444-36-88</w:t>
            </w:r>
            <w:r>
              <w:rPr>
                <w:rFonts w:ascii="Times New Roman" w:hAnsi="Times New Roman"/>
                <w:b w:val="0"/>
                <w:sz w:val="22"/>
              </w:rPr>
              <w:t xml:space="preserve"> </w:t>
            </w:r>
          </w:p>
          <w:p w14:paraId="07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  <w:sz w:val="22"/>
              </w:rPr>
            </w:pPr>
            <w:r>
              <w:rPr>
                <w:rFonts w:ascii="Times New Roman" w:hAnsi="Times New Roman"/>
                <w:b w:val="0"/>
                <w:sz w:val="22"/>
              </w:rPr>
              <w:t xml:space="preserve">e-mail: </w:t>
            </w:r>
            <w:r>
              <w:rPr>
                <w:rFonts w:ascii="Times New Roman" w:hAnsi="Times New Roman"/>
                <w:b w:val="0"/>
                <w:color w:val="000000"/>
                <w:sz w:val="22"/>
                <w:u w:val="none"/>
              </w:rPr>
              <w:t>info@alt-diesel.ru</w:t>
            </w:r>
            <w:r>
              <w:rPr>
                <w:rFonts w:ascii="Times New Roman" w:hAnsi="Times New Roman"/>
                <w:b w:val="0"/>
                <w:sz w:val="22"/>
              </w:rPr>
              <w:t xml:space="preserve"> </w:t>
            </w:r>
          </w:p>
          <w:p w14:paraId="08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  <w:sz w:val="22"/>
              </w:rPr>
            </w:pPr>
            <w:r>
              <w:rPr>
                <w:rFonts w:ascii="Times New Roman" w:hAnsi="Times New Roman"/>
                <w:b w:val="0"/>
                <w:sz w:val="22"/>
              </w:rPr>
              <w:t>url:</w:t>
            </w:r>
            <w:r>
              <w:rPr>
                <w:rFonts w:ascii="Times New Roman" w:hAnsi="Times New Roman"/>
                <w:b w:val="0"/>
                <w:sz w:val="22"/>
              </w:rPr>
              <w:t xml:space="preserve"> </w:t>
            </w:r>
            <w:r>
              <w:rPr>
                <w:rStyle w:val="Style_3_ch"/>
                <w:rFonts w:ascii="Times New Roman" w:hAnsi="Times New Roman"/>
                <w:b w:val="0"/>
                <w:sz w:val="22"/>
              </w:rPr>
              <w:fldChar w:fldCharType="begin"/>
            </w:r>
            <w:r>
              <w:rPr>
                <w:rStyle w:val="Style_3_ch"/>
                <w:rFonts w:ascii="Times New Roman" w:hAnsi="Times New Roman"/>
                <w:b w:val="0"/>
                <w:sz w:val="22"/>
              </w:rPr>
              <w:instrText>HYPERLINK "http://alt-diesel.ru"</w:instrText>
            </w:r>
            <w:r>
              <w:rPr>
                <w:rStyle w:val="Style_3_ch"/>
                <w:rFonts w:ascii="Times New Roman" w:hAnsi="Times New Roman"/>
                <w:b w:val="0"/>
                <w:sz w:val="22"/>
              </w:rPr>
              <w:fldChar w:fldCharType="separate"/>
            </w:r>
            <w:r>
              <w:rPr>
                <w:rStyle w:val="Style_3_ch"/>
                <w:rFonts w:ascii="Times New Roman" w:hAnsi="Times New Roman"/>
                <w:b w:val="0"/>
                <w:sz w:val="22"/>
              </w:rPr>
              <w:t>http://alt-diesel.ru</w:t>
            </w:r>
            <w:r>
              <w:rPr>
                <w:rStyle w:val="Style_3_ch"/>
                <w:rFonts w:ascii="Times New Roman" w:hAnsi="Times New Roman"/>
                <w:b w:val="0"/>
                <w:sz w:val="22"/>
              </w:rPr>
              <w:fldChar w:fldCharType="end"/>
            </w:r>
            <w:r>
              <w:rPr>
                <w:rFonts w:ascii="Times New Roman" w:hAnsi="Times New Roman"/>
                <w:b w:val="0"/>
                <w:sz w:val="22"/>
              </w:rPr>
              <w:t xml:space="preserve"> </w:t>
            </w:r>
            <w:r>
              <w:rPr>
                <w:rFonts w:ascii="Times New Roman" w:hAnsi="Times New Roman"/>
                <w:b w:val="0"/>
                <w:sz w:val="22"/>
              </w:rPr>
              <w:t xml:space="preserve"> </w:t>
            </w:r>
            <w:r>
              <w:rPr>
                <w:rFonts w:ascii="Times New Roman" w:hAnsi="Times New Roman"/>
                <w:b w:val="0"/>
                <w:sz w:val="22"/>
              </w:rPr>
              <w:t xml:space="preserve"> </w:t>
            </w:r>
          </w:p>
        </w:tc>
      </w:tr>
      <w:tr>
        <w:trPr>
          <w:trHeight w:hRule="atLeast" w:val="521"/>
        </w:trPr>
        <w:tc>
          <w:tcPr>
            <w:tcW w:type="dxa" w:w="6604"/>
            <w:gridSpan w:val="2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9000000">
            <w:pPr>
              <w:pStyle w:val="Style_4"/>
              <w:widowControl w:val="1"/>
              <w:spacing w:after="0" w:line="240" w:lineRule="auto"/>
              <w:ind w:firstLine="283" w:left="0" w:right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Исх. № 236А от 02.12.2025</w:t>
            </w:r>
          </w:p>
          <w:p w14:paraId="0A000000">
            <w:pPr>
              <w:pStyle w:val="Style_4"/>
              <w:widowControl w:val="1"/>
              <w:spacing w:after="0" w:line="240" w:lineRule="auto"/>
              <w:ind w:firstLine="283" w:left="0" w:right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Исп. Алексей Силаев</w:t>
            </w:r>
          </w:p>
          <w:p w14:paraId="0B000000">
            <w:pPr>
              <w:pStyle w:val="Style_4"/>
              <w:widowControl w:val="1"/>
              <w:spacing w:after="0" w:line="240" w:lineRule="auto"/>
              <w:ind w:firstLine="283" w:left="0" w:right="0"/>
              <w:jc w:val="left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тел. +7 (9</w:t>
            </w:r>
            <w:r>
              <w:rPr>
                <w:rFonts w:ascii="Times New Roman" w:hAnsi="Times New Roman"/>
                <w:color w:val="000000"/>
                <w:sz w:val="22"/>
              </w:rPr>
              <w:t>26</w:t>
            </w:r>
            <w:r>
              <w:rPr>
                <w:rFonts w:ascii="Times New Roman" w:hAnsi="Times New Roman"/>
                <w:color w:val="000000"/>
                <w:sz w:val="22"/>
              </w:rPr>
              <w:t>) 0</w:t>
            </w:r>
            <w:r>
              <w:rPr>
                <w:rFonts w:ascii="Times New Roman" w:hAnsi="Times New Roman"/>
                <w:color w:val="000000"/>
                <w:sz w:val="22"/>
              </w:rPr>
              <w:t>24</w:t>
            </w:r>
            <w:r>
              <w:rPr>
                <w:rFonts w:ascii="Times New Roman" w:hAnsi="Times New Roman"/>
                <w:color w:val="000000"/>
                <w:sz w:val="22"/>
              </w:rPr>
              <w:t>-</w:t>
            </w:r>
            <w:r>
              <w:rPr>
                <w:rFonts w:ascii="Times New Roman" w:hAnsi="Times New Roman"/>
                <w:color w:val="000000"/>
                <w:sz w:val="22"/>
              </w:rPr>
              <w:t>81</w:t>
            </w:r>
            <w:r>
              <w:rPr>
                <w:rFonts w:ascii="Times New Roman" w:hAnsi="Times New Roman"/>
                <w:color w:val="000000"/>
                <w:sz w:val="22"/>
              </w:rPr>
              <w:t>-</w:t>
            </w:r>
            <w:r>
              <w:rPr>
                <w:rFonts w:ascii="Times New Roman" w:hAnsi="Times New Roman"/>
                <w:color w:val="000000"/>
                <w:sz w:val="22"/>
              </w:rPr>
              <w:t>4</w:t>
            </w: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type="dxa" w:w="3797"/>
            <w:gridSpan w:val="2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C000000">
            <w:pPr>
              <w:widowControl w:val="1"/>
              <w:spacing w:after="0" w:line="240" w:lineRule="auto"/>
              <w:ind w:left="0"/>
              <w:jc w:val="right"/>
              <w:rPr>
                <w:rFonts w:ascii="Times New Roman" w:hAnsi="Times New Roman"/>
                <w:b w:val="0"/>
                <w:sz w:val="22"/>
              </w:rPr>
            </w:pPr>
            <w:r>
              <w:rPr>
                <w:rFonts w:ascii="Times New Roman" w:hAnsi="Times New Roman"/>
                <w:b w:val="0"/>
                <w:sz w:val="22"/>
              </w:rPr>
              <w:t xml:space="preserve"> </w:t>
            </w:r>
          </w:p>
          <w:p w14:paraId="0D000000">
            <w:pPr>
              <w:widowControl w:val="1"/>
              <w:spacing w:after="0"/>
              <w:ind/>
              <w:rPr>
                <w:rFonts w:ascii="Times New Roman" w:hAnsi="Times New Roman"/>
                <w:b w:val="0"/>
                <w:sz w:val="22"/>
              </w:rPr>
            </w:pPr>
          </w:p>
        </w:tc>
      </w:tr>
    </w:tbl>
    <w:p w14:paraId="0E000000">
      <w:pPr>
        <w:pStyle w:val="Style_1"/>
        <w:rPr>
          <w:rFonts w:ascii="Times New Roman" w:hAnsi="Times New Roman"/>
          <w:sz w:val="22"/>
        </w:rPr>
      </w:pPr>
    </w:p>
    <w:p w14:paraId="0F000000">
      <w:pPr>
        <w:pStyle w:val="Style_1"/>
        <w:widowControl w:val="1"/>
        <w:spacing w:line="240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Коммерческое предложение</w:t>
      </w:r>
    </w:p>
    <w:p w14:paraId="10000000">
      <w:pPr>
        <w:pStyle w:val="Style_1"/>
        <w:widowControl w:val="1"/>
        <w:spacing w:line="240" w:lineRule="auto"/>
        <w:ind/>
        <w:jc w:val="center"/>
        <w:rPr>
          <w:rFonts w:ascii="Times New Roman" w:hAnsi="Times New Roman"/>
          <w:b w:val="1"/>
          <w:sz w:val="22"/>
        </w:rPr>
      </w:pPr>
    </w:p>
    <w:p w14:paraId="11000000">
      <w:pPr>
        <w:pStyle w:val="Style_1"/>
        <w:widowControl w:val="1"/>
        <w:tabs>
          <w:tab w:leader="none" w:pos="8340" w:val="left"/>
        </w:tabs>
        <w:spacing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2"/>
        </w:rPr>
        <w:t xml:space="preserve">  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В соответствии с Вашим запросом ООО «АДМ» имеет возможность поставить </w:t>
      </w:r>
      <w:r>
        <w:rPr>
          <w:rFonts w:ascii="Times New Roman" w:hAnsi="Times New Roman"/>
          <w:sz w:val="24"/>
        </w:rPr>
        <w:t>газопоршневые установки (ГПУ) постоянной электрической мощностью</w:t>
      </w:r>
      <w:r>
        <w:rPr>
          <w:rFonts w:ascii="Times New Roman" w:hAnsi="Times New Roman"/>
          <w:sz w:val="24"/>
        </w:rPr>
        <w:t xml:space="preserve"> 200</w:t>
      </w:r>
      <w:r>
        <w:rPr>
          <w:rFonts w:ascii="Times New Roman" w:hAnsi="Times New Roman"/>
          <w:sz w:val="24"/>
        </w:rPr>
        <w:t xml:space="preserve"> кВт, 400 В, в</w:t>
      </w:r>
      <w:r>
        <w:rPr>
          <w:rFonts w:ascii="Times New Roman" w:hAnsi="Times New Roman"/>
          <w:sz w:val="24"/>
        </w:rPr>
        <w:t xml:space="preserve"> контейнерном исполнении.</w:t>
      </w:r>
    </w:p>
    <w:p w14:paraId="12000000">
      <w:pPr>
        <w:pStyle w:val="Style_1"/>
        <w:widowControl w:val="1"/>
        <w:tabs>
          <w:tab w:leader="none" w:pos="8340" w:val="left"/>
        </w:tabs>
        <w:spacing w:line="240" w:lineRule="auto"/>
        <w:ind/>
        <w:jc w:val="both"/>
        <w:rPr>
          <w:rFonts w:ascii="Times New Roman" w:hAnsi="Times New Roman"/>
          <w:sz w:val="24"/>
        </w:rPr>
      </w:pPr>
    </w:p>
    <w:p w14:paraId="13000000">
      <w:pPr>
        <w:widowControl w:val="1"/>
        <w:spacing w:after="0" w:line="240" w:lineRule="auto"/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Основные характеристики</w:t>
      </w:r>
    </w:p>
    <w:p w14:paraId="14000000">
      <w:pPr>
        <w:widowControl w:val="1"/>
        <w:spacing w:after="0" w:line="240" w:lineRule="auto"/>
        <w:ind/>
        <w:jc w:val="center"/>
        <w:rPr>
          <w:rFonts w:ascii="Times New Roman" w:hAnsi="Times New Roman"/>
          <w:b w:val="1"/>
          <w:sz w:val="24"/>
        </w:rPr>
      </w:pPr>
    </w:p>
    <w:tbl>
      <w:tblPr>
        <w:tblStyle w:val="Style_2"/>
        <w:tblW w:type="auto" w:w="0"/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6283"/>
        <w:gridCol w:w="4206"/>
      </w:tblGrid>
      <w:tr>
        <w:tc>
          <w:tcPr>
            <w:tcW w:type="dxa" w:w="62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5000000">
            <w:pPr>
              <w:widowControl w:val="1"/>
              <w:spacing w:after="0" w:line="276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Наименование</w:t>
            </w:r>
          </w:p>
        </w:tc>
        <w:tc>
          <w:tcPr>
            <w:tcW w:type="dxa" w:w="420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6000000">
            <w:pPr>
              <w:widowControl w:val="1"/>
              <w:spacing w:after="0" w:line="276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Показатель</w:t>
            </w:r>
          </w:p>
        </w:tc>
      </w:tr>
      <w:tr>
        <w:tc>
          <w:tcPr>
            <w:tcW w:type="dxa" w:w="62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7000000">
            <w:pPr>
              <w:widowControl w:val="1"/>
              <w:spacing w:after="0" w:line="276" w:lineRule="auto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Заводское обозначение </w:t>
            </w:r>
          </w:p>
        </w:tc>
        <w:tc>
          <w:tcPr>
            <w:tcW w:type="dxa" w:w="420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8000000">
            <w:pPr>
              <w:widowControl w:val="1"/>
              <w:spacing w:after="0" w:line="276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АDW-20</w:t>
            </w:r>
            <w:r>
              <w:rPr>
                <w:rFonts w:ascii="Times New Roman" w:hAnsi="Times New Roman"/>
                <w:color w:val="000000"/>
                <w:sz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</w:rPr>
              <w:t>0,4</w:t>
            </w:r>
            <w:r>
              <w:rPr>
                <w:rFonts w:ascii="Times New Roman" w:hAnsi="Times New Roman"/>
                <w:color w:val="000000"/>
                <w:sz w:val="24"/>
              </w:rPr>
              <w:t>-1Н</w:t>
            </w:r>
          </w:p>
        </w:tc>
      </w:tr>
      <w:tr>
        <w:tc>
          <w:tcPr>
            <w:tcW w:type="dxa" w:w="62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9000000">
            <w:pPr>
              <w:widowControl w:val="1"/>
              <w:spacing w:after="0" w:line="276" w:lineRule="auto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color w:val="000000"/>
                <w:spacing w:val="0"/>
                <w:sz w:val="24"/>
                <w:highlight w:val="white"/>
              </w:rPr>
              <w:t>Мощность номинальная, кВт</w:t>
            </w:r>
          </w:p>
        </w:tc>
        <w:tc>
          <w:tcPr>
            <w:tcW w:type="dxa" w:w="420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A000000">
            <w:pPr>
              <w:widowControl w:val="1"/>
              <w:spacing w:after="0" w:line="276" w:lineRule="auto"/>
              <w:ind/>
              <w:jc w:val="center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250</w:t>
            </w:r>
          </w:p>
        </w:tc>
      </w:tr>
      <w:tr>
        <w:tc>
          <w:tcPr>
            <w:tcW w:type="dxa" w:w="62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B000000">
            <w:pPr>
              <w:widowControl w:val="1"/>
              <w:spacing w:after="0" w:line="276" w:lineRule="auto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color w:val="000000"/>
                <w:spacing w:val="0"/>
                <w:sz w:val="24"/>
                <w:highlight w:val="white"/>
              </w:rPr>
              <w:t>Мощность электрическая (постоянная, длительная) кВт</w:t>
            </w:r>
          </w:p>
        </w:tc>
        <w:tc>
          <w:tcPr>
            <w:tcW w:type="dxa" w:w="420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C000000">
            <w:pPr>
              <w:widowControl w:val="1"/>
              <w:spacing w:after="0" w:line="276" w:lineRule="auto"/>
              <w:ind/>
              <w:jc w:val="center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200</w:t>
            </w:r>
          </w:p>
        </w:tc>
      </w:tr>
      <w:tr>
        <w:tc>
          <w:tcPr>
            <w:tcW w:type="dxa" w:w="62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D000000">
            <w:pPr>
              <w:widowControl w:val="1"/>
              <w:spacing w:after="0" w:line="276" w:lineRule="auto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Частота, Гц</w:t>
            </w:r>
          </w:p>
        </w:tc>
        <w:tc>
          <w:tcPr>
            <w:tcW w:type="dxa" w:w="420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E000000">
            <w:pPr>
              <w:widowControl w:val="1"/>
              <w:spacing w:after="0" w:line="276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50</w:t>
            </w:r>
          </w:p>
        </w:tc>
      </w:tr>
      <w:tr>
        <w:tc>
          <w:tcPr>
            <w:tcW w:type="dxa" w:w="62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F000000">
            <w:pPr>
              <w:widowControl w:val="1"/>
              <w:spacing w:after="0" w:line="276" w:lineRule="auto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Номинальное напряжение, В</w:t>
            </w:r>
          </w:p>
        </w:tc>
        <w:tc>
          <w:tcPr>
            <w:tcW w:type="dxa" w:w="420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0000000">
            <w:pPr>
              <w:widowControl w:val="1"/>
              <w:spacing w:after="0" w:line="276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400</w:t>
            </w:r>
          </w:p>
        </w:tc>
      </w:tr>
      <w:tr>
        <w:tc>
          <w:tcPr>
            <w:tcW w:type="dxa" w:w="62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1000000">
            <w:pPr>
              <w:widowControl w:val="1"/>
              <w:spacing w:after="0" w:line="276" w:lineRule="auto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Род тока</w:t>
            </w:r>
          </w:p>
        </w:tc>
        <w:tc>
          <w:tcPr>
            <w:tcW w:type="dxa" w:w="420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2000000">
            <w:pPr>
              <w:widowControl w:val="1"/>
              <w:spacing w:after="0" w:line="276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Переменный, 3-фазный</w:t>
            </w:r>
          </w:p>
        </w:tc>
      </w:tr>
      <w:tr>
        <w:tc>
          <w:tcPr>
            <w:tcW w:type="dxa" w:w="62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3000000">
            <w:pPr>
              <w:widowControl w:val="1"/>
              <w:spacing w:after="0" w:line="276" w:lineRule="auto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Требуемое давление газа, </w:t>
            </w:r>
            <w:r>
              <w:rPr>
                <w:rFonts w:ascii="Times New Roman" w:hAnsi="Times New Roman"/>
                <w:sz w:val="24"/>
              </w:rPr>
              <w:t xml:space="preserve">кПа </w:t>
            </w:r>
          </w:p>
        </w:tc>
        <w:tc>
          <w:tcPr>
            <w:tcW w:type="dxa" w:w="420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4000000">
            <w:pPr>
              <w:widowControl w:val="1"/>
              <w:spacing w:after="0" w:line="276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3-5</w:t>
            </w:r>
          </w:p>
        </w:tc>
      </w:tr>
      <w:tr>
        <w:tc>
          <w:tcPr>
            <w:tcW w:type="dxa" w:w="62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5000000">
            <w:pPr>
              <w:widowControl w:val="1"/>
              <w:spacing w:after="0" w:line="276" w:lineRule="auto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Расход газа при 75% нагрузке, </w:t>
            </w:r>
            <w:r>
              <w:rPr>
                <w:rFonts w:ascii="Times New Roman" w:hAnsi="Times New Roman"/>
                <w:sz w:val="24"/>
              </w:rPr>
              <w:t>м³/ч</w:t>
            </w:r>
          </w:p>
        </w:tc>
        <w:tc>
          <w:tcPr>
            <w:tcW w:type="dxa" w:w="420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6000000">
            <w:pPr>
              <w:widowControl w:val="1"/>
              <w:spacing w:after="0" w:line="276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56</w:t>
            </w:r>
          </w:p>
        </w:tc>
      </w:tr>
      <w:tr>
        <w:tc>
          <w:tcPr>
            <w:tcW w:type="dxa" w:w="62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7000000">
            <w:pPr>
              <w:widowControl w:val="1"/>
              <w:spacing w:after="0" w:line="276" w:lineRule="auto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Расход газа при 100% нагрузке, </w:t>
            </w:r>
            <w:r>
              <w:rPr>
                <w:rFonts w:ascii="Times New Roman" w:hAnsi="Times New Roman"/>
                <w:sz w:val="24"/>
              </w:rPr>
              <w:t>м³/ч</w:t>
            </w:r>
          </w:p>
        </w:tc>
        <w:tc>
          <w:tcPr>
            <w:tcW w:type="dxa" w:w="420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8000000">
            <w:pPr>
              <w:widowControl w:val="1"/>
              <w:spacing w:after="0" w:line="276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68</w:t>
            </w:r>
          </w:p>
        </w:tc>
      </w:tr>
      <w:tr>
        <w:tc>
          <w:tcPr>
            <w:tcW w:type="dxa" w:w="62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9000000">
            <w:pPr>
              <w:widowControl w:val="1"/>
              <w:spacing w:after="0" w:line="276" w:lineRule="auto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Расход масла при 100% нагрузке, </w:t>
            </w:r>
            <w:r>
              <w:rPr>
                <w:rFonts w:ascii="Times New Roman" w:hAnsi="Times New Roman"/>
                <w:sz w:val="24"/>
              </w:rPr>
              <w:t>г/кВтч</w:t>
            </w:r>
          </w:p>
        </w:tc>
        <w:tc>
          <w:tcPr>
            <w:tcW w:type="dxa" w:w="420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A000000">
            <w:pPr>
              <w:widowControl w:val="1"/>
              <w:spacing w:after="0" w:line="276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0,3</w:t>
            </w:r>
          </w:p>
        </w:tc>
      </w:tr>
      <w:tr>
        <w:tc>
          <w:tcPr>
            <w:tcW w:type="dxa" w:w="62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B000000">
            <w:pPr>
              <w:widowControl w:val="1"/>
              <w:spacing w:after="0" w:line="276" w:lineRule="auto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Межсервисный интервал, </w:t>
            </w:r>
            <w:r>
              <w:rPr>
                <w:rFonts w:ascii="Times New Roman" w:hAnsi="Times New Roman"/>
                <w:sz w:val="24"/>
              </w:rPr>
              <w:t>м.ч.</w:t>
            </w:r>
          </w:p>
        </w:tc>
        <w:tc>
          <w:tcPr>
            <w:tcW w:type="dxa" w:w="420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C000000">
            <w:pPr>
              <w:widowControl w:val="1"/>
              <w:spacing w:after="0" w:line="276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750</w:t>
            </w:r>
          </w:p>
        </w:tc>
      </w:tr>
    </w:tbl>
    <w:p w14:paraId="2D000000">
      <w:pPr>
        <w:widowControl w:val="1"/>
        <w:spacing w:after="0" w:line="240" w:lineRule="auto"/>
        <w:ind w:firstLine="180"/>
        <w:jc w:val="center"/>
        <w:rPr>
          <w:rFonts w:ascii="Times New Roman" w:hAnsi="Times New Roman"/>
          <w:b w:val="1"/>
          <w:sz w:val="24"/>
        </w:rPr>
      </w:pPr>
    </w:p>
    <w:p w14:paraId="2E000000">
      <w:pPr>
        <w:widowControl w:val="1"/>
        <w:spacing w:after="0" w:line="240" w:lineRule="auto"/>
        <w:ind w:firstLine="180"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Двигатель</w:t>
      </w:r>
    </w:p>
    <w:p w14:paraId="2F000000">
      <w:pPr>
        <w:widowControl w:val="1"/>
        <w:spacing w:after="0" w:line="240" w:lineRule="auto"/>
        <w:ind w:firstLine="180"/>
        <w:jc w:val="center"/>
        <w:rPr>
          <w:rFonts w:ascii="Times New Roman" w:hAnsi="Times New Roman"/>
          <w:b w:val="1"/>
          <w:sz w:val="24"/>
        </w:rPr>
      </w:pPr>
    </w:p>
    <w:tbl>
      <w:tblPr>
        <w:tblStyle w:val="Style_2"/>
        <w:tblW w:type="auto" w:w="0"/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6280"/>
        <w:gridCol w:w="4139"/>
      </w:tblGrid>
      <w:tr>
        <w:tc>
          <w:tcPr>
            <w:tcW w:type="dxa" w:w="62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0000000">
            <w:pPr>
              <w:widowControl w:val="1"/>
              <w:spacing w:after="0" w:line="276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</w:t>
            </w:r>
          </w:p>
        </w:tc>
        <w:tc>
          <w:tcPr>
            <w:tcW w:type="dxa" w:w="413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1000000">
            <w:pPr>
              <w:widowControl w:val="1"/>
              <w:spacing w:after="0" w:line="276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Показатель</w:t>
            </w:r>
          </w:p>
        </w:tc>
      </w:tr>
      <w:tr>
        <w:tc>
          <w:tcPr>
            <w:tcW w:type="dxa" w:w="62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2000000">
            <w:pPr>
              <w:widowControl w:val="1"/>
              <w:spacing w:after="0" w:line="276" w:lineRule="auto"/>
              <w:ind/>
              <w:jc w:val="both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Модель</w:t>
            </w:r>
          </w:p>
        </w:tc>
        <w:tc>
          <w:tcPr>
            <w:tcW w:type="dxa" w:w="413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3000000">
            <w:pPr>
              <w:widowControl w:val="1"/>
              <w:spacing w:after="0" w:line="276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Weichai</w:t>
            </w:r>
            <w:r>
              <w:rPr>
                <w:rFonts w:ascii="Times New Roman" w:hAnsi="Times New Roman"/>
                <w:b w:val="1"/>
                <w:sz w:val="24"/>
              </w:rPr>
              <w:t xml:space="preserve"> </w:t>
            </w:r>
            <w:r>
              <w:rPr>
                <w:rFonts w:ascii="Times New Roman" w:hAnsi="Times New Roman"/>
                <w:b w:val="1"/>
                <w:sz w:val="24"/>
              </w:rPr>
              <w:t>WP13D317E300NG</w:t>
            </w:r>
            <w:r>
              <w:rPr>
                <w:rFonts w:ascii="Times New Roman" w:hAnsi="Times New Roman"/>
                <w:b w:val="1"/>
                <w:sz w:val="24"/>
              </w:rPr>
              <w:t xml:space="preserve"> </w:t>
            </w:r>
          </w:p>
        </w:tc>
      </w:tr>
      <w:tr>
        <w:tc>
          <w:tcPr>
            <w:tcW w:type="dxa" w:w="62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4000000">
            <w:pPr>
              <w:widowControl w:val="1"/>
              <w:spacing w:after="0" w:line="276" w:lineRule="auto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Регулятор оборотов</w:t>
            </w:r>
          </w:p>
        </w:tc>
        <w:tc>
          <w:tcPr>
            <w:tcW w:type="dxa" w:w="413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5000000">
            <w:pPr>
              <w:widowControl w:val="1"/>
              <w:spacing w:after="0" w:line="276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электронный</w:t>
            </w:r>
          </w:p>
        </w:tc>
      </w:tr>
      <w:tr>
        <w:trPr/>
        <w:tc>
          <w:tcPr>
            <w:tcW w:type="dxa" w:w="62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6000000">
            <w:pPr>
              <w:widowControl w:val="1"/>
              <w:spacing w:after="0" w:line="276" w:lineRule="auto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Вид топлива</w:t>
            </w:r>
          </w:p>
        </w:tc>
        <w:tc>
          <w:tcPr>
            <w:tcW w:type="dxa" w:w="413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7000000">
            <w:pPr>
              <w:widowControl w:val="1"/>
              <w:spacing w:after="0" w:line="276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Природный газ (</w:t>
            </w:r>
            <w:r>
              <w:rPr>
                <w:rFonts w:ascii="Times New Roman" w:hAnsi="Times New Roman"/>
                <w:sz w:val="24"/>
              </w:rPr>
              <w:t>MN≥85 )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</w:tr>
      <w:tr>
        <w:tc>
          <w:tcPr>
            <w:tcW w:type="dxa" w:w="62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8000000">
            <w:pPr>
              <w:widowControl w:val="1"/>
              <w:spacing w:after="0" w:line="276" w:lineRule="auto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Частота вращения вала двигателя, об/мин</w:t>
            </w:r>
          </w:p>
        </w:tc>
        <w:tc>
          <w:tcPr>
            <w:tcW w:type="dxa" w:w="413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9000000">
            <w:pPr>
              <w:widowControl w:val="1"/>
              <w:spacing w:after="0" w:line="276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1500</w:t>
            </w:r>
          </w:p>
        </w:tc>
      </w:tr>
    </w:tbl>
    <w:p w14:paraId="3A000000">
      <w:pPr>
        <w:widowControl w:val="1"/>
        <w:spacing w:after="0" w:line="240" w:lineRule="auto"/>
        <w:ind/>
        <w:rPr>
          <w:rFonts w:ascii="Times New Roman" w:hAnsi="Times New Roman"/>
          <w:b w:val="1"/>
          <w:sz w:val="24"/>
        </w:rPr>
      </w:pPr>
    </w:p>
    <w:p w14:paraId="3B000000">
      <w:pPr>
        <w:widowControl w:val="1"/>
        <w:spacing w:after="0" w:line="240" w:lineRule="auto"/>
        <w:ind w:firstLine="180"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Генератор</w:t>
      </w:r>
    </w:p>
    <w:p w14:paraId="3C000000">
      <w:pPr>
        <w:widowControl w:val="1"/>
        <w:spacing w:after="0" w:line="240" w:lineRule="auto"/>
        <w:ind w:firstLine="180"/>
        <w:jc w:val="center"/>
        <w:rPr>
          <w:rFonts w:ascii="Times New Roman" w:hAnsi="Times New Roman"/>
          <w:b w:val="1"/>
          <w:sz w:val="24"/>
        </w:rPr>
      </w:pPr>
    </w:p>
    <w:tbl>
      <w:tblPr>
        <w:tblStyle w:val="Style_2"/>
        <w:tblW w:type="auto" w:w="0"/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6280"/>
        <w:gridCol w:w="4160"/>
      </w:tblGrid>
      <w:tr>
        <w:tc>
          <w:tcPr>
            <w:tcW w:type="dxa" w:w="62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D000000">
            <w:pPr>
              <w:widowControl w:val="1"/>
              <w:spacing w:after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</w:t>
            </w:r>
          </w:p>
        </w:tc>
        <w:tc>
          <w:tcPr>
            <w:tcW w:type="dxa" w:w="41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E000000">
            <w:pPr>
              <w:widowControl w:val="1"/>
              <w:spacing w:after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Показатель</w:t>
            </w:r>
          </w:p>
        </w:tc>
      </w:tr>
      <w:tr>
        <w:tc>
          <w:tcPr>
            <w:tcW w:type="dxa" w:w="62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F000000">
            <w:pPr>
              <w:widowControl w:val="1"/>
              <w:spacing w:after="0" w:line="240" w:lineRule="auto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Тип Генератора</w:t>
            </w:r>
          </w:p>
        </w:tc>
        <w:tc>
          <w:tcPr>
            <w:tcW w:type="dxa" w:w="41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0000000">
            <w:pPr>
              <w:widowControl w:val="1"/>
              <w:spacing w:after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Синхронный, трехфазный, одноопорный</w:t>
            </w:r>
          </w:p>
        </w:tc>
      </w:tr>
      <w:tr>
        <w:tc>
          <w:tcPr>
            <w:tcW w:type="dxa" w:w="62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1000000">
            <w:pPr>
              <w:widowControl w:val="1"/>
              <w:spacing w:after="0" w:line="240" w:lineRule="auto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Марка генератора </w:t>
            </w:r>
          </w:p>
        </w:tc>
        <w:tc>
          <w:tcPr>
            <w:tcW w:type="dxa" w:w="41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2000000">
            <w:pPr>
              <w:widowControl w:val="1"/>
              <w:spacing w:after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ENGGA EG280-250N </w:t>
            </w:r>
          </w:p>
        </w:tc>
      </w:tr>
      <w:tr>
        <w:tc>
          <w:tcPr>
            <w:tcW w:type="dxa" w:w="62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3000000">
            <w:pPr>
              <w:widowControl w:val="1"/>
              <w:spacing w:after="0" w:line="240" w:lineRule="auto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Номинальное напряжение, В</w:t>
            </w:r>
          </w:p>
        </w:tc>
        <w:tc>
          <w:tcPr>
            <w:tcW w:type="dxa" w:w="41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4000000">
            <w:pPr>
              <w:widowControl w:val="1"/>
              <w:spacing w:after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400</w:t>
            </w:r>
          </w:p>
        </w:tc>
      </w:tr>
      <w:tr>
        <w:tc>
          <w:tcPr>
            <w:tcW w:type="dxa" w:w="62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5000000">
            <w:pPr>
              <w:widowControl w:val="1"/>
              <w:spacing w:after="0" w:line="240" w:lineRule="auto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Род тока</w:t>
            </w:r>
          </w:p>
        </w:tc>
        <w:tc>
          <w:tcPr>
            <w:tcW w:type="dxa" w:w="41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6000000">
            <w:pPr>
              <w:widowControl w:val="1"/>
              <w:spacing w:after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Переменный, 3-фазный</w:t>
            </w:r>
          </w:p>
        </w:tc>
      </w:tr>
      <w:tr>
        <w:tc>
          <w:tcPr>
            <w:tcW w:type="dxa" w:w="62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7000000">
            <w:pPr>
              <w:widowControl w:val="1"/>
              <w:spacing w:after="0" w:line="240" w:lineRule="auto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Номинальный коэффициент мощности</w:t>
            </w:r>
          </w:p>
        </w:tc>
        <w:tc>
          <w:tcPr>
            <w:tcW w:type="dxa" w:w="41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8000000">
            <w:pPr>
              <w:widowControl w:val="1"/>
              <w:spacing w:after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0,8</w:t>
            </w:r>
          </w:p>
        </w:tc>
      </w:tr>
      <w:tr>
        <w:tc>
          <w:tcPr>
            <w:tcW w:type="dxa" w:w="62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9000000">
            <w:pPr>
              <w:widowControl w:val="1"/>
              <w:spacing w:after="0" w:line="240" w:lineRule="auto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Класс изоляции</w:t>
            </w:r>
          </w:p>
        </w:tc>
        <w:tc>
          <w:tcPr>
            <w:tcW w:type="dxa" w:w="41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A000000">
            <w:pPr>
              <w:widowControl w:val="1"/>
              <w:spacing w:after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</w:t>
            </w:r>
          </w:p>
        </w:tc>
      </w:tr>
      <w:tr>
        <w:tc>
          <w:tcPr>
            <w:tcW w:type="dxa" w:w="62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B000000">
            <w:pPr>
              <w:widowControl w:val="1"/>
              <w:spacing w:after="0" w:line="240" w:lineRule="auto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Степень защиты</w:t>
            </w:r>
          </w:p>
        </w:tc>
        <w:tc>
          <w:tcPr>
            <w:tcW w:type="dxa" w:w="41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C000000">
            <w:pPr>
              <w:widowControl w:val="1"/>
              <w:spacing w:after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IP23</w:t>
            </w:r>
          </w:p>
        </w:tc>
      </w:tr>
      <w:tr>
        <w:tc>
          <w:tcPr>
            <w:tcW w:type="dxa" w:w="62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D000000">
            <w:pPr>
              <w:widowControl w:val="1"/>
              <w:spacing w:after="0" w:line="240" w:lineRule="auto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Регулятор напряжения (AVR)</w:t>
            </w:r>
          </w:p>
        </w:tc>
        <w:tc>
          <w:tcPr>
            <w:tcW w:type="dxa" w:w="41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E000000">
            <w:pPr>
              <w:widowControl w:val="1"/>
              <w:spacing w:after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Электронный, автоматический</w:t>
            </w:r>
          </w:p>
        </w:tc>
      </w:tr>
    </w:tbl>
    <w:p w14:paraId="4F000000">
      <w:pPr>
        <w:pStyle w:val="Style_1"/>
        <w:widowControl w:val="1"/>
        <w:tabs>
          <w:tab w:leader="none" w:pos="8340" w:val="left"/>
        </w:tabs>
        <w:ind/>
        <w:jc w:val="center"/>
        <w:rPr>
          <w:rFonts w:ascii="Times New Roman" w:hAnsi="Times New Roman"/>
          <w:b w:val="1"/>
          <w:sz w:val="22"/>
        </w:rPr>
      </w:pPr>
    </w:p>
    <w:p w14:paraId="50000000">
      <w:pPr>
        <w:pStyle w:val="Style_1"/>
        <w:widowControl w:val="1"/>
        <w:tabs>
          <w:tab w:leader="none" w:pos="8340" w:val="left"/>
        </w:tabs>
        <w:ind/>
        <w:jc w:val="center"/>
        <w:rPr>
          <w:rFonts w:ascii="Times New Roman" w:hAnsi="Times New Roman"/>
          <w:b w:val="1"/>
          <w:sz w:val="22"/>
        </w:rPr>
      </w:pPr>
    </w:p>
    <w:tbl>
      <w:tblPr>
        <w:tblW w:type="auto" w:w="0"/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78"/>
          <w:bottom w:type="dxa" w:w="0"/>
          <w:right w:type="dxa" w:w="108"/>
        </w:tblCellMar>
      </w:tblPr>
      <w:tblGrid>
        <w:gridCol w:w="450"/>
        <w:gridCol w:w="5834"/>
        <w:gridCol w:w="1655"/>
        <w:gridCol w:w="871"/>
        <w:gridCol w:w="1679"/>
      </w:tblGrid>
      <w:tr>
        <w:trPr>
          <w:trHeight w:hRule="atLeast" w:val="594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100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№</w:t>
            </w:r>
          </w:p>
        </w:tc>
        <w:tc>
          <w:tcPr>
            <w:tcW w:type="dxa" w:w="58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2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Оборудование</w:t>
            </w:r>
            <w:r>
              <w:rPr>
                <w:rFonts w:ascii="Times New Roman" w:hAnsi="Times New Roman"/>
                <w:b w:val="1"/>
                <w:sz w:val="24"/>
              </w:rPr>
              <w:t>, наименование товара</w:t>
            </w:r>
          </w:p>
        </w:tc>
        <w:tc>
          <w:tcPr>
            <w:tcW w:type="dxa" w:w="16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3000000">
            <w:pPr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 xml:space="preserve">Цена руб. </w:t>
            </w:r>
          </w:p>
          <w:p w14:paraId="54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с НДС 20%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5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Кол-во</w:t>
            </w:r>
          </w:p>
        </w:tc>
        <w:tc>
          <w:tcPr>
            <w:tcW w:type="dxa" w:w="167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6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Стоимость руб. с НДС 20%</w:t>
            </w:r>
          </w:p>
        </w:tc>
      </w:tr>
      <w:tr>
        <w:trPr>
          <w:trHeight w:hRule="atLeast" w:val="2465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7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58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8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Газопоршневая электростанция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АDW-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200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0,4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-1Н </w:t>
            </w:r>
            <w:r>
              <w:rPr>
                <w:rFonts w:ascii="Times New Roman" w:hAnsi="Times New Roman"/>
                <w:b w:val="0"/>
                <w:sz w:val="24"/>
              </w:rPr>
              <w:t>постоянной электрической мощностью 200 кВт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  <w:p w14:paraId="59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b w:val="0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 xml:space="preserve">на базе ГПУ Weichai </w:t>
            </w:r>
            <w:r>
              <w:rPr>
                <w:rFonts w:ascii="Times New Roman" w:hAnsi="Times New Roman"/>
                <w:b w:val="0"/>
                <w:sz w:val="24"/>
              </w:rPr>
              <w:t xml:space="preserve">WPG312B8NG на двигателе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Weichai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sz w:val="24"/>
              </w:rPr>
              <w:t>WP13D317E300NG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</w:p>
          <w:p w14:paraId="5A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 xml:space="preserve">в цельносварном </w:t>
            </w:r>
            <w:r>
              <w:rPr>
                <w:rFonts w:ascii="Times New Roman" w:hAnsi="Times New Roman"/>
                <w:sz w:val="24"/>
              </w:rPr>
              <w:t xml:space="preserve">блок-контейнере «Север» утепление 100мм. </w:t>
            </w:r>
            <w:r>
              <w:rPr>
                <w:rFonts w:ascii="Times New Roman" w:hAnsi="Times New Roman"/>
                <w:b w:val="0"/>
                <w:sz w:val="24"/>
              </w:rPr>
              <w:t>БК-5</w:t>
            </w:r>
            <w:r>
              <w:rPr>
                <w:rFonts w:ascii="Times New Roman" w:hAnsi="Times New Roman"/>
                <w:b w:val="0"/>
                <w:sz w:val="24"/>
              </w:rPr>
              <w:t xml:space="preserve"> Габаринтые размеры: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 </w:t>
            </w:r>
            <w:r>
              <w:rPr>
                <w:rFonts w:ascii="Times New Roman" w:hAnsi="Times New Roman"/>
                <w:sz w:val="24"/>
              </w:rPr>
              <w:t>ДхШхВ (55</w:t>
            </w:r>
            <w:r>
              <w:rPr>
                <w:rFonts w:ascii="Times New Roman" w:hAnsi="Times New Roman"/>
                <w:sz w:val="24"/>
              </w:rPr>
              <w:t>00x2450x2700 мм)</w:t>
            </w:r>
          </w:p>
          <w:p w14:paraId="5B000000">
            <w:pPr>
              <w:widowControl w:val="1"/>
              <w:spacing w:after="0" w:before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Вертикальный блок охлаждения закреплен на раме </w:t>
            </w:r>
          </w:p>
          <w:p w14:paraId="5C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Панель управления </w:t>
            </w:r>
            <w:r>
              <w:rPr>
                <w:rFonts w:ascii="Times New Roman" w:hAnsi="Times New Roman"/>
                <w:color w:val="000000"/>
                <w:sz w:val="24"/>
              </w:rPr>
              <w:t>DSE8610 параллельная работа</w:t>
            </w:r>
          </w:p>
        </w:tc>
        <w:tc>
          <w:tcPr>
            <w:tcW w:type="dxa" w:w="16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D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6 250 000,00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E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67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F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6 250 000,00</w:t>
            </w:r>
          </w:p>
        </w:tc>
      </w:tr>
      <w:tr>
        <w:trPr>
          <w:trHeight w:hRule="atLeast" w:val="770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0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58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1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Пусконаладочные работы (ПНР)</w:t>
            </w:r>
          </w:p>
        </w:tc>
        <w:tc>
          <w:tcPr>
            <w:tcW w:type="dxa" w:w="16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2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3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67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4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</w:tr>
    </w:tbl>
    <w:p w14:paraId="65000000">
      <w:pPr>
        <w:pStyle w:val="Style_1"/>
        <w:widowControl w:val="1"/>
        <w:tabs>
          <w:tab w:leader="none" w:pos="8340" w:val="left"/>
        </w:tabs>
        <w:ind/>
        <w:jc w:val="left"/>
        <w:rPr>
          <w:rFonts w:ascii="Times New Roman" w:hAnsi="Times New Roman"/>
          <w:b w:val="1"/>
          <w:sz w:val="22"/>
        </w:rPr>
      </w:pPr>
    </w:p>
    <w:p w14:paraId="66000000">
      <w:pPr>
        <w:widowControl w:val="0"/>
        <w:spacing w:after="0" w:line="240" w:lineRule="auto"/>
        <w:ind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Стоимость</w:t>
      </w:r>
      <w:r>
        <w:rPr>
          <w:rFonts w:ascii="Times New Roman" w:hAnsi="Times New Roman"/>
          <w:sz w:val="24"/>
        </w:rPr>
        <w:t>:</w:t>
      </w:r>
    </w:p>
    <w:p w14:paraId="67000000">
      <w:pPr>
        <w:widowControl w:val="0"/>
        <w:spacing w:after="0" w:line="240" w:lineRule="auto"/>
        <w:ind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Цены указаны на условиях отгрузки оборудования со склада </w:t>
      </w:r>
      <w:r>
        <w:rPr>
          <w:rFonts w:ascii="Times New Roman" w:hAnsi="Times New Roman"/>
          <w:sz w:val="24"/>
        </w:rPr>
        <w:t>г. Барнаул с учетом</w:t>
      </w:r>
      <w:r>
        <w:rPr>
          <w:rFonts w:ascii="Times New Roman" w:hAnsi="Times New Roman"/>
          <w:sz w:val="24"/>
        </w:rPr>
        <w:t xml:space="preserve"> всех пошлин и налогов, в том числе НДС (20%).</w:t>
      </w:r>
    </w:p>
    <w:p w14:paraId="68000000">
      <w:pPr>
        <w:widowControl w:val="0"/>
        <w:spacing w:after="0" w:line="240" w:lineRule="auto"/>
        <w:ind w:left="0"/>
        <w:jc w:val="left"/>
        <w:rPr>
          <w:rFonts w:ascii="Times New Roman" w:hAnsi="Times New Roman"/>
          <w:sz w:val="24"/>
        </w:rPr>
      </w:pPr>
    </w:p>
    <w:p w14:paraId="69000000">
      <w:pPr>
        <w:widowControl w:val="1"/>
        <w:spacing w:after="0"/>
        <w:ind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Срок изготовления и оборудования:</w:t>
      </w:r>
    </w:p>
    <w:p w14:paraId="6A000000">
      <w:pPr>
        <w:widowControl w:val="0"/>
        <w:spacing w:after="0" w:line="240" w:lineRule="auto"/>
        <w:ind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35-50 календарных дней;</w:t>
      </w:r>
    </w:p>
    <w:p w14:paraId="6B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sz w:val="24"/>
        </w:rPr>
      </w:pPr>
    </w:p>
    <w:p w14:paraId="6C000000">
      <w:pPr>
        <w:widowControl w:val="0"/>
        <w:spacing w:after="0" w:line="240" w:lineRule="auto"/>
        <w:ind w:firstLine="0"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Условия платежа</w:t>
      </w:r>
      <w:r>
        <w:rPr>
          <w:rFonts w:ascii="Times New Roman" w:hAnsi="Times New Roman"/>
          <w:sz w:val="24"/>
        </w:rPr>
        <w:t>:</w:t>
      </w:r>
    </w:p>
    <w:p w14:paraId="6D000000">
      <w:pPr>
        <w:widowControl w:val="0"/>
        <w:spacing w:after="0" w:line="240" w:lineRule="auto"/>
        <w:ind w:firstLine="0"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Предоплата 70%; 30% </w:t>
      </w:r>
      <w:r>
        <w:rPr>
          <w:rFonts w:ascii="Times New Roman" w:hAnsi="Times New Roman"/>
          <w:sz w:val="24"/>
        </w:rPr>
        <w:t xml:space="preserve">по факту готовности к отгрузке </w:t>
      </w:r>
      <w:r>
        <w:rPr>
          <w:rFonts w:ascii="Times New Roman" w:hAnsi="Times New Roman"/>
          <w:sz w:val="24"/>
        </w:rPr>
        <w:t xml:space="preserve">со склада поставщика; </w:t>
      </w:r>
      <w:r>
        <w:rPr>
          <w:rFonts w:ascii="Times New Roman" w:hAnsi="Times New Roman"/>
          <w:sz w:val="24"/>
        </w:rPr>
        <w:t>либо оговаривается на момент заключения договора.</w:t>
      </w:r>
    </w:p>
    <w:p w14:paraId="6E000000">
      <w:pPr>
        <w:widowControl w:val="0"/>
        <w:spacing w:after="0" w:line="240" w:lineRule="auto"/>
        <w:ind w:firstLine="0" w:left="0"/>
        <w:jc w:val="left"/>
        <w:rPr>
          <w:rFonts w:ascii="Times New Roman" w:hAnsi="Times New Roman"/>
          <w:sz w:val="24"/>
        </w:rPr>
      </w:pPr>
    </w:p>
    <w:p w14:paraId="6F000000">
      <w:pPr>
        <w:widowControl w:val="0"/>
        <w:tabs>
          <w:tab w:leader="none" w:pos="0" w:val="left"/>
        </w:tabs>
        <w:spacing w:after="0" w:line="240" w:lineRule="auto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Гарантия</w:t>
      </w:r>
      <w:r>
        <w:rPr>
          <w:rFonts w:ascii="Times New Roman" w:hAnsi="Times New Roman"/>
          <w:b w:val="1"/>
          <w:sz w:val="24"/>
        </w:rPr>
        <w:t>:</w:t>
      </w:r>
      <w:r>
        <w:rPr>
          <w:rFonts w:ascii="Times New Roman" w:hAnsi="Times New Roman"/>
          <w:sz w:val="24"/>
        </w:rPr>
        <w:tab/>
      </w:r>
    </w:p>
    <w:p w14:paraId="70000000">
      <w:pPr>
        <w:widowControl w:val="0"/>
        <w:tabs>
          <w:tab w:leader="none" w:pos="0" w:val="left"/>
        </w:tabs>
        <w:spacing w:after="0" w:line="240" w:lineRule="auto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12</w:t>
      </w:r>
      <w:r>
        <w:rPr>
          <w:rFonts w:ascii="Times New Roman" w:hAnsi="Times New Roman"/>
          <w:sz w:val="24"/>
        </w:rPr>
        <w:t xml:space="preserve"> мес. либо </w:t>
      </w:r>
      <w:r>
        <w:rPr>
          <w:rFonts w:ascii="Times New Roman" w:hAnsi="Times New Roman"/>
          <w:sz w:val="24"/>
        </w:rPr>
        <w:t>8</w:t>
      </w:r>
      <w:r>
        <w:rPr>
          <w:rFonts w:ascii="Times New Roman" w:hAnsi="Times New Roman"/>
          <w:sz w:val="24"/>
        </w:rPr>
        <w:t>000 мото</w:t>
      </w:r>
      <w:r>
        <w:rPr>
          <w:rFonts w:ascii="Times New Roman" w:hAnsi="Times New Roman"/>
          <w:sz w:val="24"/>
        </w:rPr>
        <w:t>часов, в зависимости от того что наступит ранее</w:t>
      </w:r>
      <w:r>
        <w:rPr>
          <w:rFonts w:ascii="Times New Roman" w:hAnsi="Times New Roman"/>
          <w:sz w:val="24"/>
        </w:rPr>
        <w:t>.</w:t>
      </w:r>
    </w:p>
    <w:p w14:paraId="71000000">
      <w:pPr>
        <w:widowControl w:val="0"/>
        <w:tabs>
          <w:tab w:leader="none" w:pos="0" w:val="left"/>
        </w:tabs>
        <w:spacing w:after="0" w:line="240" w:lineRule="auto"/>
        <w:ind w:left="0"/>
        <w:rPr>
          <w:rFonts w:ascii="Times New Roman" w:hAnsi="Times New Roman"/>
          <w:sz w:val="24"/>
        </w:rPr>
      </w:pPr>
    </w:p>
    <w:p w14:paraId="72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Срок действия данного предложения:</w:t>
      </w:r>
    </w:p>
    <w:p w14:paraId="73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sz w:val="24"/>
        </w:rPr>
        <w:t xml:space="preserve">Данное </w:t>
      </w:r>
      <w:r>
        <w:rPr>
          <w:rFonts w:ascii="Times New Roman" w:hAnsi="Times New Roman"/>
          <w:sz w:val="24"/>
        </w:rPr>
        <w:t>предложение действительно до «31</w:t>
      </w:r>
      <w:r>
        <w:rPr>
          <w:rFonts w:ascii="Times New Roman" w:hAnsi="Times New Roman"/>
          <w:sz w:val="24"/>
        </w:rPr>
        <w:t xml:space="preserve">» </w:t>
      </w:r>
      <w:r>
        <w:rPr>
          <w:rFonts w:ascii="Times New Roman" w:hAnsi="Times New Roman"/>
          <w:sz w:val="24"/>
        </w:rPr>
        <w:t>Декабря</w:t>
      </w:r>
      <w:r>
        <w:rPr>
          <w:rFonts w:ascii="Times New Roman" w:hAnsi="Times New Roman"/>
          <w:sz w:val="24"/>
        </w:rPr>
        <w:t xml:space="preserve"> 202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г.</w:t>
      </w:r>
    </w:p>
    <w:p w14:paraId="74000000">
      <w:pPr>
        <w:widowControl w:val="1"/>
        <w:spacing w:after="0"/>
        <w:ind/>
        <w:jc w:val="center"/>
        <w:rPr>
          <w:rFonts w:ascii="Times New Roman" w:hAnsi="Times New Roman"/>
          <w:b w:val="1"/>
          <w:sz w:val="22"/>
        </w:rPr>
      </w:pPr>
    </w:p>
    <w:p w14:paraId="75000000">
      <w:pPr>
        <w:widowControl w:val="1"/>
        <w:spacing w:after="0"/>
        <w:ind/>
        <w:jc w:val="center"/>
        <w:rPr>
          <w:rFonts w:ascii="Times New Roman" w:hAnsi="Times New Roman"/>
          <w:b w:val="1"/>
          <w:sz w:val="22"/>
        </w:rPr>
      </w:pPr>
      <w:r>
        <w:rPr>
          <w:rFonts w:ascii="Times New Roman" w:hAnsi="Times New Roman"/>
          <w:b w:val="1"/>
          <w:sz w:val="22"/>
        </w:rPr>
        <w:t>СОСТАВ ОБОРУДОВАНИЯ</w:t>
      </w:r>
    </w:p>
    <w:tbl>
      <w:tblPr>
        <w:tblStyle w:val="Style_2"/>
        <w:tblW w:type="auto" w:w="0"/>
        <w:tblInd w:type="dxa" w:w="-38"/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10489"/>
      </w:tblGrid>
      <w:tr>
        <w:trPr>
          <w:trHeight w:hRule="atLeast" w:val="407"/>
        </w:trP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6000000">
            <w:pPr>
              <w:widowControl w:val="1"/>
              <w:spacing w:after="0" w:line="240" w:lineRule="auto"/>
              <w:ind/>
              <w:jc w:val="center"/>
              <w:rPr>
                <w:rFonts w:ascii="Times New Roman" w:hAnsi="Times New Roman"/>
                <w:b w:val="1"/>
                <w:sz w:val="22"/>
              </w:rPr>
            </w:pPr>
            <w:r>
              <w:rPr>
                <w:rFonts w:ascii="Times New Roman" w:hAnsi="Times New Roman"/>
                <w:b w:val="1"/>
                <w:sz w:val="22"/>
              </w:rPr>
              <w:t>Наименование</w:t>
            </w:r>
            <w:r>
              <w:rPr>
                <w:rFonts w:ascii="Times New Roman" w:hAnsi="Times New Roman"/>
                <w:b w:val="1"/>
                <w:sz w:val="22"/>
              </w:rPr>
              <w:t xml:space="preserve"> </w:t>
            </w:r>
            <w:r>
              <w:rPr>
                <w:rFonts w:ascii="Times New Roman" w:hAnsi="Times New Roman"/>
                <w:b w:val="1"/>
                <w:sz w:val="22"/>
              </w:rPr>
              <w:t>установленного</w:t>
            </w:r>
            <w:r>
              <w:rPr>
                <w:rFonts w:ascii="Times New Roman" w:hAnsi="Times New Roman"/>
                <w:b w:val="1"/>
                <w:sz w:val="22"/>
              </w:rPr>
              <w:t xml:space="preserve"> </w:t>
            </w:r>
            <w:r>
              <w:rPr>
                <w:rFonts w:ascii="Times New Roman" w:hAnsi="Times New Roman"/>
                <w:b w:val="1"/>
                <w:sz w:val="22"/>
              </w:rPr>
              <w:t>оборудования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7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Ц</w:t>
            </w:r>
            <w:r>
              <w:rPr>
                <w:rFonts w:ascii="Times New Roman" w:hAnsi="Times New Roman"/>
                <w:sz w:val="22"/>
              </w:rPr>
              <w:t>ельносварной утепленный блок-контейнер</w:t>
            </w:r>
            <w:r>
              <w:rPr>
                <w:rFonts w:ascii="Times New Roman" w:hAnsi="Times New Roman"/>
                <w:sz w:val="22"/>
              </w:rPr>
              <w:t xml:space="preserve"> «Север»</w:t>
            </w:r>
            <w:r>
              <w:rPr>
                <w:rFonts w:ascii="Times New Roman" w:hAnsi="Times New Roman"/>
                <w:sz w:val="22"/>
              </w:rPr>
              <w:t xml:space="preserve"> БК-5</w:t>
            </w:r>
            <w:r>
              <w:rPr>
                <w:rFonts w:ascii="Times New Roman" w:hAnsi="Times New Roman"/>
                <w:sz w:val="22"/>
              </w:rPr>
              <w:t xml:space="preserve">  </w:t>
            </w:r>
            <w:r>
              <w:rPr>
                <w:rFonts w:ascii="Times New Roman" w:hAnsi="Times New Roman"/>
                <w:sz w:val="22"/>
              </w:rPr>
              <w:t>ДхШхВ 55</w:t>
            </w:r>
            <w:r>
              <w:rPr>
                <w:rFonts w:ascii="Times New Roman" w:hAnsi="Times New Roman"/>
                <w:sz w:val="22"/>
              </w:rPr>
              <w:t>00х2450х2700мм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</w:p>
          <w:p w14:paraId="78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Наружная обшивка выполнена из металлического профилированного листа толщиной 1,5мм. Внутренняя обшивка из профилированного листа толщиной 0,8мм. Толщина утепления не менее 100мм. (исполнение по сейсмостойкости 9 балов, степень огнестойкости блок контейнера – II, класс конструктивно пожарной опасности – С0)</w:t>
            </w:r>
          </w:p>
          <w:p w14:paraId="79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Условия эксплуатации -50 +40С</w:t>
            </w:r>
          </w:p>
          <w:p w14:paraId="7A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Двери - утеплённые, противопожарные, с доводчиком.</w:t>
            </w:r>
          </w:p>
          <w:p w14:paraId="7B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Окраска БК в корпоративный цвет Заказчика. </w:t>
            </w:r>
          </w:p>
          <w:p w14:paraId="7C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Контейнер оборудован всеми инженерными системами.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D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ГПУ 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E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Шкаф управления </w:t>
            </w:r>
            <w:r>
              <w:rPr>
                <w:rFonts w:ascii="Times New Roman" w:hAnsi="Times New Roman"/>
                <w:sz w:val="22"/>
              </w:rPr>
              <w:t>ГП</w:t>
            </w:r>
            <w:r>
              <w:rPr>
                <w:rFonts w:ascii="Times New Roman" w:hAnsi="Times New Roman"/>
                <w:sz w:val="22"/>
              </w:rPr>
              <w:t xml:space="preserve">У контроллер 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F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Щит собственных нужд 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0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Подогреватель охлаждающей жидкости электрический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1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Зарядное устройство АКБ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2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Комплект АКБ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3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Система </w:t>
            </w:r>
            <w:r>
              <w:rPr>
                <w:rFonts w:ascii="Times New Roman" w:hAnsi="Times New Roman"/>
                <w:sz w:val="22"/>
              </w:rPr>
              <w:t>газовыхлопа</w:t>
            </w:r>
            <w:r>
              <w:rPr>
                <w:rFonts w:ascii="Times New Roman" w:hAnsi="Times New Roman"/>
                <w:sz w:val="22"/>
              </w:rPr>
              <w:t xml:space="preserve"> с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глушителем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4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Настенные электроконвекторы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5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Унифицированные воздушные клапаны с электроприводом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6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Система освещения основное, аварийное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7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Автоматическая установка аэрозольного или порошкового пожаротушения и пожарной сигнализации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8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Система газовой безопасности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9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Система принудительной вентиляции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A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Установка охранной сигнализации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B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Огнетушители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C000000">
            <w:pPr>
              <w:widowControl w:val="0"/>
              <w:spacing w:after="0" w:line="276" w:lineRule="auto"/>
              <w:ind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Комплект эксплуатационной документации</w:t>
            </w:r>
          </w:p>
        </w:tc>
      </w:tr>
    </w:tbl>
    <w:p w14:paraId="8D000000">
      <w:pPr>
        <w:pStyle w:val="Style_1"/>
        <w:widowControl w:val="1"/>
        <w:tabs>
          <w:tab w:leader="none" w:pos="8340" w:val="left"/>
        </w:tabs>
        <w:ind/>
        <w:jc w:val="center"/>
        <w:rPr>
          <w:rFonts w:ascii="Times New Roman" w:hAnsi="Times New Roman"/>
          <w:sz w:val="24"/>
        </w:rPr>
      </w:pPr>
    </w:p>
    <w:p w14:paraId="8E000000">
      <w:pPr>
        <w:widowControl w:val="1"/>
        <w:spacing w:after="0" w:line="276" w:lineRule="auto"/>
        <w:ind/>
        <w:jc w:val="center"/>
        <w:rPr>
          <w:rFonts w:ascii="Times New Roman" w:hAnsi="Times New Roman"/>
          <w:b w:val="1"/>
          <w:sz w:val="22"/>
        </w:rPr>
      </w:pPr>
      <w:r>
        <w:rPr>
          <w:rFonts w:ascii="Times New Roman" w:hAnsi="Times New Roman"/>
          <w:b w:val="1"/>
          <w:sz w:val="22"/>
        </w:rPr>
        <w:t>Блок контейнер «Север»</w:t>
      </w:r>
    </w:p>
    <w:p w14:paraId="8F000000">
      <w:pPr>
        <w:widowControl w:val="1"/>
        <w:spacing w:after="0" w:line="276" w:lineRule="auto"/>
        <w:ind/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Основные конструктивные решения:</w:t>
      </w:r>
    </w:p>
    <w:p w14:paraId="90000000">
      <w:pPr>
        <w:widowControl w:val="1"/>
        <w:spacing w:after="0" w:line="276" w:lineRule="auto"/>
        <w:ind/>
        <w:jc w:val="center"/>
        <w:rPr>
          <w:rFonts w:ascii="Times New Roman" w:hAnsi="Times New Roman"/>
          <w:sz w:val="22"/>
        </w:rPr>
      </w:pPr>
    </w:p>
    <w:p w14:paraId="91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Основным несущим элементом контейнера является каркас, изготовленный из сварных гнутых профилей из стали 4-6 мм. Оборудован угловыми фитингами по верхнему и нижнему поясам. В контейнере установлены закладные элементы для крепления оборудования.</w:t>
      </w:r>
    </w:p>
    <w:p w14:paraId="92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Кровля - цельносварная металлическая конструкция из гнутых металлических профилей. Усилена поперечными ребрами жесткости, изготовленными из сварных металлических профилей, толщина стали 4 мм. Верхний слой секции кровли - металлический лист толщиной 2 мм. Толщина слоя утеплителя 100 мм, Теплопроводность - 0,037, </w:t>
      </w:r>
      <w:r>
        <w:rPr>
          <w:rFonts w:ascii="Times New Roman" w:hAnsi="Times New Roman"/>
          <w:sz w:val="22"/>
        </w:rPr>
        <w:t>Водопоглащение</w:t>
      </w:r>
      <w:r>
        <w:rPr>
          <w:rFonts w:ascii="Times New Roman" w:hAnsi="Times New Roman"/>
          <w:sz w:val="22"/>
        </w:rPr>
        <w:t xml:space="preserve"> % не более – 1, Влажность по массе, % не </w:t>
      </w:r>
      <w:r>
        <w:rPr>
          <w:rFonts w:ascii="Times New Roman" w:hAnsi="Times New Roman"/>
          <w:sz w:val="22"/>
        </w:rPr>
        <w:t>бoлee</w:t>
      </w:r>
      <w:r>
        <w:rPr>
          <w:rFonts w:ascii="Times New Roman" w:hAnsi="Times New Roman"/>
          <w:sz w:val="22"/>
        </w:rPr>
        <w:t xml:space="preserve"> - 1) Между слоями утеплителя и металлическим листом прокладывается пароизоляция, облицована металлическим полимерным листом толщиной 0.55 мм.</w:t>
      </w:r>
    </w:p>
    <w:p w14:paraId="93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В моторном отсеке с торца организован монтажный люк, для возможности демонтажа агрегата.</w:t>
      </w:r>
    </w:p>
    <w:p w14:paraId="94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Пол - цельносварная металлическая конструкция из швеллера 12У СТ. 3СП/3ПС по ГОСТ 8240-97. Усилен продольными и поперечными ребрами жесткости, изготовленными из сварных металлических профилей, толщина стали 4 мм. Снизу секция пола подшита металлическим листом толщиной 1,5 мм. Слой утеплителя 100-120 мм. Покрытие пола – лист рифленый 4 мм чечевица ГОСТ 8568-77. В полу размещены закладные элементы под ГПУ. Стены сварены из профилированного металлического листа толщиной 1,5 мм, внутри отделаны полимерным железом С8. Утеплен 150мм негорючей мин плитой ПТЭ-150</w:t>
      </w:r>
    </w:p>
    <w:p w14:paraId="95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Для слива разлившейся жидкости и конденсата в полу предусмотре</w:t>
      </w:r>
      <w:r>
        <w:rPr>
          <w:rFonts w:ascii="Times New Roman" w:hAnsi="Times New Roman"/>
          <w:sz w:val="22"/>
        </w:rPr>
        <w:t>н</w:t>
      </w:r>
      <w:r>
        <w:rPr>
          <w:rFonts w:ascii="Times New Roman" w:hAnsi="Times New Roman"/>
          <w:sz w:val="22"/>
        </w:rPr>
        <w:t xml:space="preserve"> сливной желоб со сливными отверстиями.</w:t>
      </w:r>
    </w:p>
    <w:p w14:paraId="96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Двери - утеплённые, противопожарные, не отжимной конструкции. Служит для входа обслуживающего персонала в блок-контейнер.</w:t>
      </w:r>
    </w:p>
    <w:p w14:paraId="97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Конструкция выполнена без использования горючих материалов (дерево, горючая теплоизоляция). Обеспечивается выполнение необходимых требований, предъявляемых к II степени огнестойкости.</w:t>
      </w:r>
    </w:p>
    <w:p w14:paraId="98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Система </w:t>
      </w:r>
      <w:r>
        <w:rPr>
          <w:rFonts w:ascii="Times New Roman" w:hAnsi="Times New Roman"/>
          <w:sz w:val="22"/>
        </w:rPr>
        <w:t>газовыхлопа</w:t>
      </w:r>
      <w:r>
        <w:rPr>
          <w:rFonts w:ascii="Times New Roman" w:hAnsi="Times New Roman"/>
          <w:sz w:val="22"/>
        </w:rPr>
        <w:t xml:space="preserve"> оборудована газовыхлопным трубопроводом двигателя и глушителем с сильфонным компенсатором, смонтированным вне контейнера. Выхлопной трубопровод двигателя полностью </w:t>
      </w:r>
      <w:r>
        <w:rPr>
          <w:rFonts w:ascii="Times New Roman" w:hAnsi="Times New Roman"/>
          <w:sz w:val="22"/>
        </w:rPr>
        <w:t>теплоизолирован</w:t>
      </w:r>
      <w:r>
        <w:rPr>
          <w:rFonts w:ascii="Times New Roman" w:hAnsi="Times New Roman"/>
          <w:sz w:val="22"/>
        </w:rPr>
        <w:t xml:space="preserve">. </w:t>
      </w:r>
    </w:p>
    <w:p w14:paraId="99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Система освещения состоит из: светильников основного освещения 220В светодиодного типа, аварийного 24В (220В аккумуляторные) и ремонтного 24В.</w:t>
      </w:r>
    </w:p>
    <w:p w14:paraId="9A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Система оперативного пожаротушения, состоящая из одного-двух углекислотных огнетушителей ОУ-2, расположенных внутри контейнера рядом с входной дверью и предназначенных для ликвидации локальных очагов возгорания.</w:t>
      </w:r>
    </w:p>
    <w:p w14:paraId="9B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Вентиляционные проёмы содержат антивандальную </w:t>
      </w:r>
      <w:r>
        <w:rPr>
          <w:rFonts w:ascii="Times New Roman" w:hAnsi="Times New Roman"/>
          <w:sz w:val="22"/>
        </w:rPr>
        <w:t>решётку .</w:t>
      </w:r>
    </w:p>
    <w:p w14:paraId="9C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Щит собственных нужд</w:t>
      </w:r>
    </w:p>
    <w:p w14:paraId="9D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Состав: </w:t>
      </w:r>
      <w:r>
        <w:rPr>
          <w:rFonts w:ascii="Times New Roman" w:hAnsi="Times New Roman"/>
          <w:sz w:val="22"/>
        </w:rPr>
        <w:t xml:space="preserve">автоматические выключатели защиты цепей собственных нужд, трансформатор 220/24В, контакторы и реле систем вспомогательной автоматики. На лицевой панели щита установлены светодиоды, сигнализирующие о работе вспомогательных систем модуля. </w:t>
      </w:r>
    </w:p>
    <w:p w14:paraId="9E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Питание потребителей собственных нужд осуществляется от щита ЩСН:</w:t>
      </w:r>
    </w:p>
    <w:p w14:paraId="9F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панели управления ГПУ;</w:t>
      </w:r>
    </w:p>
    <w:p w14:paraId="A0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 xml:space="preserve">сети основного </w:t>
      </w:r>
      <w:r>
        <w:rPr>
          <w:rFonts w:ascii="Times New Roman" w:hAnsi="Times New Roman"/>
          <w:sz w:val="22"/>
        </w:rPr>
        <w:t>освещения  (</w:t>
      </w:r>
      <w:r>
        <w:rPr>
          <w:rFonts w:ascii="Times New Roman" w:hAnsi="Times New Roman"/>
          <w:sz w:val="22"/>
        </w:rPr>
        <w:t>~220В) выполнить кабелем Тип ВВГнг(А)-LS-3х1,5мм2 ;</w:t>
      </w:r>
    </w:p>
    <w:p w14:paraId="A1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 xml:space="preserve">сети аварийного освещения (=24В) выполнить кабелем Тип ВВГнг(А)-LS-3х1,5мм2; </w:t>
      </w:r>
    </w:p>
    <w:p w14:paraId="A2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розетка  (</w:t>
      </w:r>
      <w:r>
        <w:rPr>
          <w:rFonts w:ascii="Times New Roman" w:hAnsi="Times New Roman"/>
          <w:sz w:val="22"/>
        </w:rPr>
        <w:t>=24 В) выполнить кабелем Тип ВВГнг(А)-LS-3х2,5мм2;</w:t>
      </w:r>
    </w:p>
    <w:p w14:paraId="A3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-      питание розеточной сети (~220В) выполнить кабелем Тип ВВГнг(А)-LS-3х2,5мм2;  </w:t>
      </w:r>
    </w:p>
    <w:p w14:paraId="A4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электроприводов воздушных клапанов УВК с возвратной пружиной (~220В или 24В);</w:t>
      </w:r>
    </w:p>
    <w:p w14:paraId="A5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электрическ</w:t>
      </w:r>
      <w:r>
        <w:rPr>
          <w:rFonts w:ascii="Times New Roman" w:hAnsi="Times New Roman"/>
          <w:sz w:val="22"/>
        </w:rPr>
        <w:t>их</w:t>
      </w:r>
      <w:r>
        <w:rPr>
          <w:rFonts w:ascii="Times New Roman" w:hAnsi="Times New Roman"/>
          <w:sz w:val="22"/>
        </w:rPr>
        <w:t xml:space="preserve"> радиатор</w:t>
      </w:r>
      <w:r>
        <w:rPr>
          <w:rFonts w:ascii="Times New Roman" w:hAnsi="Times New Roman"/>
          <w:sz w:val="22"/>
        </w:rPr>
        <w:t>ов</w:t>
      </w:r>
      <w:r>
        <w:rPr>
          <w:rFonts w:ascii="Times New Roman" w:hAnsi="Times New Roman"/>
          <w:sz w:val="22"/>
        </w:rPr>
        <w:t xml:space="preserve"> мощностью. (~220В);</w:t>
      </w:r>
    </w:p>
    <w:p w14:paraId="A6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автоматической установки пожаротушения;</w:t>
      </w:r>
    </w:p>
    <w:p w14:paraId="A7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автоматической с</w:t>
      </w:r>
      <w:r>
        <w:rPr>
          <w:rFonts w:ascii="Times New Roman" w:hAnsi="Times New Roman"/>
          <w:sz w:val="22"/>
        </w:rPr>
        <w:t>истемой газовой безопасности</w:t>
      </w:r>
      <w:r>
        <w:rPr>
          <w:rFonts w:ascii="Times New Roman" w:hAnsi="Times New Roman"/>
          <w:sz w:val="22"/>
        </w:rPr>
        <w:t>;</w:t>
      </w:r>
    </w:p>
    <w:p w14:paraId="A8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      охранной сигнализации с выдачей сигнала;</w:t>
      </w:r>
    </w:p>
    <w:p w14:paraId="A9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Видимый контур заземления по периметру ко</w:t>
      </w:r>
      <w:r>
        <w:rPr>
          <w:rFonts w:ascii="Times New Roman" w:hAnsi="Times New Roman"/>
          <w:sz w:val="22"/>
        </w:rPr>
        <w:t>нтейнера, болтовой подключение внешнего контура заземления, заземление открывающихся элементов, предупредительные надписи.</w:t>
      </w:r>
    </w:p>
    <w:p w14:paraId="AA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Система пожарно-охранной сигнализации подключается к системе аварийной сигнализации и защиты Электроагрегата. При превышении те</w:t>
      </w:r>
      <w:r>
        <w:rPr>
          <w:rFonts w:ascii="Times New Roman" w:hAnsi="Times New Roman"/>
          <w:sz w:val="22"/>
        </w:rPr>
        <w:t>мпературы либо задымленности в контейнере выше допустимой выдается сигнал на останов Электроагрегата с отключением нагрузки и на аварийную световую и звуковую сигнализацию, расположенные снаружи контейнера.  Система автоматического пожаротушения.</w:t>
      </w:r>
    </w:p>
    <w:p w14:paraId="AB000000">
      <w:pPr>
        <w:widowControl w:val="1"/>
        <w:spacing w:after="0" w:line="276" w:lineRule="auto"/>
        <w:ind/>
        <w:jc w:val="both"/>
        <w:rPr>
          <w:rFonts w:ascii="Times New Roman" w:hAnsi="Times New Roman"/>
          <w:b w:val="0"/>
          <w:color w:val="000000"/>
          <w:sz w:val="22"/>
        </w:rPr>
      </w:pPr>
      <w:r>
        <w:rPr>
          <w:rFonts w:ascii="Times New Roman" w:hAnsi="Times New Roman"/>
          <w:b w:val="0"/>
          <w:color w:val="000000"/>
          <w:sz w:val="22"/>
        </w:rPr>
        <w:t xml:space="preserve">Система газовой безопасности включает в себя установку датчиков загазованности, система контроля с выводом аварийного сигнала и оповещателем выдает команду на включение аварийной вентиляции при достижении уровня загазованности CH4 </w:t>
      </w:r>
      <w:r>
        <w:rPr>
          <w:rFonts w:ascii="Times New Roman" w:hAnsi="Times New Roman"/>
          <w:b w:val="0"/>
          <w:color w:val="000000"/>
          <w:sz w:val="22"/>
        </w:rPr>
        <w:t>10% НКПР и аварийного останова ГПУ.</w:t>
      </w:r>
      <w:r>
        <w:rPr>
          <w:rFonts w:ascii="Times New Roman" w:hAnsi="Times New Roman"/>
          <w:b w:val="0"/>
          <w:color w:val="000000"/>
          <w:sz w:val="22"/>
        </w:rPr>
        <w:t xml:space="preserve"> </w:t>
      </w:r>
    </w:p>
    <w:p w14:paraId="AC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Система внутреннего обогрева представлена в виде электроконвекторов. </w:t>
      </w:r>
      <w:r>
        <w:rPr>
          <w:rFonts w:ascii="Times New Roman" w:hAnsi="Times New Roman"/>
          <w:sz w:val="22"/>
        </w:rPr>
        <w:t>Теплоконвекторы</w:t>
      </w:r>
      <w:r>
        <w:rPr>
          <w:rFonts w:ascii="Times New Roman" w:hAnsi="Times New Roman"/>
          <w:sz w:val="22"/>
        </w:rPr>
        <w:t xml:space="preserve"> управляются Терморегулятор, настроенным на температуру +15°С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(изменяемая уставка). При температуре воздуха ниже уставки температурного датчика </w:t>
      </w:r>
      <w:r>
        <w:rPr>
          <w:rFonts w:ascii="Times New Roman" w:hAnsi="Times New Roman"/>
          <w:sz w:val="22"/>
        </w:rPr>
        <w:t>на конвектора</w:t>
      </w:r>
      <w:r>
        <w:rPr>
          <w:rFonts w:ascii="Times New Roman" w:hAnsi="Times New Roman"/>
          <w:sz w:val="22"/>
        </w:rPr>
        <w:t xml:space="preserve"> подается питание 230В переменного тока. В автоматическом режиме работы конвектора выключаются при запуске ГПУ.</w:t>
      </w:r>
    </w:p>
    <w:p w14:paraId="AD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Система </w:t>
      </w:r>
      <w:r>
        <w:rPr>
          <w:rFonts w:ascii="Times New Roman" w:hAnsi="Times New Roman"/>
          <w:sz w:val="22"/>
        </w:rPr>
        <w:t>воздухозабора</w:t>
      </w:r>
      <w:r>
        <w:rPr>
          <w:rFonts w:ascii="Times New Roman" w:hAnsi="Times New Roman"/>
          <w:sz w:val="22"/>
        </w:rPr>
        <w:t xml:space="preserve"> и автоматической вентиляции, обеспечивается впускными и выпускным клапанами. Унифицированные воздушные клапаны (УВК) оснащаются электрическим приводом. Конструкция клапана УВК: клапан состоит из корпуса с присоединительными фланцами, выполненного из </w:t>
      </w:r>
      <w:r>
        <w:rPr>
          <w:rFonts w:ascii="Times New Roman" w:hAnsi="Times New Roman"/>
          <w:sz w:val="22"/>
        </w:rPr>
        <w:t xml:space="preserve">оцинкованной </w:t>
      </w:r>
      <w:r>
        <w:rPr>
          <w:rFonts w:ascii="Times New Roman" w:hAnsi="Times New Roman"/>
          <w:sz w:val="22"/>
        </w:rPr>
        <w:t xml:space="preserve">стали, лопаток поворотного типа выполненных из усиленного алюминиевого профиля, закрепленных в подшипниках скольжения, системы рычагов и тяг и привода (электрического или ручного). </w:t>
      </w:r>
    </w:p>
    <w:p w14:paraId="AE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Условия эксплуатации: клапаны предназначены для использования в системах с разностью давлений до 1830 Па.</w:t>
      </w:r>
    </w:p>
    <w:p w14:paraId="AF000000">
      <w:pPr>
        <w:widowControl w:val="1"/>
        <w:spacing w:after="0" w:line="276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Вид климатического исполнения – УХЛ(ХЛ), категории размещения 1, 2 или 3 по ГОСТ 15150-69.</w:t>
      </w:r>
    </w:p>
    <w:p w14:paraId="B0000000">
      <w:pPr>
        <w:pStyle w:val="Style_1"/>
        <w:widowControl w:val="1"/>
        <w:tabs>
          <w:tab w:leader="none" w:pos="8340" w:val="left"/>
        </w:tabs>
        <w:spacing w:line="276" w:lineRule="auto"/>
        <w:ind/>
        <w:jc w:val="both"/>
        <w:rPr>
          <w:rFonts w:ascii="Times New Roman" w:hAnsi="Times New Roman"/>
          <w:b w:val="1"/>
          <w:sz w:val="22"/>
        </w:rPr>
      </w:pPr>
      <w:r>
        <w:rPr>
          <w:rFonts w:ascii="Times New Roman" w:hAnsi="Times New Roman"/>
          <w:sz w:val="22"/>
        </w:rPr>
        <w:t xml:space="preserve">Степень огнестойкости контейнера </w:t>
      </w:r>
      <w:r>
        <w:rPr>
          <w:rFonts w:ascii="Times New Roman" w:hAnsi="Times New Roman"/>
          <w:sz w:val="22"/>
        </w:rPr>
        <w:t>II.</w:t>
      </w:r>
    </w:p>
    <w:p w14:paraId="B1000000">
      <w:pPr>
        <w:pStyle w:val="Style_1"/>
        <w:widowControl w:val="1"/>
        <w:tabs>
          <w:tab w:leader="none" w:pos="8340" w:val="left"/>
        </w:tabs>
        <w:spacing w:line="276" w:lineRule="auto"/>
        <w:ind/>
        <w:jc w:val="both"/>
        <w:rPr>
          <w:rFonts w:ascii="Times New Roman" w:hAnsi="Times New Roman"/>
          <w:sz w:val="22"/>
        </w:rPr>
      </w:pPr>
    </w:p>
    <w:p w14:paraId="B2000000">
      <w:pPr>
        <w:pStyle w:val="Style_1"/>
        <w:widowControl w:val="1"/>
        <w:tabs>
          <w:tab w:leader="none" w:pos="8340" w:val="left"/>
        </w:tabs>
        <w:spacing w:line="276" w:lineRule="auto"/>
        <w:ind/>
        <w:jc w:val="both"/>
        <w:rPr>
          <w:rFonts w:ascii="Times New Roman" w:hAnsi="Times New Roman"/>
          <w:b w:val="1"/>
          <w:sz w:val="22"/>
        </w:rPr>
      </w:pPr>
    </w:p>
    <w:p w14:paraId="B3000000">
      <w:p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 xml:space="preserve">С уважением, </w:t>
      </w:r>
    </w:p>
    <w:p w14:paraId="B4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 xml:space="preserve">Генеральный </w:t>
      </w:r>
      <w:r>
        <w:rPr>
          <w:rFonts w:ascii="Times New Roman" w:hAnsi="Times New Roman"/>
          <w:b w:val="1"/>
          <w:sz w:val="24"/>
        </w:rPr>
        <w:t xml:space="preserve">директор  </w:t>
      </w:r>
      <w:r>
        <w:rPr>
          <w:rFonts w:ascii="Times New Roman" w:hAnsi="Times New Roman"/>
          <w:b w:val="1"/>
          <w:sz w:val="24"/>
        </w:rPr>
        <w:t>ООО «АлтайДизельМаш»</w:t>
      </w:r>
      <w:r>
        <w:rPr>
          <w:rFonts w:ascii="Times New Roman" w:hAnsi="Times New Roman"/>
          <w:b w:val="1"/>
          <w:sz w:val="24"/>
        </w:rPr>
        <w:t xml:space="preserve">                                           </w:t>
      </w:r>
      <w:r>
        <w:rPr>
          <w:rFonts w:ascii="Times New Roman" w:hAnsi="Times New Roman"/>
          <w:b w:val="1"/>
          <w:sz w:val="24"/>
        </w:rPr>
        <w:t xml:space="preserve">             </w:t>
      </w:r>
      <w:r>
        <w:rPr>
          <w:rFonts w:ascii="Times New Roman" w:hAnsi="Times New Roman"/>
          <w:b w:val="1"/>
          <w:sz w:val="24"/>
        </w:rPr>
        <w:t>Зубков М. В.</w:t>
      </w:r>
      <w:r>
        <w:rPr>
          <w:rFonts w:ascii="Times New Roman" w:hAnsi="Times New Roman"/>
          <w:b w:val="1"/>
          <w:sz w:val="24"/>
        </w:rPr>
        <w:t xml:space="preserve"> </w:t>
      </w:r>
    </w:p>
    <w:sectPr>
      <w:pgSz w:h="16838" w:orient="portrait" w:w="11906"/>
      <w:pgMar w:bottom="851" w:footer="0" w:gutter="0" w:header="0" w:left="851" w:right="566" w:top="426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4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4" w:type="paragraph">
    <w:name w:val="Normal"/>
    <w:link w:val="Style_4_ch"/>
    <w:uiPriority w:val="0"/>
    <w:qFormat/>
    <w:pPr>
      <w:widowControl w:val="1"/>
      <w:spacing w:after="160" w:line="259" w:lineRule="auto"/>
      <w:ind/>
    </w:pPr>
    <w:rPr>
      <w:rFonts w:ascii="Calibri" w:hAnsi="Calibri"/>
      <w:sz w:val="22"/>
    </w:rPr>
  </w:style>
  <w:style w:default="1" w:styleId="Style_4_ch" w:type="character">
    <w:name w:val="Normal"/>
    <w:link w:val="Style_4"/>
    <w:rPr>
      <w:rFonts w:ascii="Calibri" w:hAnsi="Calibri"/>
      <w:sz w:val="22"/>
    </w:rPr>
  </w:style>
  <w:style w:styleId="Style_5" w:type="paragraph">
    <w:name w:val="toc 2"/>
    <w:next w:val="Style_4"/>
    <w:link w:val="Style_5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5_ch" w:type="character">
    <w:name w:val="toc 2"/>
    <w:link w:val="Style_5"/>
    <w:rPr>
      <w:rFonts w:ascii="XO Thames" w:hAnsi="XO Thames"/>
      <w:sz w:val="28"/>
    </w:rPr>
  </w:style>
  <w:style w:styleId="Style_6" w:type="paragraph">
    <w:name w:val="toc 4"/>
    <w:next w:val="Style_4"/>
    <w:link w:val="Style_6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6_ch" w:type="character">
    <w:name w:val="toc 4"/>
    <w:link w:val="Style_6"/>
    <w:rPr>
      <w:rFonts w:ascii="XO Thames" w:hAnsi="XO Thames"/>
      <w:sz w:val="28"/>
    </w:rPr>
  </w:style>
  <w:style w:styleId="Style_7" w:type="paragraph">
    <w:name w:val="toc 6"/>
    <w:next w:val="Style_4"/>
    <w:link w:val="Style_7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7_ch" w:type="character">
    <w:name w:val="toc 6"/>
    <w:link w:val="Style_7"/>
    <w:rPr>
      <w:rFonts w:ascii="XO Thames" w:hAnsi="XO Thames"/>
      <w:sz w:val="28"/>
    </w:rPr>
  </w:style>
  <w:style w:styleId="Style_8" w:type="paragraph">
    <w:name w:val="toc 7"/>
    <w:next w:val="Style_4"/>
    <w:link w:val="Style_8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8_ch" w:type="character">
    <w:name w:val="toc 7"/>
    <w:link w:val="Style_8"/>
    <w:rPr>
      <w:rFonts w:ascii="XO Thames" w:hAnsi="XO Thames"/>
      <w:sz w:val="28"/>
    </w:rPr>
  </w:style>
  <w:style w:styleId="Style_9" w:type="paragraph">
    <w:name w:val="List Paragraph"/>
    <w:basedOn w:val="Style_4"/>
    <w:link w:val="Style_9_ch"/>
    <w:pPr>
      <w:widowControl w:val="1"/>
      <w:ind w:left="720"/>
      <w:contextualSpacing w:val="1"/>
    </w:pPr>
  </w:style>
  <w:style w:styleId="Style_9_ch" w:type="character">
    <w:name w:val="List Paragraph"/>
    <w:basedOn w:val="Style_4_ch"/>
    <w:link w:val="Style_9"/>
  </w:style>
  <w:style w:styleId="Style_10" w:type="paragraph">
    <w:name w:val="Блочная цитата"/>
    <w:basedOn w:val="Style_4"/>
    <w:link w:val="Style_10_ch"/>
    <w:pPr>
      <w:widowControl w:val="1"/>
      <w:spacing w:after="283"/>
      <w:ind w:left="567" w:right="567"/>
    </w:pPr>
  </w:style>
  <w:style w:styleId="Style_10_ch" w:type="character">
    <w:name w:val="Блочная цитата"/>
    <w:basedOn w:val="Style_4_ch"/>
    <w:link w:val="Style_10"/>
  </w:style>
  <w:style w:styleId="Style_11" w:type="paragraph">
    <w:name w:val="Endnote"/>
    <w:link w:val="Style_11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Endnote"/>
    <w:link w:val="Style_11"/>
    <w:rPr>
      <w:rFonts w:ascii="XO Thames" w:hAnsi="XO Thames"/>
      <w:sz w:val="22"/>
    </w:rPr>
  </w:style>
  <w:style w:styleId="Style_12" w:type="paragraph">
    <w:name w:val="heading 3"/>
    <w:basedOn w:val="Style_4"/>
    <w:next w:val="Style_4"/>
    <w:link w:val="Style_12_ch"/>
    <w:uiPriority w:val="9"/>
    <w:qFormat/>
    <w:pPr>
      <w:widowControl w:val="0"/>
      <w:spacing w:after="60" w:before="240" w:line="240" w:lineRule="auto"/>
      <w:ind/>
      <w:jc w:val="center"/>
      <w:outlineLvl w:val="2"/>
    </w:pPr>
    <w:rPr>
      <w:rFonts w:ascii="Arial" w:hAnsi="Arial"/>
      <w:b w:val="1"/>
      <w:sz w:val="20"/>
    </w:rPr>
  </w:style>
  <w:style w:styleId="Style_12_ch" w:type="character">
    <w:name w:val="heading 3"/>
    <w:basedOn w:val="Style_4_ch"/>
    <w:link w:val="Style_12"/>
    <w:rPr>
      <w:rFonts w:ascii="Arial" w:hAnsi="Arial"/>
      <w:b w:val="1"/>
      <w:sz w:val="20"/>
    </w:rPr>
  </w:style>
  <w:style w:styleId="Style_13" w:type="paragraph">
    <w:name w:val="Интернет-ссылка"/>
    <w:basedOn w:val="Style_14"/>
    <w:link w:val="Style_13_ch"/>
    <w:rPr>
      <w:color w:val="0000FF"/>
      <w:u w:val="single"/>
    </w:rPr>
  </w:style>
  <w:style w:styleId="Style_13_ch" w:type="character">
    <w:name w:val="Интернет-ссылка"/>
    <w:basedOn w:val="Style_14_ch"/>
    <w:link w:val="Style_13"/>
    <w:rPr>
      <w:color w:val="0000FF"/>
      <w:u w:val="single"/>
    </w:rPr>
  </w:style>
  <w:style w:styleId="Style_15" w:type="paragraph">
    <w:name w:val="Заголовок таблицы"/>
    <w:basedOn w:val="Style_16"/>
    <w:link w:val="Style_15_ch"/>
    <w:pPr>
      <w:widowControl w:val="1"/>
      <w:ind/>
      <w:jc w:val="center"/>
    </w:pPr>
    <w:rPr>
      <w:b w:val="1"/>
    </w:rPr>
  </w:style>
  <w:style w:styleId="Style_15_ch" w:type="character">
    <w:name w:val="Заголовок таблицы"/>
    <w:basedOn w:val="Style_16_ch"/>
    <w:link w:val="Style_15"/>
    <w:rPr>
      <w:b w:val="1"/>
    </w:rPr>
  </w:style>
  <w:style w:styleId="Style_17" w:type="paragraph">
    <w:name w:val="Параграф"/>
    <w:basedOn w:val="Style_4"/>
    <w:link w:val="Style_17_ch"/>
    <w:pPr>
      <w:widowControl w:val="1"/>
      <w:tabs>
        <w:tab w:leader="none" w:pos="284" w:val="left"/>
      </w:tabs>
      <w:spacing w:after="0" w:line="360" w:lineRule="auto"/>
      <w:ind w:firstLine="567"/>
      <w:jc w:val="both"/>
    </w:pPr>
    <w:rPr>
      <w:rFonts w:ascii="Times New Roman" w:hAnsi="Times New Roman"/>
      <w:color w:val="404040"/>
    </w:rPr>
  </w:style>
  <w:style w:styleId="Style_17_ch" w:type="character">
    <w:name w:val="Параграф"/>
    <w:basedOn w:val="Style_4_ch"/>
    <w:link w:val="Style_17"/>
    <w:rPr>
      <w:rFonts w:ascii="Times New Roman" w:hAnsi="Times New Roman"/>
      <w:color w:val="404040"/>
    </w:rPr>
  </w:style>
  <w:style w:styleId="Style_18" w:type="paragraph">
    <w:name w:val="Unresolved Mention"/>
    <w:basedOn w:val="Style_14"/>
    <w:link w:val="Style_18_ch"/>
    <w:rPr>
      <w:color w:val="605E5C"/>
      <w:shd w:fill="E1DFDD" w:val="clear"/>
    </w:rPr>
  </w:style>
  <w:style w:styleId="Style_18_ch" w:type="character">
    <w:name w:val="Unresolved Mention"/>
    <w:basedOn w:val="Style_14_ch"/>
    <w:link w:val="Style_18"/>
    <w:rPr>
      <w:color w:val="605E5C"/>
      <w:shd w:fill="E1DFDD" w:val="clear"/>
    </w:rPr>
  </w:style>
  <w:style w:styleId="Style_19" w:type="paragraph">
    <w:name w:val="caption"/>
    <w:basedOn w:val="Style_4"/>
    <w:link w:val="Style_19_ch"/>
    <w:pPr>
      <w:widowControl w:val="1"/>
      <w:spacing w:after="120" w:before="120"/>
      <w:ind/>
    </w:pPr>
    <w:rPr>
      <w:i w:val="1"/>
      <w:sz w:val="24"/>
    </w:rPr>
  </w:style>
  <w:style w:styleId="Style_19_ch" w:type="character">
    <w:name w:val="caption"/>
    <w:basedOn w:val="Style_4_ch"/>
    <w:link w:val="Style_19"/>
    <w:rPr>
      <w:i w:val="1"/>
      <w:sz w:val="24"/>
    </w:rPr>
  </w:style>
  <w:style w:styleId="Style_20" w:type="paragraph">
    <w:name w:val="Текст выноски Знак"/>
    <w:basedOn w:val="Style_14"/>
    <w:link w:val="Style_20_ch"/>
    <w:rPr>
      <w:rFonts w:ascii="Segoe UI" w:hAnsi="Segoe UI"/>
      <w:sz w:val="18"/>
    </w:rPr>
  </w:style>
  <w:style w:styleId="Style_20_ch" w:type="character">
    <w:name w:val="Текст выноски Знак"/>
    <w:basedOn w:val="Style_14_ch"/>
    <w:link w:val="Style_20"/>
    <w:rPr>
      <w:rFonts w:ascii="Segoe UI" w:hAnsi="Segoe UI"/>
      <w:sz w:val="18"/>
    </w:rPr>
  </w:style>
  <w:style w:styleId="Style_1" w:type="paragraph">
    <w:name w:val="Текст в заданном формате"/>
    <w:basedOn w:val="Style_4"/>
    <w:link w:val="Style_1_ch"/>
    <w:pPr>
      <w:widowControl w:val="1"/>
      <w:spacing w:after="0"/>
      <w:ind/>
    </w:pPr>
    <w:rPr>
      <w:rFonts w:ascii="Liberation Mono" w:hAnsi="Liberation Mono"/>
      <w:sz w:val="20"/>
    </w:rPr>
  </w:style>
  <w:style w:styleId="Style_1_ch" w:type="character">
    <w:name w:val="Текст в заданном формате"/>
    <w:basedOn w:val="Style_4_ch"/>
    <w:link w:val="Style_1"/>
    <w:rPr>
      <w:rFonts w:ascii="Liberation Mono" w:hAnsi="Liberation Mono"/>
      <w:sz w:val="20"/>
    </w:rPr>
  </w:style>
  <w:style w:styleId="Style_21" w:type="paragraph">
    <w:name w:val="No Spacing"/>
    <w:link w:val="Style_21_ch"/>
    <w:rPr>
      <w:rFonts w:ascii="Calibri" w:hAnsi="Calibri"/>
      <w:sz w:val="22"/>
    </w:rPr>
  </w:style>
  <w:style w:styleId="Style_21_ch" w:type="character">
    <w:name w:val="No Spacing"/>
    <w:link w:val="Style_21"/>
    <w:rPr>
      <w:rFonts w:ascii="Calibri" w:hAnsi="Calibri"/>
      <w:sz w:val="22"/>
    </w:rPr>
  </w:style>
  <w:style w:styleId="Style_22" w:type="paragraph">
    <w:name w:val="Normal (Web)"/>
    <w:basedOn w:val="Style_4"/>
    <w:link w:val="Style_22_ch"/>
    <w:pPr>
      <w:widowControl w:val="1"/>
      <w:spacing w:after="75" w:line="240" w:lineRule="auto"/>
      <w:ind/>
    </w:pPr>
    <w:rPr>
      <w:rFonts w:ascii="Times New Roman" w:hAnsi="Times New Roman"/>
      <w:color w:val="000000"/>
      <w:sz w:val="24"/>
    </w:rPr>
  </w:style>
  <w:style w:styleId="Style_22_ch" w:type="character">
    <w:name w:val="Normal (Web)"/>
    <w:basedOn w:val="Style_4_ch"/>
    <w:link w:val="Style_22"/>
    <w:rPr>
      <w:rFonts w:ascii="Times New Roman" w:hAnsi="Times New Roman"/>
      <w:color w:val="000000"/>
      <w:sz w:val="24"/>
    </w:rPr>
  </w:style>
  <w:style w:styleId="Style_23" w:type="paragraph">
    <w:name w:val="toc 3"/>
    <w:next w:val="Style_4"/>
    <w:link w:val="Style_23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23_ch" w:type="character">
    <w:name w:val="toc 3"/>
    <w:link w:val="Style_23"/>
    <w:rPr>
      <w:rFonts w:ascii="XO Thames" w:hAnsi="XO Thames"/>
      <w:sz w:val="28"/>
    </w:rPr>
  </w:style>
  <w:style w:styleId="Style_14" w:type="paragraph">
    <w:name w:val="Default Paragraph Font"/>
    <w:link w:val="Style_14_ch"/>
  </w:style>
  <w:style w:styleId="Style_14_ch" w:type="character">
    <w:name w:val="Default Paragraph Font"/>
    <w:link w:val="Style_14"/>
  </w:style>
  <w:style w:styleId="Style_24" w:type="paragraph">
    <w:name w:val="header"/>
    <w:basedOn w:val="Style_25"/>
    <w:link w:val="Style_24_ch"/>
  </w:style>
  <w:style w:styleId="Style_24_ch" w:type="character">
    <w:name w:val="header"/>
    <w:basedOn w:val="Style_25_ch"/>
    <w:link w:val="Style_24"/>
  </w:style>
  <w:style w:styleId="Style_26" w:type="paragraph">
    <w:name w:val="Текст примечания Знак"/>
    <w:basedOn w:val="Style_14"/>
    <w:link w:val="Style_26_ch"/>
    <w:rPr>
      <w:sz w:val="20"/>
    </w:rPr>
  </w:style>
  <w:style w:styleId="Style_26_ch" w:type="character">
    <w:name w:val="Текст примечания Знак"/>
    <w:basedOn w:val="Style_14_ch"/>
    <w:link w:val="Style_26"/>
    <w:rPr>
      <w:sz w:val="20"/>
    </w:rPr>
  </w:style>
  <w:style w:styleId="Style_27" w:type="paragraph">
    <w:name w:val="Body Text"/>
    <w:basedOn w:val="Style_4"/>
    <w:link w:val="Style_27_ch"/>
    <w:pPr>
      <w:widowControl w:val="1"/>
      <w:ind/>
      <w:jc w:val="both"/>
    </w:pPr>
  </w:style>
  <w:style w:styleId="Style_27_ch" w:type="character">
    <w:name w:val="Body Text"/>
    <w:basedOn w:val="Style_4_ch"/>
    <w:link w:val="Style_27"/>
  </w:style>
  <w:style w:styleId="Style_28" w:type="paragraph">
    <w:name w:val="heading 5"/>
    <w:next w:val="Style_4"/>
    <w:link w:val="Style_28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28_ch" w:type="character">
    <w:name w:val="heading 5"/>
    <w:link w:val="Style_28"/>
    <w:rPr>
      <w:rFonts w:ascii="XO Thames" w:hAnsi="XO Thames"/>
      <w:b w:val="1"/>
      <w:sz w:val="22"/>
    </w:rPr>
  </w:style>
  <w:style w:styleId="Style_29" w:type="paragraph">
    <w:name w:val="heading 1"/>
    <w:basedOn w:val="Style_30"/>
    <w:next w:val="Style_27"/>
    <w:link w:val="Style_29_ch"/>
    <w:uiPriority w:val="9"/>
    <w:qFormat/>
    <w:pPr>
      <w:widowControl w:val="1"/>
      <w:ind/>
      <w:outlineLvl w:val="0"/>
    </w:pPr>
    <w:rPr>
      <w:rFonts w:ascii="Liberation Serif" w:hAnsi="Liberation Serif"/>
      <w:b w:val="1"/>
      <w:sz w:val="48"/>
    </w:rPr>
  </w:style>
  <w:style w:styleId="Style_29_ch" w:type="character">
    <w:name w:val="heading 1"/>
    <w:basedOn w:val="Style_30_ch"/>
    <w:link w:val="Style_29"/>
    <w:rPr>
      <w:rFonts w:ascii="Liberation Serif" w:hAnsi="Liberation Serif"/>
      <w:b w:val="1"/>
      <w:sz w:val="48"/>
    </w:rPr>
  </w:style>
  <w:style w:styleId="Style_16" w:type="paragraph">
    <w:name w:val="Содержимое таблицы"/>
    <w:basedOn w:val="Style_4"/>
    <w:link w:val="Style_16_ch"/>
    <w:pPr>
      <w:widowControl w:val="0"/>
      <w:ind/>
    </w:pPr>
  </w:style>
  <w:style w:styleId="Style_16_ch" w:type="character">
    <w:name w:val="Содержимое таблицы"/>
    <w:basedOn w:val="Style_4_ch"/>
    <w:link w:val="Style_16"/>
  </w:style>
  <w:style w:styleId="Style_3" w:type="paragraph">
    <w:name w:val="Hyperlink"/>
    <w:basedOn w:val="Style_14"/>
    <w:link w:val="Style_3_ch"/>
    <w:rPr>
      <w:color w:themeColor="hyperlink" w:val="0563C1"/>
      <w:u w:val="single"/>
    </w:rPr>
  </w:style>
  <w:style w:styleId="Style_3_ch" w:type="character">
    <w:name w:val="Hyperlink"/>
    <w:basedOn w:val="Style_14_ch"/>
    <w:link w:val="Style_3"/>
    <w:rPr>
      <w:color w:themeColor="hyperlink" w:val="0563C1"/>
      <w:u w:val="single"/>
    </w:rPr>
  </w:style>
  <w:style w:styleId="Style_31" w:type="paragraph">
    <w:name w:val="Footnote"/>
    <w:link w:val="Style_31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31_ch" w:type="character">
    <w:name w:val="Footnote"/>
    <w:link w:val="Style_31"/>
    <w:rPr>
      <w:rFonts w:ascii="XO Thames" w:hAnsi="XO Thames"/>
      <w:sz w:val="22"/>
    </w:rPr>
  </w:style>
  <w:style w:styleId="Style_32" w:type="paragraph">
    <w:name w:val="toc 1"/>
    <w:next w:val="Style_4"/>
    <w:link w:val="Style_32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32_ch" w:type="character">
    <w:name w:val="toc 1"/>
    <w:link w:val="Style_32"/>
    <w:rPr>
      <w:rFonts w:ascii="XO Thames" w:hAnsi="XO Thames"/>
      <w:b w:val="1"/>
      <w:sz w:val="28"/>
    </w:rPr>
  </w:style>
  <w:style w:styleId="Style_33" w:type="paragraph">
    <w:name w:val="Header and Footer"/>
    <w:link w:val="Style_33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33_ch" w:type="character">
    <w:name w:val="Header and Footer"/>
    <w:link w:val="Style_33"/>
    <w:rPr>
      <w:rFonts w:ascii="XO Thames" w:hAnsi="XO Thames"/>
      <w:sz w:val="28"/>
    </w:rPr>
  </w:style>
  <w:style w:styleId="Style_34" w:type="paragraph">
    <w:name w:val="Выделение жирным"/>
    <w:link w:val="Style_34_ch"/>
    <w:rPr>
      <w:b w:val="1"/>
    </w:rPr>
  </w:style>
  <w:style w:styleId="Style_34_ch" w:type="character">
    <w:name w:val="Выделение жирным"/>
    <w:link w:val="Style_34"/>
    <w:rPr>
      <w:b w:val="1"/>
    </w:rPr>
  </w:style>
  <w:style w:styleId="Style_35" w:type="paragraph">
    <w:name w:val="toc 9"/>
    <w:next w:val="Style_4"/>
    <w:link w:val="Style_35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35_ch" w:type="character">
    <w:name w:val="toc 9"/>
    <w:link w:val="Style_35"/>
    <w:rPr>
      <w:rFonts w:ascii="XO Thames" w:hAnsi="XO Thames"/>
      <w:sz w:val="28"/>
    </w:rPr>
  </w:style>
  <w:style w:styleId="Style_36" w:type="paragraph">
    <w:name w:val="Table Paragraph"/>
    <w:basedOn w:val="Style_4"/>
    <w:link w:val="Style_36_ch"/>
    <w:pPr>
      <w:widowControl w:val="0"/>
      <w:spacing w:after="0" w:line="240" w:lineRule="auto"/>
      <w:ind/>
    </w:pPr>
    <w:rPr>
      <w:rFonts w:ascii="Times New Roman" w:hAnsi="Times New Roman"/>
      <w:color w:val="000000"/>
      <w:sz w:val="24"/>
    </w:rPr>
  </w:style>
  <w:style w:styleId="Style_36_ch" w:type="character">
    <w:name w:val="Table Paragraph"/>
    <w:basedOn w:val="Style_4_ch"/>
    <w:link w:val="Style_36"/>
    <w:rPr>
      <w:rFonts w:ascii="Times New Roman" w:hAnsi="Times New Roman"/>
      <w:color w:val="000000"/>
      <w:sz w:val="24"/>
    </w:rPr>
  </w:style>
  <w:style w:styleId="Style_37" w:type="paragraph">
    <w:name w:val="Обычный1"/>
    <w:basedOn w:val="Style_4"/>
    <w:link w:val="Style_37_ch"/>
    <w:pPr>
      <w:widowControl w:val="0"/>
      <w:spacing w:after="0" w:line="240" w:lineRule="auto"/>
      <w:ind w:firstLine="320"/>
      <w:jc w:val="both"/>
    </w:pPr>
    <w:rPr>
      <w:rFonts w:ascii="Times New Roman" w:hAnsi="Times New Roman"/>
      <w:sz w:val="20"/>
    </w:rPr>
  </w:style>
  <w:style w:styleId="Style_37_ch" w:type="character">
    <w:name w:val="Обычный1"/>
    <w:basedOn w:val="Style_4_ch"/>
    <w:link w:val="Style_37"/>
    <w:rPr>
      <w:rFonts w:ascii="Times New Roman" w:hAnsi="Times New Roman"/>
      <w:sz w:val="20"/>
    </w:rPr>
  </w:style>
  <w:style w:styleId="Style_38" w:type="paragraph">
    <w:name w:val="List"/>
    <w:basedOn w:val="Style_27"/>
    <w:link w:val="Style_38_ch"/>
  </w:style>
  <w:style w:styleId="Style_38_ch" w:type="character">
    <w:name w:val="List"/>
    <w:basedOn w:val="Style_27_ch"/>
    <w:link w:val="Style_38"/>
  </w:style>
  <w:style w:styleId="Style_39" w:type="paragraph">
    <w:name w:val="toc 8"/>
    <w:next w:val="Style_4"/>
    <w:link w:val="Style_39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39_ch" w:type="character">
    <w:name w:val="toc 8"/>
    <w:link w:val="Style_39"/>
    <w:rPr>
      <w:rFonts w:ascii="XO Thames" w:hAnsi="XO Thames"/>
      <w:sz w:val="28"/>
    </w:rPr>
  </w:style>
  <w:style w:styleId="Style_40" w:type="paragraph">
    <w:name w:val="paragraph Знак"/>
    <w:link w:val="Style_40_ch"/>
    <w:rPr>
      <w:rFonts w:ascii="Times New Roman" w:hAnsi="Times New Roman"/>
      <w:color w:val="404040"/>
    </w:rPr>
  </w:style>
  <w:style w:styleId="Style_40_ch" w:type="character">
    <w:name w:val="paragraph Знак"/>
    <w:link w:val="Style_40"/>
    <w:rPr>
      <w:rFonts w:ascii="Times New Roman" w:hAnsi="Times New Roman"/>
      <w:color w:val="404040"/>
    </w:rPr>
  </w:style>
  <w:style w:styleId="Style_41" w:type="paragraph">
    <w:name w:val="ConsPlusNormal"/>
    <w:link w:val="Style_41_ch"/>
    <w:pPr>
      <w:widowControl w:val="0"/>
      <w:ind/>
    </w:pPr>
    <w:rPr>
      <w:rFonts w:ascii="Calibri" w:hAnsi="Calibri"/>
      <w:sz w:val="22"/>
    </w:rPr>
  </w:style>
  <w:style w:styleId="Style_41_ch" w:type="character">
    <w:name w:val="ConsPlusNormal"/>
    <w:link w:val="Style_41"/>
    <w:rPr>
      <w:rFonts w:ascii="Calibri" w:hAnsi="Calibri"/>
      <w:sz w:val="22"/>
    </w:rPr>
  </w:style>
  <w:style w:styleId="Style_25" w:type="paragraph">
    <w:name w:val="Верхний и нижний колонтитулы"/>
    <w:basedOn w:val="Style_4"/>
    <w:link w:val="Style_25_ch"/>
    <w:pPr>
      <w:widowControl w:val="1"/>
      <w:tabs>
        <w:tab w:leader="none" w:pos="5102" w:val="center"/>
        <w:tab w:leader="none" w:pos="10205" w:val="right"/>
      </w:tabs>
      <w:ind/>
    </w:pPr>
  </w:style>
  <w:style w:styleId="Style_25_ch" w:type="character">
    <w:name w:val="Верхний и нижний колонтитулы"/>
    <w:basedOn w:val="Style_4_ch"/>
    <w:link w:val="Style_25"/>
  </w:style>
  <w:style w:styleId="Style_42" w:type="paragraph">
    <w:name w:val="toc 5"/>
    <w:next w:val="Style_4"/>
    <w:link w:val="Style_42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42_ch" w:type="character">
    <w:name w:val="toc 5"/>
    <w:link w:val="Style_42"/>
    <w:rPr>
      <w:rFonts w:ascii="XO Thames" w:hAnsi="XO Thames"/>
      <w:sz w:val="28"/>
    </w:rPr>
  </w:style>
  <w:style w:styleId="Style_43" w:type="paragraph">
    <w:name w:val="Emphasis"/>
    <w:link w:val="Style_43_ch"/>
    <w:rPr>
      <w:i w:val="1"/>
    </w:rPr>
  </w:style>
  <w:style w:styleId="Style_43_ch" w:type="character">
    <w:name w:val="Emphasis"/>
    <w:link w:val="Style_43"/>
    <w:rPr>
      <w:i w:val="1"/>
    </w:rPr>
  </w:style>
  <w:style w:styleId="Style_44" w:type="paragraph">
    <w:name w:val="Balloon Text"/>
    <w:basedOn w:val="Style_4"/>
    <w:link w:val="Style_44_ch"/>
    <w:pPr>
      <w:widowControl w:val="1"/>
      <w:spacing w:after="0" w:line="240" w:lineRule="auto"/>
      <w:ind/>
    </w:pPr>
    <w:rPr>
      <w:rFonts w:ascii="Segoe UI" w:hAnsi="Segoe UI"/>
      <w:sz w:val="18"/>
    </w:rPr>
  </w:style>
  <w:style w:styleId="Style_44_ch" w:type="character">
    <w:name w:val="Balloon Text"/>
    <w:basedOn w:val="Style_4_ch"/>
    <w:link w:val="Style_44"/>
    <w:rPr>
      <w:rFonts w:ascii="Segoe UI" w:hAnsi="Segoe UI"/>
      <w:sz w:val="18"/>
    </w:rPr>
  </w:style>
  <w:style w:styleId="Style_45" w:type="paragraph">
    <w:name w:val="Subtitle"/>
    <w:next w:val="Style_4"/>
    <w:link w:val="Style_45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45_ch" w:type="character">
    <w:name w:val="Subtitle"/>
    <w:link w:val="Style_45"/>
    <w:rPr>
      <w:rFonts w:ascii="XO Thames" w:hAnsi="XO Thames"/>
      <w:i w:val="1"/>
      <w:sz w:val="24"/>
    </w:rPr>
  </w:style>
  <w:style w:styleId="Style_46" w:type="paragraph">
    <w:name w:val="annotation reference"/>
    <w:basedOn w:val="Style_14"/>
    <w:link w:val="Style_46_ch"/>
    <w:rPr>
      <w:sz w:val="16"/>
    </w:rPr>
  </w:style>
  <w:style w:styleId="Style_46_ch" w:type="character">
    <w:name w:val="annotation reference"/>
    <w:basedOn w:val="Style_14_ch"/>
    <w:link w:val="Style_46"/>
    <w:rPr>
      <w:sz w:val="16"/>
    </w:rPr>
  </w:style>
  <w:style w:styleId="Style_47" w:type="paragraph">
    <w:name w:val="index heading"/>
    <w:basedOn w:val="Style_4"/>
    <w:link w:val="Style_47_ch"/>
  </w:style>
  <w:style w:styleId="Style_47_ch" w:type="character">
    <w:name w:val="index heading"/>
    <w:basedOn w:val="Style_4_ch"/>
    <w:link w:val="Style_47"/>
  </w:style>
  <w:style w:styleId="Style_48" w:type="paragraph">
    <w:name w:val="annotation subject"/>
    <w:basedOn w:val="Style_49"/>
    <w:next w:val="Style_49"/>
    <w:link w:val="Style_48_ch"/>
    <w:pPr>
      <w:widowControl w:val="1"/>
      <w:spacing w:after="0"/>
      <w:ind/>
    </w:pPr>
    <w:rPr>
      <w:rFonts w:ascii="Times New Roman" w:hAnsi="Times New Roman"/>
      <w:b w:val="1"/>
    </w:rPr>
  </w:style>
  <w:style w:styleId="Style_48_ch" w:type="character">
    <w:name w:val="annotation subject"/>
    <w:basedOn w:val="Style_49_ch"/>
    <w:link w:val="Style_48"/>
    <w:rPr>
      <w:rFonts w:ascii="Times New Roman" w:hAnsi="Times New Roman"/>
      <w:b w:val="1"/>
    </w:rPr>
  </w:style>
  <w:style w:styleId="Style_30" w:type="paragraph">
    <w:name w:val="Title"/>
    <w:basedOn w:val="Style_4"/>
    <w:next w:val="Style_27"/>
    <w:link w:val="Style_30_ch"/>
    <w:uiPriority w:val="10"/>
    <w:qFormat/>
    <w:pPr>
      <w:keepNext w:val="1"/>
      <w:widowControl w:val="1"/>
      <w:spacing w:after="120" w:before="240"/>
      <w:ind/>
    </w:pPr>
    <w:rPr>
      <w:rFonts w:ascii="Liberation Sans" w:hAnsi="Liberation Sans"/>
      <w:sz w:val="28"/>
    </w:rPr>
  </w:style>
  <w:style w:styleId="Style_30_ch" w:type="character">
    <w:name w:val="Title"/>
    <w:basedOn w:val="Style_4_ch"/>
    <w:link w:val="Style_30"/>
    <w:rPr>
      <w:rFonts w:ascii="Liberation Sans" w:hAnsi="Liberation Sans"/>
      <w:sz w:val="28"/>
    </w:rPr>
  </w:style>
  <w:style w:styleId="Style_50" w:type="paragraph">
    <w:name w:val="heading 4"/>
    <w:next w:val="Style_4"/>
    <w:link w:val="Style_50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50_ch" w:type="character">
    <w:name w:val="heading 4"/>
    <w:link w:val="Style_50"/>
    <w:rPr>
      <w:rFonts w:ascii="XO Thames" w:hAnsi="XO Thames"/>
      <w:b w:val="1"/>
      <w:sz w:val="24"/>
    </w:rPr>
  </w:style>
  <w:style w:styleId="Style_49" w:type="paragraph">
    <w:name w:val="annotation text"/>
    <w:basedOn w:val="Style_4"/>
    <w:link w:val="Style_49_ch"/>
    <w:pPr>
      <w:widowControl w:val="1"/>
      <w:spacing w:line="240" w:lineRule="auto"/>
      <w:ind/>
    </w:pPr>
    <w:rPr>
      <w:rFonts w:asciiTheme="minorAscii" w:hAnsiTheme="minorHAnsi"/>
      <w:sz w:val="20"/>
    </w:rPr>
  </w:style>
  <w:style w:styleId="Style_49_ch" w:type="character">
    <w:name w:val="annotation text"/>
    <w:basedOn w:val="Style_4_ch"/>
    <w:link w:val="Style_49"/>
    <w:rPr>
      <w:rFonts w:asciiTheme="minorAscii" w:hAnsiTheme="minorHAnsi"/>
      <w:sz w:val="20"/>
    </w:rPr>
  </w:style>
  <w:style w:styleId="Style_51" w:type="paragraph">
    <w:name w:val="heading 2"/>
    <w:basedOn w:val="Style_4"/>
    <w:next w:val="Style_4"/>
    <w:link w:val="Style_51_ch"/>
    <w:uiPriority w:val="9"/>
    <w:qFormat/>
    <w:pPr>
      <w:keepNext w:val="1"/>
      <w:widowControl w:val="1"/>
      <w:spacing w:after="60" w:before="240"/>
      <w:ind/>
      <w:outlineLvl w:val="1"/>
    </w:pPr>
    <w:rPr>
      <w:rFonts w:ascii="Calibri Light" w:hAnsi="Calibri Light"/>
      <w:b w:val="1"/>
      <w:i w:val="1"/>
      <w:sz w:val="28"/>
    </w:rPr>
  </w:style>
  <w:style w:styleId="Style_51_ch" w:type="character">
    <w:name w:val="heading 2"/>
    <w:basedOn w:val="Style_4_ch"/>
    <w:link w:val="Style_51"/>
    <w:rPr>
      <w:rFonts w:ascii="Calibri Light" w:hAnsi="Calibri Light"/>
      <w:b w:val="1"/>
      <w:i w:val="1"/>
      <w:sz w:val="28"/>
    </w:rPr>
  </w:style>
  <w:style w:styleId="Style_52" w:type="table">
    <w:name w:val="Table Grid"/>
    <w:basedOn w:val="Style_2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default="1" w:styleId="Style_2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jpe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2025-12-02T09:01:38Z</dcterms:created>
  <dcterms:modified xsi:type="dcterms:W3CDTF">2025-12-02T10:25:17Z</dcterms:modified>
</cp:coreProperties>
</file>