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83a012392104ab4" /><Relationship Type="http://schemas.openxmlformats.org/package/2006/relationships/metadata/core-properties" Target="/package/services/metadata/core-properties/85570c676f25456f9e80332638898166.psmdcp" Id="R43df8c073fa54100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Organizational Adoption and Governance Lifecycle</w:t>
      </w:r>
    </w:p>
    <w:p>
      <w:pPr>
        <w:pStyle w:val="heading1"/>
      </w:pPr>
      <w:r>
        <w:t>組織層級命名治理採用與治理生命週期:​全方位實踐報告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一、​前言與研究目的</w:t>
      </w:r>
    </w:p>
    <w:p>
      <w:r>
        <w:t>在數位轉型與資料主權日益受到重視的時代背景下,​</w:t>
      </w:r>
      <w:r>
        <w:rPr>
          <w:b/>
        </w:rPr>
        <w:t>命名治理(Naming Governance)​與其組織化導入</w:t>
      </w:r>
      <w:r>
        <w:t>早已成為大型企業與政府、​跨國組織推動資訊資產統一管理、​合規監控及營運協作的關鍵基礎能力。​隨著雲地混合、​微服務架構的普及,​跨平台、​跨部門協作所需的</w:t>
      </w:r>
      <w:r>
        <w:rPr>
          <w:b/>
        </w:rPr>
        <w:t>標準命名規範與自動化技術模板</w:t>
      </w:r>
      <w:r>
        <w:t>也日益成為行政、​技術、​資安與合規人員的實務痛點與治理焦點。​正因如此,​本報告聚焦組織層級命名治理規範與技術模板的推動、​落地與持續治理生命週期,​依據既有三份基礎文件(《canonical-naming-governance-v1.0.docx》​、​《naming-implementation-templates.v1.0.docx》​、​《naming-observability-validation-migration.v1.0.docx》​)​及多項權威參考文件,​提出一套覆蓋實務推行策略、​角色培訓、​技術模板、​變更管理、​指標稽核、​合規例外、​觀察性驗證至治理組織與持續優化閉環的綜合治理架構。​</w:t>
      </w:r>
    </w:p>
    <w:p>
      <w:r>
        <w:t>以下章節將系統梳理各模組關鍵理論、​案例、​方法與範例,​並穿插</w:t>
      </w:r>
      <w:r>
        <w:rPr>
          <w:b/>
        </w:rPr>
        <w:t>表格、​流程圖、​YAML/腳本片段</w:t>
      </w:r>
      <w:r>
        <w:t>等內容,​做為組織在推行命名治理生命週期全案階段的決策、​運維與培訓參考。​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二、​命名治理組織採用策略</w:t>
      </w:r>
    </w:p>
    <w:p>
      <w:pPr>
        <w:pStyle w:val="heading3"/>
      </w:pPr>
      <w:r>
        <w:t>2.1 命名戰略規劃與落地推行路徑</w:t>
      </w:r>
    </w:p>
    <w:p>
      <w:r>
        <w:t>企業推動命名治理組織層級採用,​必須兼顧系統性(共識標準)​、​實用性(工程落地)​、​可追溯性(審計管制)​與組織動員效能。​主要推行路徑可分為四大階段:​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階段</w:t>
            </w:r>
          </w:p>
        </w:tc>
        <w:tc>
          <w:p>
            <w:r>
              <w:t>目標與活動</w:t>
            </w:r>
          </w:p>
        </w:tc>
        <w:tc>
          <w:p>
            <w:r>
              <w:t>典型產出</w:t>
            </w:r>
          </w:p>
        </w:tc>
      </w:tr>
      <w:tr>
        <w:tc>
          <w:p>
            <w:r>
              <w:t>階段一:​規劃</w:t>
            </w:r>
          </w:p>
        </w:tc>
        <w:tc>
          <w:p>
            <w:r>
              <w:t>確立命名標準、​治理策略、​優先範疇</w:t>
            </w:r>
          </w:p>
        </w:tc>
        <w:tc>
          <w:p>
            <w:r>
              <w:t>制定治理組織、​門檻條件、​標準草案</w:t>
            </w:r>
          </w:p>
        </w:tc>
      </w:tr>
      <w:tr>
        <w:tc>
          <w:p>
            <w:r>
              <w:t>階段二:​試行</w:t>
            </w:r>
          </w:p>
        </w:tc>
        <w:tc>
          <w:p>
            <w:r>
              <w:t>選定核心專案/模組試點應用</w:t>
            </w:r>
          </w:p>
        </w:tc>
        <w:tc>
          <w:p>
            <w:r>
              <w:t>試點治理模板、​版本命名、​回饋與調整改進</w:t>
            </w:r>
          </w:p>
        </w:tc>
      </w:tr>
      <w:tr>
        <w:tc>
          <w:p>
            <w:r>
              <w:t>階段三:​滾動</w:t>
            </w:r>
          </w:p>
        </w:tc>
        <w:tc>
          <w:p>
            <w:r>
              <w:t>大規模推展標準化命名與治理流程</w:t>
            </w:r>
          </w:p>
        </w:tc>
        <w:tc>
          <w:p>
            <w:r>
              <w:t>全域規範上線、​指標監控、​稽核報告、​例外啟動</w:t>
            </w:r>
          </w:p>
        </w:tc>
      </w:tr>
      <w:tr>
        <w:tc>
          <w:p>
            <w:r>
              <w:t>階段四:​優化</w:t>
            </w:r>
          </w:p>
        </w:tc>
        <w:tc>
          <w:p>
            <w:r>
              <w:t>例外管理、​持續追蹤、​閉環改進</w:t>
            </w:r>
          </w:p>
        </w:tc>
        <w:tc>
          <w:p>
            <w:r>
              <w:t>例外審核處理、​成效復盤、​年度優化與知識共創</w:t>
            </w:r>
          </w:p>
        </w:tc>
      </w:tr>
    </w:tbl>
    <w:p>
      <w:r>
        <w:t>推動成功的先決條件包含高層決策承諾、​核心架構/利害關係人共識、​責任人設立與審核機制建置,​以及適配技術流程與自動化工具的有效引進</w:t>
      </w:r>
      <w:r>
        <w:rPr>
          <w:vertAlign w:val="superscript"/>
        </w:rPr>
        <w:t>1</w:t>
      </w:r>
      <w:r>
        <w:rPr>
          <w:vertAlign w:val="superscript"/>
        </w:rPr>
        <w:t>2</w:t>
      </w:r>
      <w:r>
        <w:t>。​</w:t>
      </w:r>
    </w:p>
    <w:p>
      <w:pPr>
        <w:pStyle w:val="heading3"/>
      </w:pPr>
      <w:r>
        <w:t>2.2 利害關係人鑑別與參與</w:t>
      </w:r>
    </w:p>
    <w:p>
      <w:r>
        <w:t>核心利害關係人(Stakeholders)​參與是持續治理成敗的關鍵。​組織需依據業務場景、​治理範疇、​技術結構和合規要求,​採用精準的參與鑑別與溝通策略:​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利害關係人</w:t>
            </w:r>
          </w:p>
        </w:tc>
        <w:tc>
          <w:p>
            <w:r>
              <w:t>責任分工</w:t>
            </w:r>
          </w:p>
        </w:tc>
        <w:tc>
          <w:p>
            <w:r>
              <w:t>溝通管道</w:t>
            </w:r>
          </w:p>
        </w:tc>
        <w:tc>
          <w:p>
            <w:r>
              <w:t>頻率</w:t>
            </w:r>
          </w:p>
        </w:tc>
      </w:tr>
      <w:tr>
        <w:tc>
          <w:p>
            <w:r>
              <w:t>董事會/高階主管</w:t>
            </w:r>
          </w:p>
        </w:tc>
        <w:tc>
          <w:p>
            <w:r>
              <w:t>決策批准、​資源授權</w:t>
            </w:r>
          </w:p>
        </w:tc>
        <w:tc>
          <w:p>
            <w:r>
              <w:t>例會、​專案報告</w:t>
            </w:r>
          </w:p>
        </w:tc>
        <w:tc>
          <w:p>
            <w:r>
              <w:t>定期</w:t>
            </w:r>
          </w:p>
        </w:tc>
      </w:tr>
      <w:tr>
        <w:tc>
          <w:p>
            <w:r>
              <w:t>資訊主管/CIO</w:t>
            </w:r>
          </w:p>
        </w:tc>
        <w:tc>
          <w:p>
            <w:r>
              <w:t>治理策略協調、​責任分工</w:t>
            </w:r>
          </w:p>
        </w:tc>
        <w:tc>
          <w:p>
            <w:r>
              <w:t>會議、​Email、​工作坊</w:t>
            </w:r>
          </w:p>
        </w:tc>
        <w:tc>
          <w:p>
            <w:r>
              <w:t>定期與專案</w:t>
            </w:r>
          </w:p>
        </w:tc>
      </w:tr>
      <w:tr>
        <w:tc>
          <w:p>
            <w:r>
              <w:t>技術主管/架構師</w:t>
            </w:r>
          </w:p>
        </w:tc>
        <w:tc>
          <w:p>
            <w:r>
              <w:t>工程落地規劃、​標準審議</w:t>
            </w:r>
          </w:p>
        </w:tc>
        <w:tc>
          <w:p>
            <w:r>
              <w:t>研討會、​設計審查</w:t>
            </w:r>
          </w:p>
        </w:tc>
        <w:tc>
          <w:p>
            <w:r>
              <w:t>專案驅動</w:t>
            </w:r>
          </w:p>
        </w:tc>
      </w:tr>
      <w:tr>
        <w:tc>
          <w:p>
            <w:r>
              <w:t>資安與合規單位</w:t>
            </w:r>
          </w:p>
        </w:tc>
        <w:tc>
          <w:p>
            <w:r>
              <w:t>稽核報告、​例外機制審核</w:t>
            </w:r>
          </w:p>
        </w:tc>
        <w:tc>
          <w:p>
            <w:r>
              <w:t>審查、​檢核文件</w:t>
            </w:r>
          </w:p>
        </w:tc>
        <w:tc>
          <w:p>
            <w:r>
              <w:t>定期與專案</w:t>
            </w:r>
          </w:p>
        </w:tc>
      </w:tr>
      <w:tr>
        <w:tc>
          <w:p>
            <w:r>
              <w:t>各部門業務窗口</w:t>
            </w:r>
          </w:p>
        </w:tc>
        <w:tc>
          <w:p>
            <w:r>
              <w:t>業務場景需求定義、​教育訓練</w:t>
            </w:r>
          </w:p>
        </w:tc>
        <w:tc>
          <w:p>
            <w:r>
              <w:t>內部溝通平台</w:t>
            </w:r>
          </w:p>
        </w:tc>
        <w:tc>
          <w:p>
            <w:r>
              <w:t>常態聯繫</w:t>
            </w:r>
          </w:p>
        </w:tc>
      </w:tr>
      <w:tr>
        <w:tc>
          <w:p>
            <w:r>
              <w:t>IT運維與自動化人員</w:t>
            </w:r>
          </w:p>
        </w:tc>
        <w:tc>
          <w:p>
            <w:r>
              <w:t>工具部署、​自動檢查流程</w:t>
            </w:r>
          </w:p>
        </w:tc>
        <w:tc>
          <w:p>
            <w:r>
              <w:t>例會、​Issue追蹤系統</w:t>
            </w:r>
          </w:p>
        </w:tc>
        <w:tc>
          <w:p>
            <w:r>
              <w:t>專案驅動</w:t>
            </w:r>
          </w:p>
        </w:tc>
      </w:tr>
      <w:tr>
        <w:tc>
          <w:p>
            <w:r>
              <w:t>命名守門人、​小組/委員會</w:t>
            </w:r>
          </w:p>
        </w:tc>
        <w:tc>
          <w:p>
            <w:r>
              <w:t>規範審查、​例外仲裁、​教育訓練</w:t>
            </w:r>
          </w:p>
        </w:tc>
        <w:tc>
          <w:p>
            <w:r>
              <w:t>Review 會議、​議事紀錄</w:t>
            </w:r>
          </w:p>
        </w:tc>
        <w:tc>
          <w:p>
            <w:r>
              <w:t>持續運作</w:t>
            </w:r>
          </w:p>
        </w:tc>
      </w:tr>
    </w:tbl>
    <w:p>
      <w:r>
        <w:t>以</w:t>
      </w:r>
      <w:r>
        <w:rPr>
          <w:b/>
        </w:rPr>
        <w:t>Mendelow矩陣</w:t>
      </w:r>
      <w:r>
        <w:t>與</w:t>
      </w:r>
      <w:r>
        <w:rPr>
          <w:b/>
        </w:rPr>
        <w:t>Savage類型學</w:t>
      </w:r>
      <w:r>
        <w:t>進行利害關係人權力-興趣評估,​有助於設定有效的參與策略與溝通模式,​並確保推行策略不偏離核心目標</w:t>
      </w:r>
      <w:r>
        <w:rPr>
          <w:vertAlign w:val="superscript"/>
        </w:rPr>
        <w:t>3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三、​角色導向培訓設計</w:t>
      </w:r>
    </w:p>
    <w:p>
      <w:pPr>
        <w:pStyle w:val="heading3"/>
      </w:pPr>
      <w:r>
        <w:t>3.1 角色分類與學習地圖</w:t>
      </w:r>
    </w:p>
    <w:p>
      <w:r>
        <w:t>依據明確職能與角色分工設計</w:t>
      </w:r>
      <w:r>
        <w:rPr>
          <w:b/>
        </w:rPr>
        <w:t>分層培訓地圖</w:t>
      </w:r>
      <w:r>
        <w:t>,​提升標準落地率、​各級上手速度及異動適應力:​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角色</w:t>
            </w:r>
          </w:p>
        </w:tc>
        <w:tc>
          <w:p>
            <w:r>
              <w:t>核心職能</w:t>
            </w:r>
          </w:p>
        </w:tc>
        <w:tc>
          <w:p>
            <w:r>
              <w:t>推薦培訓模組</w:t>
            </w:r>
          </w:p>
        </w:tc>
        <w:tc>
          <w:p>
            <w:r>
              <w:t>上手實作方式</w:t>
            </w:r>
          </w:p>
        </w:tc>
      </w:tr>
      <w:tr>
        <w:tc>
          <w:p>
            <w:r>
              <w:t>命名守門人</w:t>
            </w:r>
          </w:p>
        </w:tc>
        <w:tc>
          <w:p>
            <w:r>
              <w:t>規範審議/稽核/例外處理</w:t>
            </w:r>
          </w:p>
        </w:tc>
        <w:tc>
          <w:p>
            <w:r>
              <w:t>進階命名規則、​審核實作、​RFC撰寫</w:t>
            </w:r>
          </w:p>
        </w:tc>
        <w:tc>
          <w:p>
            <w:r>
              <w:t>案例審查、​審計報告填寫</w:t>
            </w:r>
          </w:p>
        </w:tc>
      </w:tr>
      <w:tr>
        <w:tc>
          <w:p>
            <w:r>
              <w:t>技術負責人</w:t>
            </w:r>
          </w:p>
        </w:tc>
        <w:tc>
          <w:p>
            <w:r>
              <w:t>開發實踐/自動化落地</w:t>
            </w:r>
          </w:p>
        </w:tc>
        <w:tc>
          <w:p>
            <w:r>
              <w:t>名稱生成工具、​YAML/腳本實作</w:t>
            </w:r>
          </w:p>
        </w:tc>
        <w:tc>
          <w:p>
            <w:r>
              <w:t>撰寫模板、​CI工具導入</w:t>
            </w:r>
          </w:p>
        </w:tc>
      </w:tr>
      <w:tr>
        <w:tc>
          <w:p>
            <w:r>
              <w:t>維運人員</w:t>
            </w:r>
          </w:p>
        </w:tc>
        <w:tc>
          <w:p>
            <w:r>
              <w:t>版本管理/實施覆蓋</w:t>
            </w:r>
          </w:p>
        </w:tc>
        <w:tc>
          <w:p>
            <w:r>
              <w:t>回滾演練、​配置核對、​指標監測</w:t>
            </w:r>
          </w:p>
        </w:tc>
        <w:tc>
          <w:p>
            <w:r>
              <w:t>發布演練、​指標操作</w:t>
            </w:r>
          </w:p>
        </w:tc>
      </w:tr>
      <w:tr>
        <w:tc>
          <w:p>
            <w:r>
              <w:t>部門窗口</w:t>
            </w:r>
          </w:p>
        </w:tc>
        <w:tc>
          <w:p>
            <w:r>
              <w:t>治理溝通/需求界定</w:t>
            </w:r>
          </w:p>
        </w:tc>
        <w:tc>
          <w:p>
            <w:r>
              <w:t>名稱原則解說、​政策落地宣導</w:t>
            </w:r>
          </w:p>
        </w:tc>
        <w:tc>
          <w:p>
            <w:r>
              <w:t>案例回饋、​小組討論</w:t>
            </w:r>
          </w:p>
        </w:tc>
      </w:tr>
      <w:tr>
        <w:tc>
          <w:p>
            <w:r>
              <w:t>一般用戶</w:t>
            </w:r>
          </w:p>
        </w:tc>
        <w:tc>
          <w:p>
            <w:r>
              <w:t>命名規則認知/自助檢查</w:t>
            </w:r>
          </w:p>
        </w:tc>
        <w:tc>
          <w:p>
            <w:r>
              <w:t>基礎命名訓練、​錯誤案例解析</w:t>
            </w:r>
          </w:p>
        </w:tc>
        <w:tc>
          <w:p>
            <w:r>
              <w:t>實作填表、​規範演練</w:t>
            </w:r>
          </w:p>
        </w:tc>
      </w:tr>
    </w:tbl>
    <w:p>
      <w:pPr>
        <w:pStyle w:val="heading3"/>
      </w:pPr>
      <w:r>
        <w:t>YAML:​基礎角色課程設計片段</w:t>
      </w:r>
    </w:p>
    <w:tbl>
      <w:tblPr>
        <w:tblStyle w:val="CodeBlock"/>
        <w:tblW w:w="5000" w:type="pct"/>
      </w:tblPr>
      <w:tr>
        <w:tc>
          <w:p>
            <w:r>
              <w:t xml:space="preserve">角色學習地圖:</w:t>
            </w:r>
            <w:r>
              <w:br/>
            </w:r>
            <w:r>
              <w:t xml:space="preserve">  - 角色: 命名守門人</w:t>
            </w:r>
            <w:r>
              <w:br/>
            </w:r>
            <w:r>
              <w:t xml:space="preserve">    學習目標:</w:t>
            </w:r>
            <w:r>
              <w:br/>
            </w:r>
            <w:r>
              <w:t xml:space="preserve">      - 理解命名治理全貌</w:t>
            </w:r>
            <w:r>
              <w:br/>
            </w:r>
            <w:r>
              <w:t xml:space="preserve">      - 熟悉般標準、​例外與回滾操作</w:t>
            </w:r>
            <w:r>
              <w:br/>
            </w:r>
            <w:r>
              <w:t xml:space="preserve">      - 實務案例分析</w:t>
            </w:r>
            <w:r>
              <w:br/>
            </w:r>
            <w:r>
              <w:t xml:space="preserve">    實作作業: 高危例外情境演練</w:t>
            </w:r>
            <w:r>
              <w:br/>
            </w:r>
            <w:r>
              <w:t xml:space="preserve">  - 角色: 技術負責人</w:t>
            </w:r>
            <w:r>
              <w:br/>
            </w:r>
            <w:r>
              <w:t xml:space="preserve">    學習目標:</w:t>
            </w:r>
            <w:r>
              <w:br/>
            </w:r>
            <w:r>
              <w:t xml:space="preserve">      - 自動化命名生成工具實用</w:t>
            </w:r>
            <w:r>
              <w:br/>
            </w:r>
            <w:r>
              <w:t xml:space="preserve">      - 輸入/輸出格式的報錯與校驗</w:t>
            </w:r>
            <w:r>
              <w:br/>
            </w:r>
            <w:r>
              <w:t xml:space="preserve">    實作作業: 撰寫CI模板與變更測試</w:t>
            </w:r>
          </w:p>
        </w:tc>
      </w:tr>
    </w:tbl>
    <w:p>
      <w:r>
        <w:t>此類角色導向設計,​結合形成性(過程回饋)​、​總結性(成果鑑定)​評量可持續追蹤成效</w:t>
      </w:r>
      <w:r>
        <w:rPr>
          <w:vertAlign w:val="superscript"/>
        </w:rPr>
        <w:t>2</w:t>
      </w:r>
      <w:r>
        <w:t>。​</w:t>
      </w:r>
    </w:p>
    <w:p>
      <w:pPr>
        <w:pStyle w:val="heading3"/>
      </w:pPr>
      <w:r>
        <w:t>3.2 教材/教材資源與多元教學策略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基本教材</w:t>
      </w:r>
      <w:r>
        <w:t>:​標準文件、​規範摘要手冊、​範例操作表單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數位教材</w:t>
      </w:r>
      <w:r>
        <w:t>:​線上互動課程(影片、​測驗)​、​案例模擬演練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專題分享</w:t>
      </w:r>
      <w:r>
        <w:t>:​定期治理案例討論、​失敗/優化經驗主題發表</w:t>
      </w:r>
    </w:p>
    <w:p>
      <w:r>
        <w:t>配合</w:t>
      </w:r>
      <w:r>
        <w:rPr>
          <w:b/>
        </w:rPr>
        <w:t>講述、​實作、​專案導向、​角色扮演</w:t>
      </w:r>
      <w:r>
        <w:t>等多元教學法,​強化知識遷移、​現場落地、​社群協作的能力成效</w:t>
      </w:r>
      <w:r>
        <w:rPr>
          <w:vertAlign w:val="superscript"/>
        </w:rPr>
        <w:t>4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四、​技術模板與實施規範</w:t>
      </w:r>
    </w:p>
    <w:p>
      <w:pPr>
        <w:pStyle w:val="heading3"/>
      </w:pPr>
      <w:r>
        <w:t>4.1 命名規則、​版本控制與YAML片段範例</w:t>
      </w:r>
    </w:p>
    <w:p>
      <w:pPr>
        <w:pStyle w:val="heading3"/>
      </w:pPr>
      <w:r>
        <w:t>多層次命名策略比較表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維度</w:t>
            </w:r>
          </w:p>
        </w:tc>
        <w:tc>
          <w:p>
            <w:r>
              <w:t>取值示例</w:t>
            </w:r>
          </w:p>
        </w:tc>
        <w:tc>
          <w:p>
            <w:r>
              <w:t>必要性</w:t>
            </w:r>
          </w:p>
        </w:tc>
        <w:tc>
          <w:p>
            <w:r>
              <w:t>典型分隔符</w:t>
            </w:r>
          </w:p>
        </w:tc>
        <w:tc>
          <w:p>
            <w:r>
              <w:t>說明</w:t>
            </w:r>
          </w:p>
        </w:tc>
      </w:tr>
      <w:tr>
        <w:tc>
          <w:p>
            <w:r>
              <w:t>環境標識</w:t>
            </w:r>
          </w:p>
        </w:tc>
        <w:tc>
          <w:p>
            <w:r>
              <w:t>dev/staging/prod</w:t>
            </w:r>
          </w:p>
        </w:tc>
        <w:tc>
          <w:p>
            <w:r>
              <w:t>高</w:t>
            </w:r>
          </w:p>
        </w:tc>
        <w:tc>
          <w:p>
            <w:r>
              <w:t>-</w:t>
            </w:r>
          </w:p>
        </w:tc>
        <w:tc>
          <w:p>
            <w:r>
              <w:t>跨環境識別</w:t>
            </w:r>
          </w:p>
        </w:tc>
      </w:tr>
      <w:tr>
        <w:tc>
          <w:p>
            <w:r>
              <w:t>應用名稱</w:t>
            </w:r>
          </w:p>
        </w:tc>
        <w:tc>
          <w:p>
            <w:r>
              <w:t>user/payments</w:t>
            </w:r>
          </w:p>
        </w:tc>
        <w:tc>
          <w:p>
            <w:r>
              <w:t>高</w:t>
            </w:r>
          </w:p>
        </w:tc>
        <w:tc>
          <w:p>
            <w:r>
              <w:t>-</w:t>
            </w:r>
          </w:p>
        </w:tc>
        <w:tc>
          <w:p>
            <w:r>
              <w:t>服務/模組定位</w:t>
            </w:r>
          </w:p>
        </w:tc>
      </w:tr>
      <w:tr>
        <w:tc>
          <w:p>
            <w:r>
              <w:t>資源類型</w:t>
            </w:r>
          </w:p>
        </w:tc>
        <w:tc>
          <w:p>
            <w:r>
              <w:t>deploy/service/ing</w:t>
            </w:r>
          </w:p>
        </w:tc>
        <w:tc>
          <w:p>
            <w:r>
              <w:t>中</w:t>
            </w:r>
          </w:p>
        </w:tc>
        <w:tc>
          <w:p>
            <w:r>
              <w:t>-</w:t>
            </w:r>
          </w:p>
        </w:tc>
        <w:tc>
          <w:p>
            <w:r>
              <w:t>明確資源歸類</w:t>
            </w:r>
          </w:p>
        </w:tc>
      </w:tr>
      <w:tr>
        <w:tc>
          <w:p>
            <w:r>
              <w:t>版本資訊</w:t>
            </w:r>
          </w:p>
        </w:tc>
        <w:tc>
          <w:p>
            <w:r>
              <w:t>v1.2.3</w:t>
            </w:r>
          </w:p>
        </w:tc>
        <w:tc>
          <w:p>
            <w:r>
              <w:t>高</w:t>
            </w:r>
          </w:p>
        </w:tc>
        <w:tc>
          <w:p>
            <w:r>
              <w:t>.</w:t>
            </w:r>
          </w:p>
        </w:tc>
        <w:tc>
          <w:p>
            <w:r>
              <w:t>版本審計、​回滾依據</w:t>
            </w:r>
          </w:p>
        </w:tc>
      </w:tr>
      <w:tr>
        <w:tc>
          <w:p>
            <w:r>
              <w:t>功能子標</w:t>
            </w:r>
          </w:p>
        </w:tc>
        <w:tc>
          <w:p>
            <w:r>
              <w:t>canary/blue/green</w:t>
            </w:r>
          </w:p>
        </w:tc>
        <w:tc>
          <w:p>
            <w:r>
              <w:t>中</w:t>
            </w:r>
          </w:p>
        </w:tc>
        <w:tc>
          <w:p>
            <w:r>
              <w:t>-</w:t>
            </w:r>
          </w:p>
        </w:tc>
        <w:tc>
          <w:p>
            <w:r>
              <w:t>A/B測試、​灰度發佈</w:t>
            </w:r>
          </w:p>
        </w:tc>
      </w:tr>
    </w:tbl>
    <w:p>
      <w:r>
        <w:rPr>
          <w:b/>
        </w:rPr>
        <w:t>YAML模板:​Pipeline命名策略設定片段</w:t>
      </w:r>
    </w:p>
    <w:tbl>
      <w:tblPr>
        <w:tblStyle w:val="CodeBlock"/>
        <w:tblW w:w="5000" w:type="pct"/>
      </w:tblPr>
      <w:tr>
        <w:tc>
          <w:p>
            <w:r>
              <w:t xml:space="preserve">naming:</w:t>
            </w:r>
            <w:r>
              <w:br/>
            </w:r>
            <w:r>
              <w:t xml:space="preserve">  strategy: "hierarchical"</w:t>
            </w:r>
            <w:r>
              <w:br/>
            </w:r>
            <w:r>
              <w:t xml:space="preserve">  pattern: "{{ .environment }}-{{ .app }}-{{ .resourceType }}-{{ .version }}"</w:t>
            </w:r>
            <w:r>
              <w:br/>
            </w:r>
            <w:r>
              <w:t xml:space="preserve">  validations:</w:t>
            </w:r>
            <w:r>
              <w:br/>
            </w:r>
            <w:r>
              <w:t xml:space="preserve">    environment: "^(dev|staging|prod)$"</w:t>
            </w:r>
            <w:r>
              <w:br/>
            </w:r>
            <w:r>
              <w:t xml:space="preserve">    app: "^[a-z0-9-]{3,30}$"</w:t>
            </w:r>
            <w:r>
              <w:br/>
            </w:r>
            <w:r>
              <w:t xml:space="preserve">    version: "^v\\d+\\.\\d+\\.\\d+(-[a-zA-Z0-9]+)?$"</w:t>
            </w:r>
            <w:r>
              <w:br/>
            </w:r>
            <w:r>
              <w:t xml:space="preserve">    resourceType: "^(deploy|svc|ing|cm|secret)$"</w:t>
            </w:r>
          </w:p>
        </w:tc>
      </w:tr>
    </w:tbl>
    <w:p>
      <w:pPr>
        <w:pStyle w:val="heading3"/>
      </w:pPr>
      <w:r>
        <w:t>版本命名與更新規則(範例)​</w:t>
      </w:r>
    </w:p>
    <w:p>
      <w:pPr>
        <w:pStyle w:val="ListParagraph"/>
        <w:numPr>
          <w:ilvl w:val="0"/>
          <w:numId w:val="2"/>
        </w:numPr>
      </w:pPr>
      <w:r>
        <w:t>主版本號(X)​大幅架構升級</w:t>
      </w:r>
    </w:p>
    <w:p>
      <w:pPr>
        <w:pStyle w:val="ListParagraph"/>
        <w:numPr>
          <w:ilvl w:val="0"/>
          <w:numId w:val="2"/>
        </w:numPr>
      </w:pPr>
      <w:r>
        <w:t>次版本號(Y)​功能增新</w:t>
      </w:r>
    </w:p>
    <w:p>
      <w:pPr>
        <w:pStyle w:val="ListParagraph"/>
        <w:numPr>
          <w:ilvl w:val="0"/>
          <w:numId w:val="2"/>
        </w:numPr>
      </w:pPr>
      <w:r>
        <w:t>修訂號(Z)​Bug修復或優化</w:t>
      </w:r>
    </w:p>
    <w:p>
      <w:r>
        <w:t>格式例:​</w:t>
      </w:r>
      <w:r>
        <w:rPr>
          <w:rStyle w:val="Code"/>
        </w:rPr>
        <w:t>prod-payment-deploy-v1.2.3</w:t>
      </w:r>
    </w:p>
    <w:p>
      <w:r>
        <w:rPr>
          <w:b/>
        </w:rPr>
        <w:t>Bash命名生成腳本片段</w:t>
      </w:r>
    </w:p>
    <w:tbl>
      <w:tblPr>
        <w:tblStyle w:val="CodeBlock"/>
        <w:tblW w:w="5000" w:type="pct"/>
      </w:tblPr>
      <w:tr>
        <w:tc>
          <w:p>
            <w:r>
              <w:t xml:space="preserve">APP_NAME="payment-service"</w:t>
            </w:r>
            <w:r>
              <w:br/>
            </w:r>
            <w:r>
              <w:t xml:space="preserve">ENVIRONMENT="prod"</w:t>
            </w:r>
            <w:r>
              <w:br/>
            </w:r>
            <w:r>
              <w:t xml:space="preserve">VERSION="v1.3.0"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generate_resource_name () {</w:t>
            </w:r>
            <w:r>
              <w:br/>
            </w:r>
            <w:r>
              <w:t xml:space="preserve">  local resource_type=$1</w:t>
            </w:r>
            <w:r>
              <w:br/>
            </w:r>
            <w:r>
              <w:t xml:space="preserve">  echo "${ENVIRONMENT}-${APP_NAME}-${resource_type}-${VERSION}"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>DEPLOY_NAME=$(generate_resource_name "deploy")</w:t>
            </w:r>
            <w:r>
              <w:br/>
            </w:r>
            <w:r>
              <w:t xml:space="preserve">SVC_NAME=$(generate_resource_name "svc")</w:t>
            </w:r>
            <w:r>
              <w:br/>
            </w:r>
            <w:r>
              <w:t xml:space="preserve">echo "Deployment: $DEPLOY_NAME"</w:t>
            </w:r>
            <w:r>
              <w:br/>
            </w:r>
            <w:r>
              <w:t xml:space="preserve">echo "Service: $SVC_NAME"</w:t>
            </w:r>
          </w:p>
        </w:tc>
      </w:tr>
    </w:tbl>
    <w:p>
      <w:r>
        <w:rPr>
          <w:vertAlign w:val="superscript"/>
        </w:rPr>
        <w:t>5</w:t>
      </w:r>
      <w:r>
        <w:rPr>
          <w:vertAlign w:val="superscript"/>
        </w:rPr>
        <w:t>6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五、​變更管理流程設計</w:t>
      </w:r>
    </w:p>
    <w:p>
      <w:pPr>
        <w:pStyle w:val="heading3"/>
      </w:pPr>
      <w:r>
        <w:t>5.1 RFC變更管理全流程(視覺化流程圖)​</w:t>
      </w:r>
    </w:p>
    <w:tbl>
      <w:tblPr>
        <w:tblStyle w:val="CodeBlock"/>
        <w:tblW w:w="5000" w:type="pct"/>
      </w:tblPr>
      <w:tr>
        <w:tc>
          <w:p>
            <w:r>
              <w:t xml:space="preserve">flowchart LR</w:t>
            </w:r>
            <w:r>
              <w:br/>
            </w:r>
            <w:r>
              <w:t xml:space="preserve">  A[變更請求提出] --&gt;|分類| B[標準/常規/緊急]</w:t>
            </w:r>
            <w:r>
              <w:br/>
            </w:r>
            <w:r>
              <w:t xml:space="preserve">  B --&gt;|風險評估| C[評審(自動/人工/CAB)​]</w:t>
            </w:r>
            <w:r>
              <w:br/>
            </w:r>
            <w:r>
              <w:t xml:space="preserve">  C --&gt;|測試驗證| D[預備與部署]</w:t>
            </w:r>
            <w:r>
              <w:br/>
            </w:r>
            <w:r>
              <w:t xml:space="preserve">  D --&gt;|發佈/回滾| E[發佈&amp;監控]</w:t>
            </w:r>
            <w:r>
              <w:br/>
            </w:r>
            <w:r>
              <w:t xml:space="preserve">  E --&gt;|成效稽核| F[持續優化]</w:t>
            </w:r>
          </w:p>
        </w:tc>
      </w:tr>
    </w:tbl>
    <w:p>
      <w:pPr>
        <w:pStyle w:val="heading3"/>
      </w:pPr>
      <w:r>
        <w:t>5.2 YAML格式變更請求模板</w:t>
      </w:r>
    </w:p>
    <w:tbl>
      <w:tblPr>
        <w:tblStyle w:val="CodeBlock"/>
        <w:tblW w:w="5000" w:type="pct"/>
      </w:tblPr>
      <w:tr>
        <w:tc>
          <w:p>
            <w:r>
              <w:t xml:space="preserve">change_request:</w:t>
            </w:r>
            <w:r>
              <w:br/>
            </w:r>
            <w:r>
              <w:t xml:space="preserve">  id: CHG-2025-001</w:t>
            </w:r>
            <w:r>
              <w:br/>
            </w:r>
            <w:r>
              <w:t xml:space="preserve">  title: "升級服務至 v1.3.0"</w:t>
            </w:r>
            <w:r>
              <w:br/>
            </w:r>
            <w:r>
              <w:t xml:space="preserve">  type: "常規變更"</w:t>
            </w:r>
            <w:r>
              <w:br/>
            </w:r>
            <w:r>
              <w:t xml:space="preserve">  requester: "app-team-lead"</w:t>
            </w:r>
            <w:r>
              <w:br/>
            </w:r>
            <w:r>
              <w:t xml:space="preserve">  risk_level: "中"</w:t>
            </w:r>
            <w:r>
              <w:br/>
            </w:r>
            <w:r>
              <w:t xml:space="preserve">  impact_assessment:</w:t>
            </w:r>
            <w:r>
              <w:br/>
            </w:r>
            <w:r>
              <w:t xml:space="preserve">    services_affected:</w:t>
            </w:r>
            <w:r>
              <w:br/>
            </w:r>
            <w:r>
              <w:t xml:space="preserve">      - "frontend"</w:t>
            </w:r>
            <w:r>
              <w:br/>
            </w:r>
            <w:r>
              <w:t xml:space="preserve">      - "api"</w:t>
            </w:r>
            <w:r>
              <w:br/>
            </w:r>
            <w:r>
              <w:t xml:space="preserve">    downtime_expected: "15 min"</w:t>
            </w:r>
            <w:r>
              <w:br/>
            </w:r>
            <w:r>
              <w:t xml:space="preserve">  approval:</w:t>
            </w:r>
            <w:r>
              <w:br/>
            </w:r>
            <w:r>
              <w:t xml:space="preserve">    method: "CAB"</w:t>
            </w:r>
            <w:r>
              <w:br/>
            </w:r>
            <w:r>
              <w:t xml:space="preserve">    status: "Pending"</w:t>
            </w:r>
            <w:r>
              <w:br/>
            </w:r>
            <w:r>
              <w:t xml:space="preserve">  implementation_plan:</w:t>
            </w:r>
            <w:r>
              <w:br/>
            </w:r>
            <w:r>
              <w:t xml:space="preserve">    steps:</w:t>
            </w:r>
            <w:r>
              <w:br/>
            </w:r>
            <w:r>
              <w:t xml:space="preserve">      - "備份資料"</w:t>
            </w:r>
            <w:r>
              <w:br/>
            </w:r>
            <w:r>
              <w:t xml:space="preserve">      - "部署新版本"</w:t>
            </w:r>
            <w:r>
              <w:br/>
            </w:r>
            <w:r>
              <w:t xml:space="preserve">      - "執行測試"</w:t>
            </w:r>
            <w:r>
              <w:br/>
            </w:r>
            <w:r>
              <w:t xml:space="preserve">  rollback_plan:</w:t>
            </w:r>
            <w:r>
              <w:br/>
            </w:r>
            <w:r>
              <w:t xml:space="preserve">    steps:</w:t>
            </w:r>
            <w:r>
              <w:br/>
            </w:r>
            <w:r>
              <w:t xml:space="preserve">      - "回復備份"</w:t>
            </w:r>
            <w:r>
              <w:br/>
            </w:r>
            <w:r>
              <w:t xml:space="preserve">      - "通知團隊"</w:t>
            </w:r>
            <w:r>
              <w:br/>
            </w:r>
            <w:r>
              <w:t xml:space="preserve">  metrics:</w:t>
            </w:r>
            <w:r>
              <w:br/>
            </w:r>
            <w:r>
              <w:t xml:space="preserve">    kpi:</w:t>
            </w:r>
            <w:r>
              <w:br/>
            </w:r>
            <w:r>
              <w:t xml:space="preserve">      - "部署成功率"</w:t>
            </w:r>
            <w:r>
              <w:br/>
            </w:r>
            <w:r>
              <w:t xml:space="preserve">      - "事件回報數"</w:t>
            </w:r>
            <w:r>
              <w:br/>
            </w:r>
            <w:r>
              <w:t xml:space="preserve">    audit:</w:t>
            </w:r>
            <w:r>
              <w:br/>
            </w:r>
            <w:r>
              <w:t xml:space="preserve">      log_enabled: true</w:t>
            </w:r>
            <w:r>
              <w:br/>
            </w:r>
            <w:r>
              <w:t xml:space="preserve">      reviewer: "it-ops"</w:t>
            </w:r>
          </w:p>
        </w:tc>
      </w:tr>
    </w:tbl>
    <w:p>
      <w:r>
        <w:t>此模板結合</w:t>
      </w:r>
      <w:r>
        <w:rPr>
          <w:b/>
        </w:rPr>
        <w:t>需求分類、​風險分級、​審核類型、​KPI追蹤</w:t>
      </w:r>
      <w:r>
        <w:t>,​有助於全面落實還原、​回滾和自動審查能力</w:t>
      </w:r>
      <w:r>
        <w:rPr>
          <w:vertAlign w:val="superscript"/>
        </w:rPr>
        <w:t>7</w:t>
      </w:r>
      <w:r>
        <w:t>。​</w:t>
      </w:r>
    </w:p>
    <w:p>
      <w:pPr>
        <w:pStyle w:val="heading3"/>
      </w:pPr>
      <w:r>
        <w:t>5.3 變更管理類型與責任人表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變更類型</w:t>
            </w:r>
          </w:p>
        </w:tc>
        <w:tc>
          <w:p>
            <w:r>
              <w:t>風險</w:t>
            </w:r>
          </w:p>
        </w:tc>
        <w:tc>
          <w:p>
            <w:r>
              <w:t>審查方式</w:t>
            </w:r>
          </w:p>
        </w:tc>
        <w:tc>
          <w:p>
            <w:r>
              <w:t>特徵</w:t>
            </w:r>
          </w:p>
        </w:tc>
        <w:tc>
          <w:p>
            <w:r>
              <w:t>責任人(角色)​</w:t>
            </w:r>
          </w:p>
        </w:tc>
      </w:tr>
      <w:tr>
        <w:tc>
          <w:p>
            <w:r>
              <w:t>標準變更</w:t>
            </w:r>
          </w:p>
        </w:tc>
        <w:tc>
          <w:p>
            <w:r>
              <w:t>低</w:t>
            </w:r>
          </w:p>
        </w:tc>
        <w:tc>
          <w:p>
            <w:r>
              <w:t>預審/自動化</w:t>
            </w:r>
          </w:p>
        </w:tc>
        <w:tc>
          <w:p>
            <w:r>
              <w:t>重複性高</w:t>
            </w:r>
          </w:p>
        </w:tc>
        <w:tc>
          <w:p>
            <w:r>
              <w:t>DevOps/自動化維運</w:t>
            </w:r>
          </w:p>
        </w:tc>
      </w:tr>
      <w:tr>
        <w:tc>
          <w:p>
            <w:r>
              <w:t>常規變更</w:t>
            </w:r>
          </w:p>
        </w:tc>
        <w:tc>
          <w:p>
            <w:r>
              <w:t>中</w:t>
            </w:r>
          </w:p>
        </w:tc>
        <w:tc>
          <w:p>
            <w:r>
              <w:t>CAB/審查委員會</w:t>
            </w:r>
          </w:p>
        </w:tc>
        <w:tc>
          <w:p>
            <w:r>
              <w:t>多專案介入</w:t>
            </w:r>
          </w:p>
        </w:tc>
        <w:tc>
          <w:p>
            <w:r>
              <w:t>部門主管/CAB成員</w:t>
            </w:r>
          </w:p>
        </w:tc>
      </w:tr>
      <w:tr>
        <w:tc>
          <w:p>
            <w:r>
              <w:t>緊急變更</w:t>
            </w:r>
          </w:p>
        </w:tc>
        <w:tc>
          <w:p>
            <w:r>
              <w:t>高</w:t>
            </w:r>
          </w:p>
        </w:tc>
        <w:tc>
          <w:p>
            <w:r>
              <w:t>事/後審查</w:t>
            </w:r>
          </w:p>
        </w:tc>
        <w:tc>
          <w:p>
            <w:r>
              <w:t>事故/事件</w:t>
            </w:r>
          </w:p>
        </w:tc>
        <w:tc>
          <w:p>
            <w:r>
              <w:t>首席技術、​資安長等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六、​指標與稽核機制</w:t>
      </w:r>
    </w:p>
    <w:p>
      <w:pPr>
        <w:pStyle w:val="heading3"/>
      </w:pPr>
      <w:r>
        <w:t>6.1 指標/稽核機制總覽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指標類型</w:t>
            </w:r>
          </w:p>
        </w:tc>
        <w:tc>
          <w:p>
            <w:r>
              <w:t>定義與應用</w:t>
            </w:r>
          </w:p>
        </w:tc>
        <w:tc>
          <w:p>
            <w:r>
              <w:t>責任人</w:t>
            </w:r>
          </w:p>
        </w:tc>
        <w:tc>
          <w:p>
            <w:r>
              <w:t>報告模板</w:t>
            </w:r>
          </w:p>
        </w:tc>
      </w:tr>
      <w:tr>
        <w:tc>
          <w:p>
            <w:r>
              <w:t>部署成功率</w:t>
            </w:r>
          </w:p>
        </w:tc>
        <w:tc>
          <w:p>
            <w:r>
              <w:t>當次部署無重大異常(%)​</w:t>
            </w:r>
          </w:p>
        </w:tc>
        <w:tc>
          <w:p>
            <w:r>
              <w:t>SRE/運維</w:t>
            </w:r>
          </w:p>
        </w:tc>
        <w:tc>
          <w:p>
            <w:r>
              <w:t>KPI Dashboard</w:t>
            </w:r>
          </w:p>
        </w:tc>
      </w:tr>
      <w:tr>
        <w:tc>
          <w:p>
            <w:r>
              <w:t>回報事件數</w:t>
            </w:r>
          </w:p>
        </w:tc>
        <w:tc>
          <w:p>
            <w:r>
              <w:t>變更後新產生incident數</w:t>
            </w:r>
          </w:p>
        </w:tc>
        <w:tc>
          <w:p>
            <w:r>
              <w:t>技術組長</w:t>
            </w:r>
          </w:p>
        </w:tc>
        <w:tc>
          <w:p>
            <w:r>
              <w:t>事件分析報告</w:t>
            </w:r>
          </w:p>
        </w:tc>
      </w:tr>
      <w:tr>
        <w:tc>
          <w:p>
            <w:r>
              <w:t>平均審核時長</w:t>
            </w:r>
          </w:p>
        </w:tc>
        <w:tc>
          <w:p>
            <w:r>
              <w:t>從提案到核准的平均天數</w:t>
            </w:r>
          </w:p>
        </w:tc>
        <w:tc>
          <w:p>
            <w:r>
              <w:t>CAB審核員</w:t>
            </w:r>
          </w:p>
        </w:tc>
        <w:tc>
          <w:p>
            <w:r>
              <w:t>稽核月報</w:t>
            </w:r>
          </w:p>
        </w:tc>
      </w:tr>
      <w:tr>
        <w:tc>
          <w:p>
            <w:r>
              <w:t>自動化變更比率</w:t>
            </w:r>
          </w:p>
        </w:tc>
        <w:tc>
          <w:p>
            <w:r>
              <w:t>全變更中自動化流程的占比 (%)</w:t>
            </w:r>
          </w:p>
        </w:tc>
        <w:tc>
          <w:p>
            <w:r>
              <w:t>DevOps Lead</w:t>
            </w:r>
          </w:p>
        </w:tc>
        <w:tc>
          <w:p>
            <w:r>
              <w:t>自動化稽核報告</w:t>
            </w:r>
          </w:p>
        </w:tc>
      </w:tr>
      <w:tr>
        <w:tc>
          <w:p>
            <w:r>
              <w:t>回滾次數</w:t>
            </w:r>
          </w:p>
        </w:tc>
        <w:tc>
          <w:p>
            <w:r>
              <w:t>月度需手動回滾數量</w:t>
            </w:r>
          </w:p>
        </w:tc>
        <w:tc>
          <w:p>
            <w:r>
              <w:t>維運</w:t>
            </w:r>
          </w:p>
        </w:tc>
        <w:tc>
          <w:p>
            <w:r>
              <w:t>回滾專題報告</w:t>
            </w:r>
          </w:p>
        </w:tc>
      </w:tr>
      <w:tr>
        <w:tc>
          <w:p>
            <w:r>
              <w:t>命名合規遵循率</w:t>
            </w:r>
          </w:p>
        </w:tc>
        <w:tc>
          <w:p>
            <w:r>
              <w:t>隨機抽查資源命名的通過比例</w:t>
            </w:r>
          </w:p>
        </w:tc>
        <w:tc>
          <w:p>
            <w:r>
              <w:t>命名守門人</w:t>
            </w:r>
          </w:p>
        </w:tc>
        <w:tc>
          <w:p>
            <w:r>
              <w:t>命名稽核模板</w:t>
            </w:r>
          </w:p>
        </w:tc>
      </w:tr>
    </w:tbl>
    <w:p>
      <w:pPr>
        <w:pStyle w:val="heading3"/>
      </w:pPr>
      <w:r>
        <w:t>6.2 自動化命名稽核設計(Prometheus+Grafana)​</w:t>
      </w:r>
    </w:p>
    <w:tbl>
      <w:tblPr>
        <w:tblStyle w:val="CodeBlock"/>
        <w:tblW w:w="5000" w:type="pct"/>
      </w:tblPr>
      <w:tr>
        <w:tc>
          <w:p>
            <w:r>
              <w:t xml:space="preserve">apiVersion: monitoring.coreos.com/v1</w:t>
            </w:r>
            <w:r>
              <w:br/>
            </w:r>
            <w:r>
              <w:t xml:space="preserve">kind: PrometheusRule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naming-convention-alerts</w:t>
            </w:r>
            <w:r>
              <w:br/>
            </w:r>
            <w:r>
              <w:t xml:space="preserve">  namespace: monitoring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groups:</w:t>
            </w:r>
            <w:r>
              <w:br/>
            </w:r>
            <w:r>
              <w:t xml:space="preserve">  - name: naming.rules</w:t>
            </w:r>
            <w:r>
              <w:br/>
            </w:r>
            <w:r>
              <w:t xml:space="preserve">    rules:</w:t>
            </w:r>
            <w:r>
              <w:br/>
            </w:r>
            <w:r>
              <w:t xml:space="preserve">    - alert: NamingConventionViolation</w:t>
            </w:r>
            <w:r>
              <w:br/>
            </w:r>
            <w:r>
              <w:t xml:space="preserve">      expr: count(kube_deployment_metadata_name{namespace=~"prod|staging"})</w:t>
            </w:r>
            <w:r>
              <w:br/>
            </w:r>
            <w:r>
              <w:t xml:space="preserve">         - count(kube_deployment_metadata_name{namespace=~"prod|staging", name=~"^(prod|staging)-[a-z0-9-]+-deploy-v\\d+\\.\\d+\\.\\d+$"}) &gt; 0</w:t>
            </w:r>
            <w:r>
              <w:br/>
            </w:r>
            <w:r>
              <w:t xml:space="preserve">      for: 5m</w:t>
            </w:r>
            <w:r>
              <w:br/>
            </w:r>
            <w:r>
              <w:t xml:space="preserve">      annotations:</w:t>
            </w:r>
            <w:r>
              <w:br/>
            </w:r>
            <w:r>
              <w:t xml:space="preserve">        summary: "命名規範違反警告"</w:t>
            </w:r>
          </w:p>
        </w:tc>
      </w:tr>
    </w:tbl>
    <w:p>
      <w:pPr>
        <w:pStyle w:val="heading3"/>
      </w:pPr>
      <w:r>
        <w:t>6.3 合規稽核報告範例</w:t>
      </w:r>
    </w:p>
    <w:tbl>
      <w:tblPr>
        <w:tblStyle w:val="CodeBlock"/>
        <w:tblW w:w="5000" w:type="pct"/>
      </w:tblPr>
      <w:tr>
        <w:tc>
          <w:p>
            <w:r>
              <w:t xml:space="preserve">變更稽核報告</w:t>
            </w:r>
            <w:r>
              <w:br/>
            </w:r>
            <w:r>
              <w:t xml:space="preserve">變更編號:​CHG-2025-001</w:t>
            </w:r>
            <w:r>
              <w:br/>
            </w:r>
            <w:r>
              <w:t xml:space="preserve">變更類型:​常規</w:t>
            </w:r>
            <w:r>
              <w:br/>
            </w:r>
            <w:r>
              <w:t xml:space="preserve">審核方式:​CAB</w:t>
            </w:r>
            <w:r>
              <w:br/>
            </w:r>
            <w:r>
              <w:t xml:space="preserve">審核結果:​通過</w:t>
            </w:r>
            <w:r>
              <w:br/>
            </w:r>
            <w:r>
              <w:t xml:space="preserve">部署時間:​2025-10-25 11:00</w:t>
            </w:r>
            <w:r>
              <w:br/>
            </w:r>
            <w:r>
              <w:t xml:space="preserve">回報事件:​1件</w:t>
            </w:r>
            <w:r>
              <w:br/>
            </w:r>
            <w:r>
              <w:t xml:space="preserve">回滾紀錄:​無</w:t>
            </w:r>
            <w:r>
              <w:br/>
            </w:r>
            <w:r>
              <w:t xml:space="preserve">KPI 指標:​</w:t>
            </w:r>
            <w:r>
              <w:br/>
            </w:r>
            <w:r>
              <w:t xml:space="preserve">- 部署成功率:​98%</w:t>
            </w:r>
            <w:r>
              <w:br/>
            </w:r>
            <w:r>
              <w:t xml:space="preserve">- 回滾次數:​0</w:t>
            </w:r>
            <w:r>
              <w:br/>
            </w:r>
            <w:r>
              <w:t xml:space="preserve">稽核人員:​it-ops</w:t>
            </w:r>
            <w:r>
              <w:br/>
            </w:r>
            <w:r>
              <w:t xml:space="preserve">備註:​已達命名與合規標準</w:t>
            </w:r>
          </w:p>
        </w:tc>
      </w:tr>
    </w:tbl>
    <w:p>
      <w:r>
        <w:t>指標與稽核機制需</w:t>
      </w:r>
      <w:r>
        <w:rPr>
          <w:b/>
        </w:rPr>
        <w:t>KPI與SLA同步設計</w:t>
      </w:r>
      <w:r>
        <w:t>,​以量化檢核推動治理改進</w:t>
      </w:r>
      <w:r>
        <w:rPr>
          <w:vertAlign w:val="superscript"/>
        </w:rPr>
        <w:t>8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七、​支援與治理組織(平台委員會/命名守門人/會議運作)​</w:t>
      </w:r>
    </w:p>
    <w:p>
      <w:pPr>
        <w:pStyle w:val="heading3"/>
      </w:pPr>
      <w:r>
        <w:t>7.1 組織分工:​治理小組、​委員會與責任人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單位/角色</w:t>
            </w:r>
          </w:p>
        </w:tc>
        <w:tc>
          <w:p>
            <w:r>
              <w:t>職責</w:t>
            </w:r>
          </w:p>
        </w:tc>
        <w:tc>
          <w:p>
            <w:r>
              <w:t>運作機制</w:t>
            </w:r>
          </w:p>
        </w:tc>
      </w:tr>
      <w:tr>
        <w:tc>
          <w:p>
            <w:r>
              <w:t>平台治理委員會</w:t>
            </w:r>
          </w:p>
        </w:tc>
        <w:tc>
          <w:p>
            <w:r>
              <w:t>制定與更新命名標準、​審核改變、​例外處理</w:t>
            </w:r>
          </w:p>
        </w:tc>
        <w:tc>
          <w:p>
            <w:r>
              <w:t>定期會議、​年度復盤</w:t>
            </w:r>
          </w:p>
        </w:tc>
      </w:tr>
      <w:tr>
        <w:tc>
          <w:p>
            <w:r>
              <w:t>命名守門人</w:t>
            </w:r>
          </w:p>
        </w:tc>
        <w:tc>
          <w:p>
            <w:r>
              <w:t>專責審查命名規範、​追蹤違規、​主持例外審查</w:t>
            </w:r>
          </w:p>
        </w:tc>
        <w:tc>
          <w:p>
            <w:r>
              <w:t>週期性抽查、​審查例外</w:t>
            </w:r>
          </w:p>
        </w:tc>
      </w:tr>
      <w:tr>
        <w:tc>
          <w:p>
            <w:r>
              <w:t>Review會議</w:t>
            </w:r>
          </w:p>
        </w:tc>
        <w:tc>
          <w:p>
            <w:r>
              <w:t>跨部門討論最新治理議題,​明確分工、​議事追蹤</w:t>
            </w:r>
          </w:p>
        </w:tc>
        <w:tc>
          <w:p>
            <w:r>
              <w:t>議事記錄+責任人追蹤</w:t>
            </w:r>
          </w:p>
        </w:tc>
      </w:tr>
      <w:tr>
        <w:tc>
          <w:p>
            <w:r>
              <w:t>自動化工具管理者</w:t>
            </w:r>
          </w:p>
        </w:tc>
        <w:tc>
          <w:p>
            <w:r>
              <w:t>管理與優化自動化審查/CI工具</w:t>
            </w:r>
          </w:p>
        </w:tc>
        <w:tc>
          <w:p>
            <w:r>
              <w:t>工具維運、​流程優化</w:t>
            </w:r>
          </w:p>
        </w:tc>
      </w:tr>
      <w:tr>
        <w:tc>
          <w:p>
            <w:r>
              <w:t>資安與合規人員</w:t>
            </w:r>
          </w:p>
        </w:tc>
        <w:tc>
          <w:p>
            <w:r>
              <w:t>法規遵循、​資料保護、​DPIA評估</w:t>
            </w:r>
          </w:p>
        </w:tc>
        <w:tc>
          <w:p>
            <w:r>
              <w:t>稽核通報、​外部認證協調</w:t>
            </w:r>
          </w:p>
        </w:tc>
      </w:tr>
    </w:tbl>
    <w:p>
      <w:pPr>
        <w:pStyle w:val="heading3"/>
      </w:pPr>
      <w:r>
        <w:t>Review會議紀錄(片段)​</w:t>
      </w:r>
    </w:p>
    <w:tbl>
      <w:tblPr>
        <w:tblStyle w:val="CodeBlock"/>
        <w:tblW w:w="5000" w:type="pct"/>
      </w:tblPr>
      <w:tr>
        <w:tc>
          <w:p>
            <w:r>
              <w:t xml:space="preserve">review_meeting:</w:t>
            </w:r>
            <w:r>
              <w:br/>
            </w:r>
            <w:r>
              <w:t xml:space="preserve">  date: 2025-10-18</w:t>
            </w:r>
            <w:r>
              <w:br/>
            </w:r>
            <w:r>
              <w:t xml:space="preserve">  attendees:</w:t>
            </w:r>
            <w:r>
              <w:br/>
            </w:r>
            <w:r>
              <w:t xml:space="preserve">    - app-lead</w:t>
            </w:r>
            <w:r>
              <w:br/>
            </w:r>
            <w:r>
              <w:t xml:space="preserve">    - ops-head</w:t>
            </w:r>
            <w:r>
              <w:br/>
            </w:r>
            <w:r>
              <w:t xml:space="preserve">    - compliance-officer</w:t>
            </w:r>
            <w:r>
              <w:br/>
            </w:r>
            <w:r>
              <w:t xml:space="preserve">  agenda:</w:t>
            </w:r>
            <w:r>
              <w:br/>
            </w:r>
            <w:r>
              <w:t xml:space="preserve">    - 檢討CHG-2025-001部署成效</w:t>
            </w:r>
            <w:r>
              <w:br/>
            </w:r>
            <w:r>
              <w:t xml:space="preserve">    - KPI數據回報</w:t>
            </w:r>
            <w:r>
              <w:br/>
            </w:r>
            <w:r>
              <w:t xml:space="preserve">    - 討論命名自動化範圍擴展</w:t>
            </w:r>
            <w:r>
              <w:br/>
            </w:r>
            <w:r>
              <w:t xml:space="preserve">  conclusion:</w:t>
            </w:r>
            <w:r>
              <w:br/>
            </w:r>
            <w:r>
              <w:t xml:space="preserve">    - 將自動化命名覆蓋至所有API模組</w:t>
            </w:r>
            <w:r>
              <w:br/>
            </w:r>
            <w:r>
              <w:t xml:space="preserve">    - 新增KPI抽查週期</w:t>
            </w:r>
            <w:r>
              <w:br/>
            </w:r>
            <w:r>
              <w:t xml:space="preserve">    - 任命張主管負責自動化腳本維護</w:t>
            </w:r>
          </w:p>
        </w:tc>
      </w:tr>
    </w:tbl>
    <w:p>
      <w:r>
        <w:rPr>
          <w:vertAlign w:val="superscript"/>
        </w:rPr>
        <w:t>9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八、​合規例外流程與治理激勵機制</w:t>
      </w:r>
    </w:p>
    <w:p>
      <w:pPr>
        <w:pStyle w:val="heading3"/>
      </w:pPr>
      <w:r>
        <w:t>8.1 合規例外申請流程與申請表單</w:t>
      </w:r>
    </w:p>
    <w:p>
      <w:r>
        <w:t>推動治理時必須提供正式</w:t>
      </w:r>
      <w:r>
        <w:rPr>
          <w:b/>
        </w:rPr>
        <w:t>例外申請、​審查、​到期複查</w:t>
      </w:r>
      <w:r>
        <w:t>的閉環流程,​以平衡嚴謹性與靈活應變:​</w:t>
      </w:r>
    </w:p>
    <w:tbl>
      <w:tblPr>
        <w:tblStyle w:val="CodeBlock"/>
        <w:tblW w:w="5000" w:type="pct"/>
      </w:tblPr>
      <w:tr>
        <w:tc>
          <w:p>
            <w:r>
              <w:t xml:space="preserve">compliance_exception_request:</w:t>
            </w:r>
            <w:r>
              <w:br/>
            </w:r>
            <w:r>
              <w:t xml:space="preserve">  applicant: "team-alpha"</w:t>
            </w:r>
            <w:r>
              <w:br/>
            </w:r>
            <w:r>
              <w:t xml:space="preserve">  item: "版本命名不符:​特殊外部協作需求"</w:t>
            </w:r>
            <w:r>
              <w:br/>
            </w:r>
            <w:r>
              <w:t xml:space="preserve">  reason: "第三方接口命名規格與內部不一致"</w:t>
            </w:r>
            <w:r>
              <w:br/>
            </w:r>
            <w:r>
              <w:t xml:space="preserve">  risk_eval: "僅限限定API,​內部存取有防火牆管控"</w:t>
            </w:r>
            <w:r>
              <w:br/>
            </w:r>
            <w:r>
              <w:t xml:space="preserve">  requested_expire: "2025-12-31"</w:t>
            </w:r>
            <w:r>
              <w:br/>
            </w:r>
            <w:r>
              <w:t xml:space="preserve">  approval:</w:t>
            </w:r>
            <w:r>
              <w:br/>
            </w:r>
            <w:r>
              <w:t xml:space="preserve">    status: "UnderReview"</w:t>
            </w:r>
            <w:r>
              <w:br/>
            </w:r>
            <w:r>
              <w:t xml:space="preserve">    reviewer: "compliance-officer"</w:t>
            </w:r>
          </w:p>
        </w:tc>
      </w:tr>
    </w:tbl>
    <w:p>
      <w:r>
        <w:t>必備欄位為</w:t>
      </w:r>
      <w:r>
        <w:rPr>
          <w:b/>
        </w:rPr>
        <w:t>申請人、​例外事項、​業務理由、​風險評估、​到期日、​審查人</w:t>
      </w:r>
      <w:r>
        <w:t>,​可接入自動化稽核、​到期提醒與複查機制</w:t>
      </w:r>
      <w:r>
        <w:rPr>
          <w:vertAlign w:val="superscript"/>
        </w:rPr>
        <w:t>10</w:t>
      </w:r>
      <w:r>
        <w:t>。​</w:t>
      </w:r>
    </w:p>
    <w:p>
      <w:pPr>
        <w:pStyle w:val="heading3"/>
      </w:pPr>
      <w:r>
        <w:t>8.2 例外處理閉環與激勵/稽核同步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核准後存檔備查,​列入稽核清單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定期自動觸發到期複查,​過期自動收回或續申報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例外事件納入風險評分,​部門/團隊公開表現</w:t>
      </w:r>
    </w:p>
    <w:p>
      <w:pPr>
        <w:pStyle w:val="ListParagraph"/>
        <w:numPr>
          <w:ilvl w:val="0"/>
          <w:numId w:val="3"/>
        </w:numPr>
      </w:pPr>
      <w:r>
        <w:t>以</w:t>
      </w:r>
      <w:r>
        <w:rPr>
          <w:b/>
        </w:rPr>
        <w:t>治理貢獻與合規率</w:t>
      </w:r>
      <w:r>
        <w:t>設置治理激勵或標竿互評,​帶動正向循環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九、​觀察性與驗證機制(Observability &amp; Validation)​</w:t>
      </w:r>
    </w:p>
    <w:p>
      <w:pPr>
        <w:pStyle w:val="heading3"/>
      </w:pPr>
      <w:r>
        <w:t>9.1 可觀測性/驗證架構核心</w:t>
      </w:r>
    </w:p>
    <w:p>
      <w:r>
        <w:t>現代DevOps/Cloud架構中,​命名治理必須配合</w:t>
      </w:r>
      <w:r>
        <w:rPr>
          <w:b/>
        </w:rPr>
        <w:t>強觀察性架構(Observability)​</w:t>
      </w:r>
      <w:r>
        <w:t>與多層次指標驗證:​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特性</w:t>
            </w:r>
          </w:p>
        </w:tc>
        <w:tc>
          <w:p>
            <w:r>
              <w:t>監控(Monitoring)​</w:t>
            </w:r>
          </w:p>
        </w:tc>
        <w:tc>
          <w:p>
            <w:r>
              <w:t>可觀測性(Observability)​</w:t>
            </w:r>
          </w:p>
        </w:tc>
      </w:tr>
      <w:tr>
        <w:tc>
          <w:p>
            <w:r>
              <w:t>目標</w:t>
            </w:r>
          </w:p>
        </w:tc>
        <w:tc>
          <w:p>
            <w:r>
              <w:t>即時偵測異常、​獲取狀態</w:t>
            </w:r>
          </w:p>
        </w:tc>
        <w:tc>
          <w:p>
            <w:r>
              <w:t>了解內部運作、​深入問題根因</w:t>
            </w:r>
          </w:p>
        </w:tc>
      </w:tr>
      <w:tr>
        <w:tc>
          <w:p>
            <w:r>
              <w:t>資料範圍</w:t>
            </w:r>
          </w:p>
        </w:tc>
        <w:tc>
          <w:p>
            <w:r>
              <w:t>專注已知事件與指標</w:t>
            </w:r>
          </w:p>
        </w:tc>
        <w:tc>
          <w:p>
            <w:r>
              <w:t>整合指標、​事件、​日誌、​追蹤、​多元來源</w:t>
            </w:r>
          </w:p>
        </w:tc>
      </w:tr>
      <w:tr>
        <w:tc>
          <w:p>
            <w:r>
              <w:t>深度</w:t>
            </w:r>
          </w:p>
        </w:tc>
        <w:tc>
          <w:p>
            <w:r>
              <w:t>靜態閾值/單一指標僅呈現概要</w:t>
            </w:r>
          </w:p>
        </w:tc>
        <w:tc>
          <w:p>
            <w:r>
              <w:t>跨維追蹤、​事件關聯、​根因追查、​自我調適</w:t>
            </w:r>
          </w:p>
        </w:tc>
      </w:tr>
      <w:tr>
        <w:tc>
          <w:p>
            <w:r>
              <w:t>工具</w:t>
            </w:r>
          </w:p>
        </w:tc>
        <w:tc>
          <w:p>
            <w:r>
              <w:t>Grafana, Prometheus等</w:t>
            </w:r>
          </w:p>
        </w:tc>
        <w:tc>
          <w:p>
            <w:r>
              <w:t>OpenTelemetry, Jaeger, Honeycomb, Log Analytics等</w:t>
            </w:r>
          </w:p>
        </w:tc>
      </w:tr>
    </w:tbl>
    <w:p>
      <w:pPr>
        <w:pStyle w:val="heading3"/>
      </w:pPr>
      <w:r>
        <w:t>Prometheus 命名規範監控告警片段</w:t>
      </w:r>
    </w:p>
    <w:tbl>
      <w:tblPr>
        <w:tblStyle w:val="CodeBlock"/>
        <w:tblW w:w="5000" w:type="pct"/>
      </w:tblPr>
      <w:tr>
        <w:tc>
          <w:p>
            <w:r>
              <w:t xml:space="preserve">- alert: NamingConventionViolation</w:t>
            </w:r>
            <w:r>
              <w:br/>
            </w:r>
            <w:r>
              <w:t xml:space="preserve">  expr: count(kube_deployment_metadata_name{namespace=~"prod|staging"})</w:t>
            </w:r>
            <w:r>
              <w:br/>
            </w:r>
            <w:r>
              <w:t xml:space="preserve">    - count(kube_deployment_metadata_name{namespace=~"prod|staging", name=~"^(prod|staging)-[a-z0-9-]+-deploy-v\\d+\\.\\d+\\.\\d+$"}) &gt; 0</w:t>
            </w:r>
            <w:r>
              <w:br/>
            </w:r>
            <w:r>
              <w:t xml:space="preserve">  for: 5m</w:t>
            </w:r>
            <w:r>
              <w:br/>
            </w:r>
            <w:r>
              <w:t xml:space="preserve">  labels:</w:t>
            </w:r>
            <w:r>
              <w:br/>
            </w:r>
            <w:r>
              <w:t xml:space="preserve">    severity: warning</w:t>
            </w:r>
            <w:r>
              <w:br/>
            </w:r>
            <w:r>
              <w:t xml:space="preserve">  annotations:</w:t>
            </w:r>
            <w:r>
              <w:br/>
            </w:r>
            <w:r>
              <w:t xml:space="preserve">    summary: "命名規範違反"</w:t>
            </w:r>
          </w:p>
        </w:tc>
      </w:tr>
    </w:tbl>
    <w:p>
      <w:r>
        <w:t>實踐應納入</w:t>
      </w:r>
      <w:r>
        <w:rPr>
          <w:b/>
        </w:rPr>
        <w:t>指標(Metrics)​、​日誌(Logs)​、​事件(Events)​、​追蹤(Traces)​</w:t>
      </w:r>
      <w:r>
        <w:t>四大類資料(MELT)​,​達成全景監控到根因深究閉環</w:t>
      </w:r>
      <w:r>
        <w:rPr>
          <w:vertAlign w:val="superscript"/>
        </w:rPr>
        <w:t>11</w:t>
      </w:r>
      <w:r>
        <w:rPr>
          <w:vertAlign w:val="superscript"/>
        </w:rPr>
        <w:t>12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十、​持續改進循環與優化框架</w:t>
      </w:r>
    </w:p>
    <w:p>
      <w:pPr>
        <w:pStyle w:val="heading3"/>
      </w:pPr>
      <w:r>
        <w:t>10.1 PDCA管理循環(Plan-Do-Check-Act)​</w:t>
      </w:r>
    </w:p>
    <w:p>
      <w:r>
        <w:t>大規模命名治理系統需高度</w:t>
      </w:r>
      <w:r>
        <w:rPr>
          <w:b/>
        </w:rPr>
        <w:t>系統化持續改進循環(PDCA)​</w:t>
      </w:r>
      <w:r>
        <w:t>閉環支撐,​形成標準演化、​審核、​改版增長:​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步驟</w:t>
            </w:r>
          </w:p>
        </w:tc>
        <w:tc>
          <w:p>
            <w:r>
              <w:t>內容</w:t>
            </w:r>
          </w:p>
        </w:tc>
        <w:tc>
          <w:p>
            <w:r>
              <w:t>典型實踐</w:t>
            </w:r>
          </w:p>
        </w:tc>
      </w:tr>
      <w:tr>
        <w:tc>
          <w:p>
            <w:r>
              <w:t>Plan</w:t>
            </w:r>
          </w:p>
        </w:tc>
        <w:tc>
          <w:p>
            <w:r>
              <w:t>制定規範、​年度督導目標、​角色責任、​優化指標</w:t>
            </w:r>
          </w:p>
        </w:tc>
        <w:tc>
          <w:p>
            <w:r>
              <w:t>編制新標準、​行動計畫</w:t>
            </w:r>
          </w:p>
        </w:tc>
      </w:tr>
      <w:tr>
        <w:tc>
          <w:p>
            <w:r>
              <w:t>Do</w:t>
            </w:r>
          </w:p>
        </w:tc>
        <w:tc>
          <w:p>
            <w:r>
              <w:t>推動治理執行、​訓練推廣、​自動化腳本開發</w:t>
            </w:r>
          </w:p>
        </w:tc>
        <w:tc>
          <w:p>
            <w:r>
              <w:t>上線試行模組、​自動化稽核</w:t>
            </w:r>
          </w:p>
        </w:tc>
      </w:tr>
      <w:tr>
        <w:tc>
          <w:p>
            <w:r>
              <w:t>Check</w:t>
            </w:r>
          </w:p>
        </w:tc>
        <w:tc>
          <w:p>
            <w:r>
              <w:t>指標比較、​違規抽查、​外部稽核、​成效評估</w:t>
            </w:r>
          </w:p>
        </w:tc>
        <w:tc>
          <w:p>
            <w:r>
              <w:t>KPI儀表板、​績效復盤報告</w:t>
            </w:r>
          </w:p>
        </w:tc>
      </w:tr>
      <w:tr>
        <w:tc>
          <w:p>
            <w:r>
              <w:t>Act</w:t>
            </w:r>
          </w:p>
        </w:tc>
        <w:tc>
          <w:p>
            <w:r>
              <w:t>根據違規、​例外、​優化建議修訂標準、​完善流程、​知識共創</w:t>
            </w:r>
          </w:p>
        </w:tc>
        <w:tc>
          <w:p>
            <w:r>
              <w:t>RFC起草、​版控發佈、​教育追蹤</w:t>
            </w:r>
          </w:p>
        </w:tc>
      </w:tr>
    </w:tbl>
    <w:p>
      <w:r>
        <w:rPr>
          <w:b/>
        </w:rPr>
        <w:t>示意流程圖.yaml</w:t>
      </w:r>
    </w:p>
    <w:tbl>
      <w:tblPr>
        <w:tblStyle w:val="CodeBlock"/>
        <w:tblW w:w="5000" w:type="pct"/>
      </w:tblPr>
      <w:tr>
        <w:tc>
          <w:p>
            <w:r>
              <w:t xml:space="preserve">治理優化PDCA流程:</w:t>
            </w:r>
            <w:r>
              <w:br/>
            </w:r>
            <w:r>
              <w:t xml:space="preserve">  - Plan: 遵循問題蒐集,​模組發現,​方案制定</w:t>
            </w:r>
            <w:r>
              <w:br/>
            </w:r>
            <w:r>
              <w:t xml:space="preserve">  - Do: 小規模試運行,​教育訓練</w:t>
            </w:r>
            <w:r>
              <w:br/>
            </w:r>
            <w:r>
              <w:t xml:space="preserve">  - Check: 日誌審核、​合規率統計、​外部稽核意見</w:t>
            </w:r>
            <w:r>
              <w:br/>
            </w:r>
            <w:r>
              <w:t xml:space="preserve">  - Act: 更新最佳實踐、​修正標準、​知識庫共創</w:t>
            </w:r>
          </w:p>
        </w:tc>
      </w:tr>
    </w:tbl>
    <w:p>
      <w:r>
        <w:rPr>
          <w:vertAlign w:val="superscript"/>
        </w:rPr>
        <w:t>13</w:t>
      </w:r>
      <w:r>
        <w:rPr>
          <w:vertAlign w:val="superscript"/>
        </w:rPr>
        <w:t>14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十一、​跨部門協作流程制度與實踐</w:t>
      </w:r>
    </w:p>
    <w:p>
      <w:pPr>
        <w:pStyle w:val="heading3"/>
      </w:pPr>
      <w:r>
        <w:t>11.1 組織協作設計與運作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面向</w:t>
            </w:r>
          </w:p>
        </w:tc>
        <w:tc>
          <w:p>
            <w:r>
              <w:t>重要要素</w:t>
            </w:r>
          </w:p>
        </w:tc>
        <w:tc>
          <w:p>
            <w:r>
              <w:t>跨部門治理落地措施</w:t>
            </w:r>
          </w:p>
        </w:tc>
      </w:tr>
      <w:tr>
        <w:tc>
          <w:p>
            <w:r>
              <w:t>目標一致性</w:t>
            </w:r>
          </w:p>
        </w:tc>
        <w:tc>
          <w:p>
            <w:r>
              <w:t>核心目標清晰認知</w:t>
            </w:r>
          </w:p>
        </w:tc>
        <w:tc>
          <w:p>
            <w:r>
              <w:t>初期環境脈絡、​利害關係人全納入共識</w:t>
            </w:r>
          </w:p>
        </w:tc>
      </w:tr>
      <w:tr>
        <w:tc>
          <w:p>
            <w:r>
              <w:t>資訊對稱流通</w:t>
            </w:r>
          </w:p>
        </w:tc>
        <w:tc>
          <w:p>
            <w:r>
              <w:t>資訊/資源共享</w:t>
            </w:r>
          </w:p>
        </w:tc>
        <w:tc>
          <w:p>
            <w:r>
              <w:t>定期合議&amp;協作平台、​議事記錄透明</w:t>
            </w:r>
          </w:p>
        </w:tc>
      </w:tr>
      <w:tr>
        <w:tc>
          <w:p>
            <w:r>
              <w:t>監督課責</w:t>
            </w:r>
          </w:p>
        </w:tc>
        <w:tc>
          <w:p>
            <w:r>
              <w:t>自我責任/稽核</w:t>
            </w:r>
          </w:p>
        </w:tc>
        <w:tc>
          <w:p>
            <w:r>
              <w:t>記錄全流程、​定期執行績效回溯</w:t>
            </w:r>
          </w:p>
        </w:tc>
      </w:tr>
      <w:tr>
        <w:tc>
          <w:p>
            <w:r>
              <w:t>治理能力建構</w:t>
            </w:r>
          </w:p>
        </w:tc>
        <w:tc>
          <w:p>
            <w:r>
              <w:t>組織能力整合</w:t>
            </w:r>
          </w:p>
        </w:tc>
        <w:tc>
          <w:p>
            <w:r>
              <w:t>專案/平台委員會定期功能優化</w:t>
            </w:r>
          </w:p>
        </w:tc>
      </w:tr>
    </w:tbl>
    <w:p>
      <w:r>
        <w:t>協作過程強調</w:t>
      </w:r>
      <w:r>
        <w:rPr>
          <w:b/>
        </w:rPr>
        <w:t>治理問題及衝突預警機制</w:t>
      </w:r>
      <w:r>
        <w:t>與</w:t>
      </w:r>
      <w:r>
        <w:rPr>
          <w:b/>
        </w:rPr>
        <w:t>組織權限矩陣</w:t>
      </w:r>
      <w:r>
        <w:t>、​溝通協調規則設計;​遇有專案治理困難時,​使用</w:t>
      </w:r>
      <w:r>
        <w:rPr>
          <w:b/>
        </w:rPr>
        <w:t>外部顧問、​法律/稽核專家介入協作</w:t>
      </w:r>
      <w:r>
        <w:t>進行中立評估或爭端仲裁。​</w:t>
      </w:r>
    </w:p>
    <w:p>
      <w:pPr>
        <w:pStyle w:val="heading3"/>
      </w:pPr>
      <w:r>
        <w:t>11.2 議事記錄/審查表範例</w:t>
      </w:r>
    </w:p>
    <w:tbl>
      <w:tblPr>
        <w:tblStyle w:val="CodeBlock"/>
        <w:tblW w:w="5000" w:type="pct"/>
      </w:tblPr>
      <w:tr>
        <w:tc>
          <w:p>
            <w:r>
              <w:t xml:space="preserve">governance_review:</w:t>
            </w:r>
            <w:r>
              <w:br/>
            </w:r>
            <w:r>
              <w:t xml:space="preserve">  meeting_date: 2025-10-20</w:t>
            </w:r>
            <w:r>
              <w:br/>
            </w:r>
            <w:r>
              <w:t xml:space="preserve">  participants: [platform-committee, naming-gatekeeper, devops-team, compliance-auditor]</w:t>
            </w:r>
            <w:r>
              <w:br/>
            </w:r>
            <w:r>
              <w:t xml:space="preserve">  agenda:</w:t>
            </w:r>
            <w:r>
              <w:br/>
            </w:r>
            <w:r>
              <w:t xml:space="preserve">    - 新API模組命名規範發布預審</w:t>
            </w:r>
            <w:r>
              <w:br/>
            </w:r>
            <w:r>
              <w:t xml:space="preserve">    - 合規例外申請批次討論</w:t>
            </w:r>
            <w:r>
              <w:br/>
            </w:r>
            <w:r>
              <w:t xml:space="preserve">    - 監督指標季度回顧</w:t>
            </w:r>
            <w:r>
              <w:br/>
            </w:r>
            <w:r>
              <w:t xml:space="preserve">  actions:</w:t>
            </w:r>
            <w:r>
              <w:br/>
            </w:r>
            <w:r>
              <w:t xml:space="preserve">    - 修改"dev-billing-svc-v2.0.0"命名格式</w:t>
            </w:r>
            <w:r>
              <w:br/>
            </w:r>
            <w:r>
              <w:t xml:space="preserve">    - 通過兩項例外(有追蹤到期日複查)​</w:t>
            </w:r>
            <w:r>
              <w:br/>
            </w:r>
            <w:r>
              <w:t xml:space="preserve">    - 新增SLA數據異常自動預警項</w:t>
            </w:r>
          </w:p>
        </w:tc>
      </w:tr>
    </w:tbl>
    <w:p>
      <w:r>
        <w:rPr>
          <w:vertAlign w:val="superscript"/>
        </w:rPr>
        <w:t>15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十二、​工具與自動化實作</w:t>
      </w:r>
    </w:p>
    <w:p>
      <w:pPr>
        <w:pStyle w:val="heading3"/>
      </w:pPr>
      <w:r>
        <w:t>12.1 主要工具清單與功能摘要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功能</w:t>
            </w:r>
          </w:p>
        </w:tc>
        <w:tc>
          <w:p>
            <w:r>
              <w:t>典型工具或實踐</w:t>
            </w:r>
          </w:p>
        </w:tc>
        <w:tc>
          <w:p>
            <w:r>
              <w:t>實施亮點</w:t>
            </w:r>
          </w:p>
        </w:tc>
      </w:tr>
      <w:tr>
        <w:tc>
          <w:p>
            <w:r>
              <w:t>名稱生成與規範</w:t>
            </w:r>
          </w:p>
        </w:tc>
        <w:tc>
          <w:p>
            <w:r>
              <w:t>Bash/YAML自動化腳本、​Helm模板</w:t>
            </w:r>
          </w:p>
        </w:tc>
        <w:tc>
          <w:p>
            <w:r>
              <w:t>精確標籤、​CI模板一致性</w:t>
            </w:r>
          </w:p>
        </w:tc>
      </w:tr>
      <w:tr>
        <w:tc>
          <w:p>
            <w:r>
              <w:t>自動稽核報警</w:t>
            </w:r>
          </w:p>
        </w:tc>
        <w:tc>
          <w:p>
            <w:r>
              <w:t>Prometheus、​Grafana、​AlertMgr</w:t>
            </w:r>
          </w:p>
        </w:tc>
        <w:tc>
          <w:p>
            <w:r>
              <w:t>24小時違規即時警告</w:t>
            </w:r>
          </w:p>
        </w:tc>
      </w:tr>
      <w:tr>
        <w:tc>
          <w:p>
            <w:r>
              <w:t>發布管理</w:t>
            </w:r>
          </w:p>
        </w:tc>
        <w:tc>
          <w:p>
            <w:r>
              <w:t>Jenkins、​GitLab CI</w:t>
            </w:r>
          </w:p>
        </w:tc>
        <w:tc>
          <w:p>
            <w:r>
              <w:t>一致環境多階段部署</w:t>
            </w:r>
          </w:p>
        </w:tc>
      </w:tr>
      <w:tr>
        <w:tc>
          <w:p>
            <w:r>
              <w:t>文件與指標管理</w:t>
            </w:r>
          </w:p>
        </w:tc>
        <w:tc>
          <w:p>
            <w:r>
              <w:t>Git/Confluence/BI Dashboard</w:t>
            </w:r>
          </w:p>
        </w:tc>
        <w:tc>
          <w:p>
            <w:r>
              <w:t>版本溯源、​KPI可視化</w:t>
            </w:r>
          </w:p>
        </w:tc>
      </w:tr>
    </w:tbl>
    <w:p>
      <w:r>
        <w:t>工具實踐片段示例:​</w:t>
      </w:r>
    </w:p>
    <w:tbl>
      <w:tblPr>
        <w:tblStyle w:val="CodeBlock"/>
        <w:tblW w:w="5000" w:type="pct"/>
      </w:tblPr>
      <w:tr>
        <w:tc>
          <w:p>
            <w:r>
              <w:t xml:space="preserve">apiVersion: monitoring.coreos.com/v1</w:t>
            </w:r>
            <w:r>
              <w:br/>
            </w:r>
            <w:r>
              <w:t xml:space="preserve">kind: PrometheusRule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naming-convention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groups:</w:t>
            </w:r>
            <w:r>
              <w:br/>
            </w:r>
            <w:r>
              <w:t xml:space="preserve">    - name: naming.rules</w:t>
            </w:r>
            <w:r>
              <w:br/>
            </w:r>
            <w:r>
              <w:t xml:space="preserve">      rules:</w:t>
            </w:r>
            <w:r>
              <w:br/>
            </w:r>
            <w:r>
              <w:t xml:space="preserve">        - alert: NonCompliantNaming</w:t>
            </w:r>
            <w:r>
              <w:br/>
            </w:r>
            <w:r>
              <w:t xml:space="preserve">          expr: ... # 相關規則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十三、​資安與合規考量</w:t>
      </w:r>
    </w:p>
    <w:p>
      <w:pPr>
        <w:pStyle w:val="heading3"/>
      </w:pPr>
      <w:r>
        <w:t>13.1 國際標準相容:​ISO27001、​ISO27701範疇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三大要素並重:​機密性、​完整性、​可用性(CIA)​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DPIA(資料保護影響評估)​</w:t>
      </w:r>
      <w:r>
        <w:t>:​新技術需事前風險審查,​重大異動須有治理審查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權限控管</w:t>
      </w:r>
      <w:r>
        <w:t>:​嚴格分級,​定義管理與操作職責及追溯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個資與敏感資料專章</w:t>
      </w:r>
      <w:r>
        <w:t>:​命名規範不得外洩商業或個人識別資訊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合規例外定期複查</w:t>
      </w:r>
      <w:r>
        <w:t>:​違法或逾時自動撤銷</w:t>
      </w:r>
    </w:p>
    <w:p>
      <w:pPr>
        <w:pStyle w:val="heading3"/>
      </w:pPr>
      <w:r>
        <w:t>教材片段:​角色資安訓練表</w:t>
      </w:r>
    </w:p>
    <w:p>
      <w:r/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十四、​遷移與實施驗證</w:t>
      </w:r>
    </w:p>
    <w:p>
      <w:pPr>
        <w:pStyle w:val="heading3"/>
      </w:pPr>
      <w:r>
        <w:t>14.1 遷移週期與實施控管原則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測試環境驗證、​過關後方可生產發布</w:t>
      </w:r>
    </w:p>
    <w:p>
      <w:pPr>
        <w:pStyle w:val="ListParagraph"/>
        <w:numPr>
          <w:ilvl w:val="0"/>
          <w:numId w:val="5"/>
        </w:numPr>
      </w:pPr>
      <w:r>
        <w:t>發現問題需全流程回滾重走完整審查</w:t>
      </w:r>
    </w:p>
    <w:p>
      <w:pPr>
        <w:pStyle w:val="ListParagraph"/>
        <w:numPr>
          <w:ilvl w:val="0"/>
          <w:numId w:val="5"/>
        </w:numPr>
      </w:pPr>
      <w:r>
        <w:t>須留存變更、​驗收、​驗證過程之文件與記錄</w:t>
      </w:r>
    </w:p>
    <w:p>
      <w:pPr>
        <w:pStyle w:val="ListParagraph"/>
        <w:numPr>
          <w:ilvl w:val="0"/>
          <w:numId w:val="5"/>
        </w:numPr>
      </w:pPr>
      <w:r>
        <w:t>跨環境、​跨平台遷移須針對</w:t>
      </w:r>
      <w:r>
        <w:rPr>
          <w:b/>
        </w:rPr>
        <w:t>命名映射與規範轉換自動化</w:t>
      </w:r>
    </w:p>
    <w:p>
      <w:r>
        <w:t>YAML 檢查腳本範例:​</w:t>
      </w:r>
    </w:p>
    <w:tbl>
      <w:tblPr>
        <w:tblStyle w:val="CodeBlock"/>
        <w:tblW w:w="5000" w:type="pct"/>
      </w:tblPr>
      <w:tr>
        <w:tc>
          <w:p>
            <w:r>
              <w:t xml:space="preserve">if ! echo "$NAME" | grep -qE "^(prod|staging)-[a-z0-9-]+-deploy-v\\d+\\.\\d+\\.\\d+$"; then</w:t>
            </w:r>
            <w:r>
              <w:br/>
            </w:r>
            <w:r>
              <w:t xml:space="preserve">  echo "名稱不符規範"</w:t>
            </w:r>
            <w:r>
              <w:br/>
            </w:r>
            <w:r>
              <w:t xml:space="preserve">  exit 1</w:t>
            </w:r>
            <w:r>
              <w:br/>
            </w:r>
            <w:r>
              <w:t xml:space="preserve">fi</w:t>
            </w:r>
          </w:p>
        </w:tc>
      </w:tr>
    </w:tbl>
    <w:p>
      <w:r>
        <w:rPr>
          <w:vertAlign w:val="superscript"/>
        </w:rPr>
        <w:t>16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十五、​範例與腳本片段集</w:t>
      </w:r>
    </w:p>
    <w:p>
      <w:pPr>
        <w:pStyle w:val="heading3"/>
      </w:pPr>
      <w:r>
        <w:t>15.1 Bash生成資源名腳本</w:t>
      </w:r>
    </w:p>
    <w:tbl>
      <w:tblPr>
        <w:tblStyle w:val="CodeBlock"/>
        <w:tblW w:w="5000" w:type="pct"/>
      </w:tblPr>
      <w:tr>
        <w:tc>
          <w:p>
            <w:r>
              <w:t xml:space="preserve">generate_resource_name () {</w:t>
            </w:r>
            <w:r>
              <w:br/>
            </w:r>
            <w:r>
              <w:t xml:space="preserve">  local env=$1</w:t>
            </w:r>
            <w:r>
              <w:br/>
            </w:r>
            <w:r>
              <w:t xml:space="preserve">  local app=$2</w:t>
            </w:r>
            <w:r>
              <w:br/>
            </w:r>
            <w:r>
              <w:t xml:space="preserve">  local version=$3</w:t>
            </w:r>
            <w:r>
              <w:br/>
            </w:r>
            <w:r>
              <w:t xml:space="preserve">  echo "${env}-${app}-deploy-${version}"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>NAME=$(generate_resource_name "prod" "order" "v2.1.0")</w:t>
            </w:r>
          </w:p>
        </w:tc>
      </w:tr>
    </w:tbl>
    <w:p>
      <w:pPr>
        <w:pStyle w:val="heading3"/>
      </w:pPr>
      <w:r>
        <w:t>15.2 YAML完整K8s部署範例</w:t>
      </w:r>
    </w:p>
    <w:tbl>
      <w:tblPr>
        <w:tblStyle w:val="CodeBlock"/>
        <w:tblW w:w="5000" w:type="pct"/>
      </w:tblPr>
      <w:tr>
        <w:tc>
          <w:p>
            <w:r>
              <w:t xml:space="preserve">apiVersion: apps/v1</w:t>
            </w:r>
            <w:r>
              <w:br/>
            </w:r>
            <w:r>
              <w:t xml:space="preserve">kind: Deployment</w:t>
            </w:r>
            <w:r>
              <w:br/>
            </w:r>
            <w:r>
              <w:t xml:space="preserve">metadata:</w:t>
            </w:r>
            <w:r>
              <w:br/>
            </w:r>
            <w:r>
              <w:t xml:space="preserve">  name: prod-payment-deploy-v1.3.0</w:t>
            </w:r>
            <w:r>
              <w:br/>
            </w:r>
            <w:r>
              <w:t xml:space="preserve">spec:</w:t>
            </w:r>
            <w:r>
              <w:br/>
            </w:r>
            <w:r>
              <w:t xml:space="preserve">  replicas: 3</w:t>
            </w:r>
            <w:r>
              <w:br/>
            </w:r>
            <w:r>
              <w:t xml:space="preserve">  template:</w:t>
            </w:r>
            <w:r>
              <w:br/>
            </w:r>
            <w:r>
              <w:t xml:space="preserve">    metadata:</w:t>
            </w:r>
            <w:r>
              <w:br/>
            </w:r>
            <w:r>
              <w:t xml:space="preserve">      labels:</w:t>
            </w:r>
            <w:r>
              <w:br/>
            </w:r>
            <w:r>
              <w:t xml:space="preserve">        app: payment</w:t>
            </w:r>
            <w:r>
              <w:br/>
            </w:r>
            <w:r>
              <w:t xml:space="preserve">        env: prod</w:t>
            </w:r>
            <w:r>
              <w:br/>
            </w:r>
            <w:r>
              <w:t xml:space="preserve">        version: v1.3.0</w:t>
            </w:r>
          </w:p>
        </w:tc>
      </w:tr>
    </w:tbl>
    <w:p>
      <w:pPr>
        <w:pStyle w:val="heading3"/>
      </w:pPr>
      <w:r>
        <w:t>15.3 例外申請Form片段</w:t>
      </w:r>
    </w:p>
    <w:tbl>
      <w:tblPr>
        <w:tblStyle w:val="CodeBlock"/>
        <w:tblW w:w="5000" w:type="pct"/>
      </w:tblPr>
      <w:tr>
        <w:tc>
          <w:p>
            <w:r>
              <w:t xml:space="preserve">compliance_exception:</w:t>
            </w:r>
            <w:r>
              <w:br/>
            </w:r>
            <w:r>
              <w:t xml:space="preserve">  applicant: "data-team-lead"</w:t>
            </w:r>
            <w:r>
              <w:br/>
            </w:r>
            <w:r>
              <w:t xml:space="preserve">  exception_type: "命名規範豁免"</w:t>
            </w:r>
            <w:r>
              <w:br/>
            </w:r>
            <w:r>
              <w:t xml:space="preserve">  justification: "外部協作需求"</w:t>
            </w:r>
            <w:r>
              <w:br/>
            </w:r>
            <w:r>
              <w:t xml:space="preserve">  risk_assessment: "有限影響"</w:t>
            </w:r>
            <w:r>
              <w:br/>
            </w:r>
            <w:r>
              <w:t xml:space="preserve">  expiry: "2025-12-31"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十六、​跨部門治理協作與永續發展</w:t>
      </w:r>
    </w:p>
    <w:p>
      <w:pPr>
        <w:pStyle w:val="heading3"/>
      </w:pPr>
      <w:r>
        <w:t>16.1 跨部門治理策略要素表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構面</w:t>
            </w:r>
          </w:p>
        </w:tc>
        <w:tc>
          <w:p>
            <w:r>
              <w:t>影響因素</w:t>
            </w:r>
          </w:p>
        </w:tc>
        <w:tc>
          <w:p>
            <w:r>
              <w:t>實踐策進</w:t>
            </w:r>
          </w:p>
        </w:tc>
      </w:tr>
      <w:tr>
        <w:tc>
          <w:p>
            <w:r>
              <w:t>初始環境結構</w:t>
            </w:r>
          </w:p>
        </w:tc>
        <w:tc>
          <w:p>
            <w:r>
              <w:t>目標、​資源共享</w:t>
            </w:r>
          </w:p>
        </w:tc>
        <w:tc>
          <w:p>
            <w:r>
              <w:t>核心目標共識、​資源整合</w:t>
            </w:r>
          </w:p>
        </w:tc>
      </w:tr>
      <w:tr>
        <w:tc>
          <w:p>
            <w:r>
              <w:t>治理協作過程</w:t>
            </w:r>
          </w:p>
        </w:tc>
        <w:tc>
          <w:p>
            <w:r>
              <w:t>溝通、​協調、​監督</w:t>
            </w:r>
          </w:p>
        </w:tc>
        <w:tc>
          <w:p>
            <w:r>
              <w:t>定期會議、​專案管理、​議事紀錄</w:t>
            </w:r>
          </w:p>
        </w:tc>
      </w:tr>
      <w:tr>
        <w:tc>
          <w:p>
            <w:r>
              <w:t>治理限制</w:t>
            </w:r>
          </w:p>
        </w:tc>
        <w:tc>
          <w:p>
            <w:r>
              <w:t>衝突、​責任分配</w:t>
            </w:r>
          </w:p>
        </w:tc>
        <w:tc>
          <w:p>
            <w:r>
              <w:t>中立平台仲裁、​責任矩陣設計</w:t>
            </w:r>
          </w:p>
        </w:tc>
      </w:tr>
    </w:tbl>
    <w:p>
      <w:pPr>
        <w:pStyle w:val="heading3"/>
      </w:pPr>
      <w:r>
        <w:t>16.2 作法補充</w:t>
      </w:r>
    </w:p>
    <w:p>
      <w:pPr>
        <w:pStyle w:val="ListParagraph"/>
        <w:numPr>
          <w:ilvl w:val="0"/>
          <w:numId w:val="6"/>
        </w:numPr>
      </w:pPr>
      <w:r>
        <w:t>利用PDCA/知識管理平台/績效指標,​引導部門間經驗沉澱</w:t>
      </w:r>
    </w:p>
    <w:p>
      <w:pPr>
        <w:pStyle w:val="ListParagraph"/>
        <w:numPr>
          <w:ilvl w:val="0"/>
          <w:numId w:val="6"/>
        </w:numPr>
      </w:pPr>
      <w:r>
        <w:t>以</w:t>
      </w:r>
      <w:r>
        <w:rPr>
          <w:b/>
        </w:rPr>
        <w:t>年度治理專題會議和治理貢獻激勵</w:t>
      </w:r>
      <w:r>
        <w:t>,​推動經蘇跨部門最佳實踐</w:t>
      </w:r>
      <w:r>
        <w:rPr>
          <w:vertAlign w:val="superscript"/>
        </w:rPr>
        <w:t>15</w:t>
      </w:r>
      <w:r>
        <w:rPr>
          <w:vertAlign w:val="superscript"/>
        </w:rPr>
        <w:t>1</w:t>
      </w:r>
      <w:r>
        <w:t>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十七、​結論與建議</w:t>
      </w:r>
    </w:p>
    <w:p>
      <w:r>
        <w:t>本報告系統性回顧並實作導入</w:t>
      </w:r>
      <w:r>
        <w:rPr>
          <w:b/>
        </w:rPr>
        <w:t>命名治理規範與技術模板的組織落地、​培訓、​變更控制、​例外審核、​持續驗證優化、​治理組織支援、​合規例外與稽核監督、​資安及跨部門永續治理</w:t>
      </w:r>
      <w:r>
        <w:t>的全生命週期框架。​證諸於前述內容,​</w:t>
      </w:r>
      <w:r>
        <w:rPr>
          <w:b/>
        </w:rPr>
        <w:t>組織唯有依循多角色、​工具自動化、​制度化流程與持續PDCA閉環,​並落實例外管理與跨部門協作,​方能確保命名治理能持續有效提升資料品質、​審計合規、​內外協作與組織治理韌性</w:t>
      </w:r>
      <w:r>
        <w:t>。​</w:t>
      </w:r>
    </w:p>
    <w:p>
      <w:r>
        <w:rPr>
          <w:b/>
        </w:rPr>
        <w:t>建議組織應即刻定期執行治理成效回顧、​進行經驗知識共創,​將每一階段產出標準文件、​模板與案例,​形成完整知識庫,​作為下個循環與新成員培訓的重要資產,​不斷演進治理效益,​迎戰未來資訊治理新局。​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t>References (21)</w:t>
      </w:r>
    </w:p>
    <w:p>
      <w:r>
        <w:t xml:space="preserve">1. </w:t>
      </w:r>
      <w:r>
        <w:rPr>
          <w:i/>
        </w:rPr>
        <w:t>政府再造:​跨部門治理的觀點 - moex.gov.tw</w:t>
      </w:r>
      <w:r>
        <w:t xml:space="preserve">. </w:t>
      </w:r>
      <w:hyperlink xmlns:r="http://schemas.openxmlformats.org/officeDocument/2006/relationships" r:id="R6c8640ad2879426b">
        <w:r>
          <w:t>https://wwwc.moex.gov.tw/main/Quarterly/wHandQuarterly_File.ashx?quarterly_id=143</w:t>
        </w:r>
      </w:hyperlink>
    </w:p>
    <w:p>
      <w:r>
        <w:t xml:space="preserve">2. </w:t>
      </w:r>
      <w:r>
        <w:rPr>
          <w:i/>
        </w:rPr>
        <w:t>&lt;4D6963726F736F667420576F7264202D2030312DA5484141444945ACB0B0F2C2A6A4A7C2BEAFE0B14DAE61AABEC3D1A661B9CFABD8BA63AA6BA15D3235392D323932A15E202E646F6378&gt;</w:t>
      </w:r>
      <w:r>
        <w:t xml:space="preserve">. </w:t>
      </w:r>
      <w:hyperlink xmlns:r="http://schemas.openxmlformats.org/officeDocument/2006/relationships" r:id="Re75a4de977104ea5">
        <w:r>
          <w:t>https://toaj.stpi.niar.org.tw/file/article/download/4b1141f98e737b1f018e78caebb50119</w:t>
        </w:r>
      </w:hyperlink>
    </w:p>
    <w:p>
      <w:r>
        <w:t xml:space="preserve">3. </w:t>
      </w:r>
      <w:r>
        <w:rPr>
          <w:i/>
        </w:rPr>
        <w:t>利害關係人的管理</w:t>
      </w:r>
      <w:r>
        <w:t xml:space="preserve">. </w:t>
      </w:r>
      <w:hyperlink xmlns:r="http://schemas.openxmlformats.org/officeDocument/2006/relationships" r:id="R53f12faf68d74160">
        <w:r>
          <w:t>https://ttqs.wda.gov.tw/Column_Files/19172016eb004e088d8b78532a51328c/%E5%88%A9%E5%AE%B3%E9%97%9C%E4%BF%82%E4%BA%BA%E7%9A%84%E7%AE%A1%E7%90%86-TTQS%E5%A0%B1%E5%91%8A.pdf</w:t>
        </w:r>
      </w:hyperlink>
    </w:p>
    <w:p>
      <w:r>
        <w:t xml:space="preserve">4. </w:t>
      </w:r>
      <w:r>
        <w:rPr>
          <w:i/>
        </w:rPr>
        <w:t>如何成功規劃組織的訓練地圖</w:t>
      </w:r>
      <w:r>
        <w:t xml:space="preserve">. </w:t>
      </w:r>
      <w:hyperlink xmlns:r="http://schemas.openxmlformats.org/officeDocument/2006/relationships" r:id="R653314a6841a4674">
        <w:r>
          <w:t>https://ehr.104.com.tw/104ha_blog/training/planning-your-organizations-training-map</w:t>
        </w:r>
      </w:hyperlink>
    </w:p>
    <w:p>
      <w:r>
        <w:t xml:space="preserve">5. </w:t>
      </w:r>
      <w:r>
        <w:rPr>
          <w:i/>
        </w:rPr>
        <w:t>Spinnaker资源命名规范工具案例:​自动化检查-CSDN博客</w:t>
      </w:r>
      <w:r>
        <w:t xml:space="preserve">. </w:t>
      </w:r>
      <w:hyperlink xmlns:r="http://schemas.openxmlformats.org/officeDocument/2006/relationships" r:id="Rb41a83701a174af5">
        <w:r>
          <w:t>https://blog.csdn.net/gitblog_00714/article/details/152008682</w:t>
        </w:r>
      </w:hyperlink>
    </w:p>
    <w:p>
      <w:r>
        <w:t xml:space="preserve">6. </w:t>
      </w:r>
      <w:r>
        <w:rPr>
          <w:i/>
        </w:rPr>
        <w:t>产品版本号命名规范和更新规则 - 知乎</w:t>
      </w:r>
      <w:r>
        <w:t xml:space="preserve">. </w:t>
      </w:r>
      <w:hyperlink xmlns:r="http://schemas.openxmlformats.org/officeDocument/2006/relationships" r:id="Rf9f3703cf0b04364">
        <w:r>
          <w:t>https://zhuanlan.zhihu.com/p/638476072</w:t>
        </w:r>
      </w:hyperlink>
    </w:p>
    <w:p>
      <w:r>
        <w:t xml:space="preserve">7. </w:t>
      </w:r>
      <w:r>
        <w:rPr>
          <w:i/>
        </w:rPr>
        <w:t>iTop 變更管理(Change Management)簡介 - iT 邦幫忙</w:t>
      </w:r>
      <w:r>
        <w:t xml:space="preserve">. </w:t>
      </w:r>
      <w:hyperlink xmlns:r="http://schemas.openxmlformats.org/officeDocument/2006/relationships" r:id="R120f6642529f41b1">
        <w:r>
          <w:t>https://ithelp.ithome.com.tw/articles/10367680</w:t>
        </w:r>
      </w:hyperlink>
    </w:p>
    <w:p>
      <w:r>
        <w:t xml:space="preserve">8. </w:t>
      </w:r>
      <w:r>
        <w:rPr>
          <w:i/>
        </w:rPr>
        <w:t xml:space="preserve">法規遵從性稽核表單範本 </w:t>
      </w:r>
      <w:r>
        <w:t xml:space="preserve">. </w:t>
      </w:r>
      <w:hyperlink xmlns:r="http://schemas.openxmlformats.org/officeDocument/2006/relationships" r:id="R1637c9e53cbc4329">
        <w:r>
          <w:t>https://surveymars.com/zh-Hant/templates/regulatory-compliance-audit-form-template/</w:t>
        </w:r>
      </w:hyperlink>
    </w:p>
    <w:p>
      <w:r>
        <w:t xml:space="preserve">9. </w:t>
      </w:r>
      <w:r>
        <w:rPr>
          <w:i/>
        </w:rPr>
        <w:t xml:space="preserve">資安法規及規範 </w:t>
      </w:r>
      <w:r>
        <w:t xml:space="preserve">. </w:t>
      </w:r>
      <w:hyperlink xmlns:r="http://schemas.openxmlformats.org/officeDocument/2006/relationships" r:id="R5ad84a1838c74c7f">
        <w:r>
          <w:t>https://techops.digiwin.com/issue-infosec-standard/</w:t>
        </w:r>
      </w:hyperlink>
    </w:p>
    <w:p>
      <w:r>
        <w:t xml:space="preserve">10. </w:t>
      </w:r>
      <w:r>
        <w:rPr>
          <w:i/>
        </w:rPr>
        <w:t>免費 AI 例外申請表單生成器 - Makeform</w:t>
      </w:r>
      <w:r>
        <w:t xml:space="preserve">. </w:t>
      </w:r>
      <w:hyperlink xmlns:r="http://schemas.openxmlformats.org/officeDocument/2006/relationships" r:id="R57f8dbe3aaee4718">
        <w:r>
          <w:t>https://www.makeform.ai/zh-Hant/tools/ai-exception-request-form-generator</w:t>
        </w:r>
      </w:hyperlink>
    </w:p>
    <w:p>
      <w:r>
        <w:t xml:space="preserve">12. </w:t>
      </w:r>
      <w:r>
        <w:rPr>
          <w:i/>
        </w:rPr>
        <w:t>監控的基本概念 - HackMD</w:t>
      </w:r>
      <w:r>
        <w:t xml:space="preserve">. </w:t>
      </w:r>
      <w:hyperlink xmlns:r="http://schemas.openxmlformats.org/officeDocument/2006/relationships" r:id="Ra2034aff2f2b494e">
        <w:r>
          <w:t>https://hackmd.io/@nickchen1998/rJGD4YFaR</w:t>
        </w:r>
      </w:hyperlink>
    </w:p>
    <w:p>
      <w:r>
        <w:t xml:space="preserve">13. </w:t>
      </w:r>
      <w:r>
        <w:rPr>
          <w:i/>
        </w:rPr>
        <w:t>PDCA 意思是什麼?​圖解 PDCA 循環法則、​實際範例、​計畫擬定</w:t>
      </w:r>
      <w:r>
        <w:t xml:space="preserve">. </w:t>
      </w:r>
      <w:hyperlink xmlns:r="http://schemas.openxmlformats.org/officeDocument/2006/relationships" r:id="Rebb07cf513bd4366">
        <w:r>
          <w:t>https://www.managertoday.com.tw/articles/view/55730</w:t>
        </w:r>
      </w:hyperlink>
    </w:p>
    <w:p>
      <w:r>
        <w:t xml:space="preserve">14. </w:t>
      </w:r>
      <w:r>
        <w:rPr>
          <w:i/>
        </w:rPr>
        <w:t>不只是SOP!​掌握PDCA四大步驟,​將每個錯誤都變成團隊的進步階梯 - UpToGo</w:t>
      </w:r>
      <w:r>
        <w:t xml:space="preserve">. </w:t>
      </w:r>
      <w:hyperlink xmlns:r="http://schemas.openxmlformats.org/officeDocument/2006/relationships" r:id="R67eb9a969cbd42bc">
        <w:r>
          <w:t>https://uptogo.com.tw/%E8%81%B7%E5%A0%B4/%E6%88%90%E5%8A%9F/%E6%88%90%E5%8A%9F%E7%BF%92%E6%85%A3/pdca/</w:t>
        </w:r>
      </w:hyperlink>
    </w:p>
    <w:p>
      <w:r>
        <w:t xml:space="preserve">11. </w:t>
      </w:r>
      <w:r>
        <w:rPr>
          <w:i/>
        </w:rPr>
        <w:t>Observability(可觀測性)​跟 Monitoring(監控)​差在哪?​五大差異幫助您快速理解!​</w:t>
      </w:r>
      <w:r>
        <w:t xml:space="preserve">. </w:t>
      </w:r>
      <w:hyperlink xmlns:r="http://schemas.openxmlformats.org/officeDocument/2006/relationships" r:id="R8f684578978f4e0e">
        <w:r>
          <w:t>https://www.truewatch.com/zh-tw/blog/observability-and-monitoring</w:t>
        </w:r>
      </w:hyperlink>
    </w:p>
    <w:p>
      <w:r>
        <w:t xml:space="preserve">15. </w:t>
      </w:r>
      <w:r>
        <w:rPr>
          <w:i/>
        </w:rPr>
        <w:t>跨部门合作治理_百度百科</w:t>
      </w:r>
      <w:r>
        <w:t xml:space="preserve">. </w:t>
      </w:r>
      <w:hyperlink xmlns:r="http://schemas.openxmlformats.org/officeDocument/2006/relationships" r:id="Rd42482393f0e43fa">
        <w:r>
          <w:t>https://baike.baidu.com/item/%E8%B7%A8%E9%83%A8%E9%97%A8%E5%90%88%E4%BD%9C%E6%B2%BB%E7%90%86/22916971</w:t>
        </w:r>
      </w:hyperlink>
    </w:p>
    <w:p>
      <w:r>
        <w:t xml:space="preserve">16. </w:t>
      </w:r>
      <w:r>
        <w:rPr>
          <w:i/>
        </w:rPr>
        <w:t>Kubernetes 自學實戰:​YAML 文件完整範例</w:t>
      </w:r>
      <w:r>
        <w:t xml:space="preserve">. </w:t>
      </w:r>
      <w:hyperlink xmlns:r="http://schemas.openxmlformats.org/officeDocument/2006/relationships" r:id="R1d60c33cfbe54a9e">
        <w:r>
          <w:t>https://www.lccnet.com.tw/guides/Kubernetes/mastering-yaml-kubernetes/</w:t>
        </w:r>
      </w:hyperlink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i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ea8ddf1b5be742dc" /><Relationship Type="http://schemas.openxmlformats.org/officeDocument/2006/relationships/settings" Target="/word/settings.xml" Id="R0f1b20f85eaa4bc5" /><Relationship Type="http://schemas.openxmlformats.org/officeDocument/2006/relationships/styles" Target="/word/styles.xml" Id="R51a3a14335f84d27" /><Relationship Type="http://schemas.openxmlformats.org/officeDocument/2006/relationships/hyperlink" Target="https://wwwc.moex.gov.tw/main/Quarterly/wHandQuarterly_File.ashx?quarterly_id=143" TargetMode="External" Id="R6c8640ad2879426b" /><Relationship Type="http://schemas.openxmlformats.org/officeDocument/2006/relationships/hyperlink" Target="https://toaj.stpi.niar.org.tw/file/article/download/4b1141f98e737b1f018e78caebb50119" TargetMode="External" Id="Re75a4de977104ea5" /><Relationship Type="http://schemas.openxmlformats.org/officeDocument/2006/relationships/hyperlink" Target="https://ttqs.wda.gov.tw/Column_Files/19172016eb004e088d8b78532a51328c/%E5%88%A9%E5%AE%B3%E9%97%9C%E4%BF%82%E4%BA%BA%E7%9A%84%E7%AE%A1%E7%90%86-TTQS%E5%A0%B1%E5%91%8A.pdf" TargetMode="External" Id="R53f12faf68d74160" /><Relationship Type="http://schemas.openxmlformats.org/officeDocument/2006/relationships/hyperlink" Target="https://ehr.104.com.tw/104ha_blog/training/planning-your-organizations-training-map" TargetMode="External" Id="R653314a6841a4674" /><Relationship Type="http://schemas.openxmlformats.org/officeDocument/2006/relationships/hyperlink" Target="https://blog.csdn.net/gitblog_00714/article/details/152008682" TargetMode="External" Id="Rb41a83701a174af5" /><Relationship Type="http://schemas.openxmlformats.org/officeDocument/2006/relationships/hyperlink" Target="https://zhuanlan.zhihu.com/p/638476072" TargetMode="External" Id="Rf9f3703cf0b04364" /><Relationship Type="http://schemas.openxmlformats.org/officeDocument/2006/relationships/hyperlink" Target="https://ithelp.ithome.com.tw/articles/10367680" TargetMode="External" Id="R120f6642529f41b1" /><Relationship Type="http://schemas.openxmlformats.org/officeDocument/2006/relationships/hyperlink" Target="https://surveymars.com/zh-Hant/templates/regulatory-compliance-audit-form-template/" TargetMode="External" Id="R1637c9e53cbc4329" /><Relationship Type="http://schemas.openxmlformats.org/officeDocument/2006/relationships/hyperlink" Target="https://techops.digiwin.com/issue-infosec-standard/" TargetMode="External" Id="R5ad84a1838c74c7f" /><Relationship Type="http://schemas.openxmlformats.org/officeDocument/2006/relationships/hyperlink" Target="https://www.makeform.ai/zh-Hant/tools/ai-exception-request-form-generator" TargetMode="External" Id="R57f8dbe3aaee4718" /><Relationship Type="http://schemas.openxmlformats.org/officeDocument/2006/relationships/hyperlink" Target="https://hackmd.io/@nickchen1998/rJGD4YFaR" TargetMode="External" Id="Ra2034aff2f2b494e" /><Relationship Type="http://schemas.openxmlformats.org/officeDocument/2006/relationships/hyperlink" Target="https://www.managertoday.com.tw/articles/view/55730" TargetMode="External" Id="Rebb07cf513bd4366" /><Relationship Type="http://schemas.openxmlformats.org/officeDocument/2006/relationships/hyperlink" Target="https://uptogo.com.tw/%E8%81%B7%E5%A0%B4/%E6%88%90%E5%8A%9F/%E6%88%90%E5%8A%9F%E7%BF%92%E6%85%A3/pdca/" TargetMode="External" Id="R67eb9a969cbd42bc" /><Relationship Type="http://schemas.openxmlformats.org/officeDocument/2006/relationships/hyperlink" Target="https://www.truewatch.com/zh-tw/blog/observability-and-monitoring" TargetMode="External" Id="R8f684578978f4e0e" /><Relationship Type="http://schemas.openxmlformats.org/officeDocument/2006/relationships/hyperlink" Target="https://baike.baidu.com/item/%E8%B7%A8%E9%83%A8%E9%97%A8%E5%90%88%E4%BD%9C%E6%B2%BB%E7%90%86/22916971" TargetMode="External" Id="Rd42482393f0e43fa" /><Relationship Type="http://schemas.openxmlformats.org/officeDocument/2006/relationships/hyperlink" Target="https://www.lccnet.com.tw/guides/Kubernetes/mastering-yaml-kubernetes/" TargetMode="External" Id="R1d60c33cfbe54a9e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