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d9e4cf7f492141f9" /><Relationship Type="http://schemas.openxmlformats.org/package/2006/relationships/metadata/core-properties" Target="/package/services/metadata/core-properties/890aa3ac12514b34b338c01c709458c2.psmdcp" Id="R26b5219d0b3a46c6" /></Relationships>
</file>

<file path=word/document.xml><?xml version="1.0" encoding="utf-8"?>
<w:document xmlns:w="http://schemas.openxmlformats.org/wordprocessingml/2006/main">
  <w:body>
    <w:p>
      <w:pPr>
        <w:pStyle w:val="Title"/>
      </w:pPr>
      <w:r>
        <w:t>Observability, Validation and Migration Playbooks</w:t>
      </w:r>
    </w:p>
    <w:p>
      <w:pPr>
        <w:pStyle w:val="heading1"/>
      </w:pPr>
      <w:r>
        <w:t>Observability, Validation and Migration Playbooks:​從命名治理落地到運維自動化的完整實踐</w:t>
      </w:r>
    </w:p>
    <w:p>
      <w:r>
        <w:pict>
          <v:rect xmlns:o="urn:schemas-microsoft-com:office:office" xmlns:v="urn:schemas-microsoft-com:vml" style="height:.05pt;mso-width-percent:1000" o:hr="true" o:hrstd="true" o:hralign="center" fillcolor="A0A0A0" stroked="false"/>
        </w:pict>
      </w:r>
    </w:p>
    <w:p>
      <w:pPr>
        <w:pStyle w:val="heading2"/>
      </w:pPr>
      <w:r>
        <w:t>緒論</w:t>
      </w:r>
    </w:p>
    <w:p>
      <w:r>
        <w:t>組織在導入雲原生基礎設施、​推進基礎設施即程式碼(IaC)​治理時,​命名規範是一項常被忽視、​但直接影響資產可追蹤性、​維護效率與合規審查的基礎能力。​根據過往兩份文件《canonical-naming-governance-v1.0.docx》​(命名治理規範)​和《naming-implementation-templates.v1.0.docx》​(命名執行模板)​,​本研究將聚焦於如何將命名治理規範與模板,​實體化於生產系統的運維監控、​驗證、​修復及遷移全流程中。​</w:t>
      </w:r>
    </w:p>
    <w:p>
      <w:r>
        <w:t>核心目標為:​</w:t>
      </w:r>
      <w:r>
        <w:rPr>
          <w:b/>
        </w:rPr>
        <w:t>確保命名治理規範在運行時可被偵測、​驗證、​回溯並能安全、​無痛地進行分階段遷移</w:t>
      </w:r>
      <w:r>
        <w:t>,​同時強化合規監控與自動化修復能力以減少維運中斷與政策誤判風險。​研究涵蓋觀測性設計、​報告生成、​CI/PR驗證、​K8s合規掃描、​自動修復、​迭代遷移與審查稽核等各模組,​並針對每個環節提供實用的 YAML 片段、​腳本範例、​使用說明與驗收準則,​兼顧實務可落地性與標準化推動需求。​</w:t>
      </w:r>
    </w:p>
    <w:p>
      <w:r>
        <w:pict>
          <v:rect xmlns:o="urn:schemas-microsoft-com:office:office" xmlns:v="urn:schemas-microsoft-com:vml" style="height:.05pt;mso-width-percent:1000" o:hr="true" o:hrstd="true" o:hralign="center" fillcolor="A0A0A0" stroked="false"/>
        </w:pict>
      </w:r>
    </w:p>
    <w:p>
      <w:pPr>
        <w:pStyle w:val="heading2"/>
      </w:pPr>
      <w:r>
        <w:t>一、​可觀測性與監控警示設計</w:t>
      </w:r>
    </w:p>
    <w:p>
      <w:pPr>
        <w:pStyle w:val="heading3"/>
      </w:pPr>
      <w:r>
        <w:t>1.1 Prometheus 告警設計原則</w:t>
      </w:r>
    </w:p>
    <w:p>
      <w:r>
        <w:rPr>
          <w:b/>
        </w:rPr>
        <w:t>Prometheus 於雲原生領域廣泛作為監控與告警核心,​其 Alertmanager 元件支援分級警報管理和多通道通知,​為命名治理合規監控提供了可擴展底座</w:t>
      </w:r>
      <w:r>
        <w:t>。​設計原則如下:​</w:t>
      </w:r>
    </w:p>
    <w:p>
      <w:pPr>
        <w:pStyle w:val="ListParagraph"/>
        <w:numPr>
          <w:ilvl w:val="0"/>
          <w:numId w:val="1"/>
        </w:numPr>
      </w:pPr>
      <w:r>
        <w:rPr>
          <w:b/>
        </w:rPr>
        <w:t xml:space="preserve">無論主機、​元件或 K8s 資源,​需藉由統一 label 命名規範(如 </w:t>
      </w:r>
    </w:p>
    <w:p>
      <w:pPr>
        <w:pStyle w:val="ListParagraph"/>
        <w:numPr>
          <w:ilvl w:val="0"/>
          <w:numId w:val="1"/>
        </w:numPr>
      </w:pPr>
      <w:r>
        <w:t>黃金指標(Golden Signals:​延遲、​流量、​錯誤率、​飽和度)​與命名規範失效事件需獨立設計告警規則。​</w:t>
      </w:r>
    </w:p>
    <w:p>
      <w:pPr>
        <w:pStyle w:val="ListParagraph"/>
        <w:numPr>
          <w:ilvl w:val="0"/>
          <w:numId w:val="1"/>
        </w:numPr>
      </w:pPr>
      <w:r>
        <w:t>告警分級(P0</w:t>
      </w:r>
      <w:r>
        <w:t>~</w:t>
      </w:r>
      <w:r>
        <w:t>P3)​,​高風險與合規性違反事件必須交付至高級別處理(如 PagerDuty、​緊急通報)​。​</w:t>
      </w:r>
    </w:p>
    <w:p>
      <w:pPr>
        <w:pStyle w:val="ListParagraph"/>
        <w:numPr>
          <w:ilvl w:val="0"/>
          <w:numId w:val="1"/>
        </w:numPr>
      </w:pPr>
      <w:r>
        <w:t xml:space="preserve">提供動態/可預測閾值(如 </w:t>
      </w:r>
      <w:r>
        <w:rPr>
          <w:rStyle w:val="Code"/>
        </w:rPr>
        <w:t>predict_linear()</w:t>
      </w:r>
      <w:r>
        <w:t>)​,​以預警資源即將違反命名規範。​</w:t>
      </w:r>
    </w:p>
    <w:p>
      <w:pPr>
        <w:pStyle w:val="ListParagraph"/>
        <w:numPr>
          <w:ilvl w:val="0"/>
          <w:numId w:val="1"/>
        </w:numPr>
      </w:pPr>
      <w:r>
        <w:t>設計告警去重、​抑制(Inhibition)​與分組邏輯,​避免告警風暴。​</w:t>
      </w:r>
    </w:p>
    <w:p>
      <w:r>
        <w:rPr>
          <w:b/>
        </w:rPr>
        <w:t>範例 YAML(命名規範失效告警)​</w:t>
      </w:r>
      <w:r>
        <w:t>:​</w:t>
      </w:r>
    </w:p>
    <w:tbl>
      <w:tblPr>
        <w:tblStyle w:val="CodeBlock"/>
        <w:tblW w:w="5000" w:type="pct"/>
      </w:tblPr>
      <w:tr>
        <w:tc>
          <w:p>
            <w:r>
              <w:t xml:space="preserve">groups:</w:t>
            </w:r>
            <w:r>
              <w:br/>
            </w:r>
            <w:r>
              <w:t xml:space="preserve">  - name: 命名規範告警</w:t>
            </w:r>
            <w:r>
              <w:br/>
            </w:r>
            <w:r>
              <w:t xml:space="preserve">    rules:</w:t>
            </w:r>
            <w:r>
              <w:br/>
            </w:r>
            <w:r>
              <w:t xml:space="preserve">      - alert: NamingPolicyViolation</w:t>
            </w:r>
            <w:r>
              <w:br/>
            </w:r>
            <w:r>
              <w:t xml:space="preserve">        expr: count(naming_compliance_violation_total{severity="critical"}) by (app, env) &gt; 0</w:t>
            </w:r>
            <w:r>
              <w:br/>
            </w:r>
            <w:r>
              <w:t xml:space="preserve">        for: 5m</w:t>
            </w:r>
            <w:r>
              <w:br/>
            </w:r>
            <w:r>
              <w:t xml:space="preserve">        labels:</w:t>
            </w:r>
            <w:r>
              <w:br/>
            </w:r>
            <w:r>
              <w:t xml:space="preserve">          severity: critical</w:t>
            </w:r>
            <w:r>
              <w:br/>
            </w:r>
            <w:r>
              <w:t xml:space="preserve">        annotations:</w:t>
            </w:r>
            <w:r>
              <w:br/>
            </w:r>
            <w:r>
              <w:t xml:space="preserve">          description: |</w:t>
            </w:r>
            <w:r>
              <w:br/>
            </w:r>
            <w:r>
              <w:t xml:space="preserve">            "在環境 {{ $labels.env }}, 應用 {{ $labels.app }} 偵測到命名規範違反,​請於5分鐘內檢查並修正。​"</w:t>
            </w:r>
          </w:p>
        </w:tc>
      </w:tr>
    </w:tbl>
    <w:p>
      <w:r>
        <w:rPr>
          <w:b/>
        </w:rPr>
        <w:t>使用說明與驗收準則</w:t>
      </w:r>
      <w:r>
        <w:t>:​</w:t>
      </w:r>
    </w:p>
    <w:p>
      <w:pPr>
        <w:pStyle w:val="ListParagraph"/>
        <w:numPr>
          <w:ilvl w:val="0"/>
          <w:numId w:val="2"/>
        </w:numPr>
      </w:pPr>
      <w:r>
        <w:t xml:space="preserve">部署後可於 Prometheus </w:t>
      </w:r>
      <w:r>
        <w:rPr>
          <w:rStyle w:val="Code"/>
        </w:rPr>
        <w:t>http://&lt;prometheus-host&gt;:9090/alerts</w:t>
      </w:r>
      <w:r>
        <w:t xml:space="preserve"> 檢查告警狀態。​</w:t>
      </w:r>
    </w:p>
    <w:p>
      <w:pPr>
        <w:pStyle w:val="ListParagraph"/>
        <w:numPr>
          <w:ilvl w:val="0"/>
          <w:numId w:val="2"/>
        </w:numPr>
      </w:pPr>
      <w:r>
        <w:t>驗收標準:​在有人為亂數命名/不合規資產自動出現違規告警並且分級正確。​</w:t>
      </w:r>
    </w:p>
    <w:p>
      <w:pPr>
        <w:pStyle w:val="ListParagraph"/>
        <w:numPr>
          <w:ilvl w:val="0"/>
          <w:numId w:val="2"/>
        </w:numPr>
      </w:pPr>
      <w:r>
        <w:t>必須支持自動化集成進入 ChatOps、​PagerDuty 等渠道並關聯違規元件標籤。​</w:t>
      </w:r>
    </w:p>
    <w:p>
      <w:r>
        <w:pict>
          <v:rect xmlns:o="urn:schemas-microsoft-com:office:office" xmlns:v="urn:schemas-microsoft-com:vml" style="height:.05pt;mso-width-percent:1000" o:hr="true" o:hrstd="true" o:hralign="center" fillcolor="A0A0A0" stroked="false"/>
        </w:pict>
      </w:r>
    </w:p>
    <w:p>
      <w:pPr>
        <w:pStyle w:val="heading3"/>
      </w:pPr>
      <w:r>
        <w:t>1.2 Grafana 儀表板最佳實踐</w:t>
      </w:r>
    </w:p>
    <w:p>
      <w:r>
        <w:rPr>
          <w:b/>
        </w:rPr>
        <w:t>Grafana 提供彈性且動態的視覺化設計,​能針對命名合規與資產健康度建立專屬儀表板,​支撐跨系統監控和即時決策</w:t>
      </w:r>
      <w:r>
        <w:rPr>
          <w:vertAlign w:val="superscript"/>
        </w:rPr>
        <w:t>1</w:t>
      </w:r>
      <w:r>
        <w:t>。​</w:t>
      </w:r>
    </w:p>
    <w:p>
      <w:r>
        <w:t>設計要點:​</w:t>
      </w:r>
    </w:p>
    <w:p>
      <w:pPr>
        <w:pStyle w:val="ListParagraph"/>
        <w:numPr>
          <w:ilvl w:val="0"/>
          <w:numId w:val="3"/>
        </w:numPr>
      </w:pPr>
      <w:r>
        <w:t>利用 PromQL 動態查詢命名合規率(如:​</w:t>
      </w:r>
      <w:r>
        <w:rPr>
          <w:rStyle w:val="Code"/>
        </w:rPr>
        <w:t>ratio = count_good / (count_good + count_bad)</w:t>
      </w:r>
      <w:r>
        <w:t>)​。​</w:t>
      </w:r>
    </w:p>
    <w:p>
      <w:pPr>
        <w:pStyle w:val="ListParagraph"/>
        <w:numPr>
          <w:ilvl w:val="0"/>
          <w:numId w:val="3"/>
        </w:numPr>
      </w:pPr>
      <w:r>
        <w:t>引入聚合圖表顯示各命名規範項目(如應用名、​環境、​區域、​label 一致性)​合規狀況熱力圖。​</w:t>
      </w:r>
    </w:p>
    <w:p>
      <w:pPr>
        <w:pStyle w:val="ListParagraph"/>
        <w:numPr>
          <w:ilvl w:val="0"/>
          <w:numId w:val="3"/>
        </w:numPr>
      </w:pPr>
      <w:r>
        <w:t>報表面板需支援 filter by env/app/region,​快速聚焦問題區域。​</w:t>
      </w:r>
    </w:p>
    <w:p>
      <w:pPr>
        <w:pStyle w:val="ListParagraph"/>
        <w:numPr>
          <w:ilvl w:val="0"/>
          <w:numId w:val="3"/>
        </w:numPr>
      </w:pPr>
      <w:r>
        <w:t>集成 SLA 關鍵指標(合規率、​驗證失敗、​遷移失敗、​自動修復成功率等)​於單一 dashboard。​</w:t>
      </w:r>
    </w:p>
    <w:p>
      <w:r>
        <w:rPr>
          <w:b/>
        </w:rPr>
        <w:t>儀表板 YAML/JSON 簡例段</w:t>
      </w:r>
      <w:r>
        <w:t>:​</w:t>
      </w:r>
    </w:p>
    <w:tbl>
      <w:tblPr>
        <w:tblStyle w:val="CodeBlock"/>
        <w:tblW w:w="5000" w:type="pct"/>
      </w:tblPr>
      <w:tr>
        <w:tc>
          <w:p>
            <w:r>
              <w:t xml:space="preserve">{</w:t>
            </w:r>
            <w:r>
              <w:br/>
            </w:r>
            <w:r>
              <w:t xml:space="preserve">  "panels": [</w:t>
            </w:r>
            <w:r>
              <w:br/>
            </w:r>
            <w:r>
              <w:t xml:space="preserve">    {</w:t>
            </w:r>
            <w:r>
              <w:br/>
            </w:r>
            <w:r>
              <w:t xml:space="preserve">      "type": "stat",</w:t>
            </w:r>
            <w:r>
              <w:br/>
            </w:r>
            <w:r>
              <w:t xml:space="preserve">      "title": "命名合規率",</w:t>
            </w:r>
            <w:r>
              <w:br/>
            </w:r>
            <w:r>
              <w:t xml:space="preserve">      "targets": [</w:t>
            </w:r>
            <w:r>
              <w:br/>
            </w:r>
            <w:r>
              <w:t xml:space="preserve">        {</w:t>
            </w:r>
            <w:r>
              <w:br/>
            </w:r>
            <w:r>
              <w:t xml:space="preserve">          "expr": "sum(naming_compliance_good) / (sum(naming_compliance_good) + sum(naming_compliance_bad))"</w:t>
            </w:r>
            <w:r>
              <w:br/>
            </w:r>
            <w:r>
              <w:t xml:space="preserve">        }</w:t>
            </w:r>
            <w:r>
              <w:br/>
            </w:r>
            <w:r>
              <w:t xml:space="preserve">      ]</w:t>
            </w:r>
            <w:r>
              <w:br/>
            </w:r>
            <w:r>
              <w:t xml:space="preserve">    },</w:t>
            </w:r>
            <w:r>
              <w:br/>
            </w:r>
            <w:r>
              <w:t xml:space="preserve">    ...</w:t>
            </w:r>
            <w:r>
              <w:br/>
            </w:r>
            <w:r>
              <w:t xml:space="preserve">  ]</w:t>
            </w:r>
            <w:r>
              <w:br/>
            </w:r>
            <w:r>
              <w:t xml:space="preserve">}</w:t>
            </w:r>
          </w:p>
        </w:tc>
      </w:tr>
    </w:tbl>
    <w:p>
      <w:r>
        <w:rPr>
          <w:b/>
        </w:rPr>
        <w:t>驗收標準</w:t>
      </w:r>
      <w:r>
        <w:t>:​</w:t>
      </w:r>
    </w:p>
    <w:p>
      <w:pPr>
        <w:pStyle w:val="ListParagraph"/>
        <w:numPr>
          <w:ilvl w:val="0"/>
          <w:numId w:val="4"/>
        </w:numPr>
      </w:pPr>
      <w:r>
        <w:t>資料更新秒級反映,​動態 filter 操作流暢。​</w:t>
      </w:r>
    </w:p>
    <w:p>
      <w:pPr>
        <w:pStyle w:val="ListParagraph"/>
        <w:numPr>
          <w:ilvl w:val="0"/>
          <w:numId w:val="4"/>
        </w:numPr>
      </w:pPr>
      <w:r>
        <w:t>當命名違規或修復事件發生時,​dashboard 實時顯示異常區域與數據明細。​</w:t>
      </w:r>
    </w:p>
    <w:p>
      <w:pPr>
        <w:pStyle w:val="ListParagraph"/>
        <w:numPr>
          <w:ilvl w:val="0"/>
          <w:numId w:val="4"/>
        </w:numPr>
      </w:pPr>
      <w:r>
        <w:t>支持導出 PDF / CSV 供稽核。​</w:t>
      </w:r>
    </w:p>
    <w:p>
      <w:r>
        <w:pict>
          <v:rect xmlns:o="urn:schemas-microsoft-com:office:office" xmlns:v="urn:schemas-microsoft-com:vml" style="height:.05pt;mso-width-percent:1000" o:hr="true" o:hrstd="true" o:hralign="center" fillcolor="A0A0A0" stroked="false"/>
        </w:pict>
      </w:r>
    </w:p>
    <w:p>
      <w:pPr>
        <w:pStyle w:val="heading2"/>
      </w:pPr>
      <w:r>
        <w:t>二、​驗證與合規報告工具鏈</w:t>
      </w:r>
    </w:p>
    <w:p>
      <w:pPr>
        <w:pStyle w:val="heading3"/>
      </w:pPr>
      <w:r>
        <w:t>2.1 CI/PR 流程中 Conftest 驗證</w:t>
      </w:r>
    </w:p>
    <w:p>
      <w:r>
        <w:rPr>
          <w:b/>
        </w:rPr>
        <w:t>Conftest(搭配 Open Policy Agent Rego 語言)​可於 CI/PR pipeline 中進行 YAML、​Terraform、​K8s manifest 等配置文件的命名合規政策檢查,​是「右移合規,​左移驗證」​的最佳實踐</w:t>
      </w:r>
      <w:r>
        <w:rPr>
          <w:vertAlign w:val="superscript"/>
        </w:rPr>
        <w:t>2</w:t>
      </w:r>
      <w:r>
        <w:t>。​</w:t>
      </w:r>
    </w:p>
    <w:p>
      <w:r>
        <w:t>核心做法:​</w:t>
      </w:r>
    </w:p>
    <w:p>
      <w:pPr>
        <w:pStyle w:val="ListParagraph"/>
        <w:numPr>
          <w:ilvl w:val="0"/>
          <w:numId w:val="5"/>
        </w:numPr>
      </w:pPr>
      <w:r>
        <w:t>撰寫命名規範 Rego policy(例如資源名稱必須滿足環境+用途+流水號 pattern)​。​</w:t>
      </w:r>
    </w:p>
    <w:p>
      <w:pPr>
        <w:pStyle w:val="ListParagraph"/>
        <w:numPr>
          <w:ilvl w:val="0"/>
          <w:numId w:val="5"/>
        </w:numPr>
      </w:pPr>
      <w:r>
        <w:t xml:space="preserve">於 PR pipeline 執行 </w:t>
      </w:r>
      <w:r>
        <w:rPr>
          <w:rStyle w:val="Code"/>
        </w:rPr>
        <w:t>conftest test &lt;manifest.yaml&gt;</w:t>
      </w:r>
      <w:r>
        <w:t>,​違規自動打回。​</w:t>
      </w:r>
    </w:p>
    <w:p>
      <w:r>
        <w:rPr>
          <w:b/>
        </w:rPr>
        <w:t>Rego policy 範例</w:t>
      </w:r>
      <w:r>
        <w:t>(naming_policy.rego)​:​</w:t>
      </w:r>
    </w:p>
    <w:tbl>
      <w:tblPr>
        <w:tblStyle w:val="CodeBlock"/>
        <w:tblW w:w="5000" w:type="pct"/>
      </w:tblPr>
      <w:tr>
        <w:tc>
          <w:p>
            <w:r>
              <w:t xml:space="preserve">package main</w:t>
            </w:r>
            <w:r>
              <w:br/>
            </w:r>
            <w:r>
              <w:t xml:space="preserve"/>
            </w:r>
            <w:r>
              <w:br/>
            </w:r>
            <w:r>
              <w:t xml:space="preserve">deny[msg] {</w:t>
            </w:r>
            <w:r>
              <w:br/>
            </w:r>
            <w:r>
              <w:t xml:space="preserve">  input.metadata.name</w:t>
            </w:r>
            <w:r>
              <w:br/>
            </w:r>
            <w:r>
              <w:t xml:space="preserve">  not re_match("^[a-z]+-[a-z]+-[0-9]{3}$", input.metadata.name)</w:t>
            </w:r>
            <w:r>
              <w:br/>
            </w:r>
            <w:r>
              <w:t xml:space="preserve">  msg := sprintf("Resource name '%s' 不符命名規範 pattern", [input.metadata.name])</w:t>
            </w:r>
            <w:r>
              <w:br/>
            </w:r>
            <w:r>
              <w:t xml:space="preserve">}</w:t>
            </w:r>
          </w:p>
        </w:tc>
      </w:tr>
    </w:tbl>
    <w:p>
      <w:r>
        <w:rPr>
          <w:b/>
        </w:rPr>
        <w:t>CI pipeline yaml 引用</w:t>
      </w:r>
      <w:r>
        <w:t>:​</w:t>
      </w:r>
    </w:p>
    <w:tbl>
      <w:tblPr>
        <w:tblStyle w:val="CodeBlock"/>
        <w:tblW w:w="5000" w:type="pct"/>
      </w:tblPr>
      <w:tr>
        <w:tc>
          <w:p>
            <w:r>
              <w:t xml:space="preserve">steps:</w:t>
            </w:r>
            <w:r>
              <w:br/>
            </w:r>
            <w:r>
              <w:t xml:space="preserve">  - name: 命名合規檢查</w:t>
            </w:r>
            <w:r>
              <w:br/>
            </w:r>
            <w:r>
              <w:t xml:space="preserve">    run: conftest test manifests/</w:t>
            </w:r>
          </w:p>
        </w:tc>
      </w:tr>
    </w:tbl>
    <w:p>
      <w:r>
        <w:rPr>
          <w:b/>
        </w:rPr>
        <w:t>使用說明與驗收準則</w:t>
      </w:r>
      <w:r>
        <w:t>:​</w:t>
      </w:r>
    </w:p>
    <w:p>
      <w:pPr>
        <w:pStyle w:val="ListParagraph"/>
        <w:numPr>
          <w:ilvl w:val="0"/>
          <w:numId w:val="6"/>
        </w:numPr>
      </w:pPr>
      <w:r>
        <w:t>任一合規錯誤自動詳列於 pipeline log。​</w:t>
      </w:r>
    </w:p>
    <w:p>
      <w:pPr>
        <w:pStyle w:val="ListParagraph"/>
        <w:numPr>
          <w:ilvl w:val="0"/>
          <w:numId w:val="6"/>
        </w:numPr>
      </w:pPr>
      <w:r>
        <w:t>周邊開發/測試人員能自行於本地預先執行驗證。​</w:t>
      </w:r>
    </w:p>
    <w:p>
      <w:pPr>
        <w:pStyle w:val="ListParagraph"/>
        <w:numPr>
          <w:ilvl w:val="0"/>
          <w:numId w:val="6"/>
        </w:numPr>
      </w:pPr>
      <w:r>
        <w:t>驗收合格標準:​各類資源命名錯誤必定被攔截;​正常合規資源可通過檢查流程。​</w:t>
      </w:r>
    </w:p>
    <w:p>
      <w:r>
        <w:pict>
          <v:rect xmlns:o="urn:schemas-microsoft-com:office:office" xmlns:v="urn:schemas-microsoft-com:vml" style="height:.05pt;mso-width-percent:1000" o:hr="true" o:hrstd="true" o:hralign="center" fillcolor="A0A0A0" stroked="false"/>
        </w:pict>
      </w:r>
    </w:p>
    <w:p>
      <w:pPr>
        <w:pStyle w:val="heading3"/>
      </w:pPr>
      <w:r>
        <w:t>2.2 Kubernetes 集群掃描與合規檢查</w:t>
      </w:r>
    </w:p>
    <w:p>
      <w:r>
        <w:rPr>
          <w:b/>
        </w:rPr>
        <w:t>全面性集群命名、​標記、​資源合規可採用多重工具自動掃描加強實效,​包括 Kube Bench、​Checkov、​Kubeaudit、​Kubescape 等</w:t>
      </w:r>
      <w:r>
        <w:rPr>
          <w:vertAlign w:val="superscript"/>
        </w:rPr>
        <w:t>3</w:t>
      </w:r>
      <w:r>
        <w:t>。​</w:t>
      </w:r>
    </w:p>
    <w:p>
      <w:pPr>
        <w:pStyle w:val="ListParagraph"/>
        <w:numPr>
          <w:ilvl w:val="0"/>
          <w:numId w:val="7"/>
        </w:numPr>
      </w:pPr>
      <w:r>
        <w:t>Kube Bench:​對照 CIS Kubernetes Benchmark 自動產生合規稽核報告。​</w:t>
      </w:r>
    </w:p>
    <w:p>
      <w:pPr>
        <w:pStyle w:val="ListParagraph"/>
        <w:numPr>
          <w:ilvl w:val="0"/>
          <w:numId w:val="7"/>
        </w:numPr>
      </w:pPr>
      <w:r>
        <w:t>Checkov:​IaC 源碼層即時檢查 naming 及其他配置。​</w:t>
      </w:r>
    </w:p>
    <w:p>
      <w:pPr>
        <w:pStyle w:val="ListParagraph"/>
        <w:numPr>
          <w:ilvl w:val="0"/>
          <w:numId w:val="7"/>
        </w:numPr>
      </w:pPr>
      <w:r>
        <w:t>Kubeaudit/Kubescape:​運行時或 IaC 流程驗證資源安全、​命名等配置。​</w:t>
      </w:r>
    </w:p>
    <w:p>
      <w:r>
        <w:rPr>
          <w:b/>
        </w:rPr>
        <w:t>Kube Bench 執行範例</w:t>
      </w:r>
      <w:r>
        <w:t>:​</w:t>
      </w:r>
    </w:p>
    <w:tbl>
      <w:tblPr>
        <w:tblStyle w:val="CodeBlock"/>
        <w:tblW w:w="5000" w:type="pct"/>
      </w:tblPr>
      <w:tr>
        <w:tc>
          <w:p>
            <w:r>
              <w:t xml:space="preserve">$ kube-bench --config-dir ./cis-config</w:t>
            </w:r>
            <w:r>
              <w:br/>
            </w:r>
            <w:r>
              <w:t xml:space="preserve"># 比對結果詳列於報告 output,​違規項標註嚴重性</w:t>
            </w:r>
          </w:p>
        </w:tc>
      </w:tr>
    </w:tbl>
    <w:p>
      <w:r>
        <w:rPr>
          <w:b/>
        </w:rPr>
        <w:t>Checkov CI job yaml 段落</w:t>
      </w:r>
      <w:r>
        <w:t>:​</w:t>
      </w:r>
    </w:p>
    <w:tbl>
      <w:tblPr>
        <w:tblStyle w:val="CodeBlock"/>
        <w:tblW w:w="5000" w:type="pct"/>
      </w:tblPr>
      <w:tr>
        <w:tc>
          <w:p>
            <w:r>
              <w:t xml:space="preserve">- name: IaC 合規檢查</w:t>
            </w:r>
            <w:r>
              <w:br/>
            </w:r>
            <w:r>
              <w:t xml:space="preserve">  uses: bridgecrewio/checkov-action@master</w:t>
            </w:r>
            <w:r>
              <w:br/>
            </w:r>
            <w:r>
              <w:t xml:space="preserve">  with:</w:t>
            </w:r>
            <w:r>
              <w:br/>
            </w:r>
            <w:r>
              <w:t xml:space="preserve">    directory: path/to/manifests/</w:t>
            </w:r>
            <w:r>
              <w:br/>
            </w:r>
            <w:r>
              <w:t xml:space="preserve">    config_file: .checkov.yaml</w:t>
            </w:r>
          </w:p>
        </w:tc>
      </w:tr>
    </w:tbl>
    <w:p>
      <w:r>
        <w:rPr>
          <w:b/>
        </w:rPr>
        <w:t>驗收標準</w:t>
      </w:r>
      <w:r>
        <w:t>:​</w:t>
      </w:r>
    </w:p>
    <w:p>
      <w:pPr>
        <w:pStyle w:val="ListParagraph"/>
        <w:numPr>
          <w:ilvl w:val="0"/>
          <w:numId w:val="8"/>
        </w:numPr>
      </w:pPr>
      <w:r>
        <w:t>集群資源若有命名/標籤不合政策項目,​稽核報告自動生成並可追蹤歷史。​</w:t>
      </w:r>
    </w:p>
    <w:p>
      <w:pPr>
        <w:pStyle w:val="ListParagraph"/>
        <w:numPr>
          <w:ilvl w:val="0"/>
          <w:numId w:val="8"/>
        </w:numPr>
      </w:pPr>
      <w:r>
        <w:t>實現 pipeline fail fast 與合規率數據統計追蹤。​</w:t>
      </w:r>
    </w:p>
    <w:p>
      <w:r>
        <w:pict>
          <v:rect xmlns:o="urn:schemas-microsoft-com:office:office" xmlns:v="urn:schemas-microsoft-com:vml" style="height:.05pt;mso-width-percent:1000" o:hr="true" o:hrstd="true" o:hralign="center" fillcolor="A0A0A0" stroked="false"/>
        </w:pict>
      </w:r>
    </w:p>
    <w:p>
      <w:pPr>
        <w:pStyle w:val="heading3"/>
      </w:pPr>
      <w:r>
        <w:t>2.3 合規報表產生器工具</w:t>
      </w:r>
    </w:p>
    <w:p>
      <w:r>
        <w:rPr>
          <w:b/>
        </w:rPr>
        <w:t>合規報告自動化生成,​可採用開源或企業級報表平台(如 Makeform AI 報表產生器、​專屬.NET, Python, Go Script)​,​並支援結構化合規點驗證資料與電子簽章稽核</w:t>
      </w:r>
      <w:r>
        <w:rPr>
          <w:vertAlign w:val="superscript"/>
        </w:rPr>
        <w:t>4</w:t>
      </w:r>
      <w:r>
        <w:t>。​</w:t>
      </w:r>
    </w:p>
    <w:p>
      <w:r>
        <w:t>實作特點:​</w:t>
      </w:r>
    </w:p>
    <w:p>
      <w:pPr>
        <w:pStyle w:val="ListParagraph"/>
        <w:numPr>
          <w:ilvl w:val="0"/>
          <w:numId w:val="9"/>
        </w:numPr>
      </w:pPr>
      <w:r>
        <w:t>YAML/JSON 結果批次輸入,​自動生成 Excel, PDF 或可視化報告。​</w:t>
      </w:r>
    </w:p>
    <w:p>
      <w:pPr>
        <w:pStyle w:val="ListParagraph"/>
        <w:numPr>
          <w:ilvl w:val="0"/>
          <w:numId w:val="9"/>
        </w:numPr>
      </w:pPr>
      <w:r>
        <w:t>具備 API,​自動與 CI/CD、​K8s Scanner、​資產管理串接。​</w:t>
      </w:r>
    </w:p>
    <w:p>
      <w:pPr>
        <w:pStyle w:val="ListParagraph"/>
        <w:numPr>
          <w:ilvl w:val="0"/>
          <w:numId w:val="9"/>
        </w:numPr>
      </w:pPr>
      <w:r>
        <w:t>支援合規驗證週期排程、​通知、​報表追蹤。​</w:t>
      </w:r>
    </w:p>
    <w:p>
      <w:pPr>
        <w:pStyle w:val="ListParagraph"/>
        <w:numPr>
          <w:ilvl w:val="0"/>
          <w:numId w:val="9"/>
        </w:numPr>
      </w:pPr>
      <w:r>
        <w:t>產生具法律效率之電子簽名、​時間戳明細。​</w:t>
      </w:r>
    </w:p>
    <w:p>
      <w:r>
        <w:rPr>
          <w:b/>
        </w:rPr>
        <w:t>驗證合規報表 YAML 輸出</w:t>
      </w:r>
      <w:r>
        <w:t>:​</w:t>
      </w:r>
    </w:p>
    <w:tbl>
      <w:tblPr>
        <w:tblStyle w:val="CodeBlock"/>
        <w:tblW w:w="5000" w:type="pct"/>
      </w:tblPr>
      <w:tr>
        <w:tc>
          <w:p>
            <w:r>
              <w:t xml:space="preserve">compliance_report:</w:t>
            </w:r>
            <w:r>
              <w:br/>
            </w:r>
            <w:r>
              <w:t xml:space="preserve">  check_time: 2025-10-25T10:00:12Z</w:t>
            </w:r>
            <w:r>
              <w:br/>
            </w:r>
            <w:r>
              <w:t xml:space="preserve">  total_resources: 1583</w:t>
            </w:r>
            <w:r>
              <w:br/>
            </w:r>
            <w:r>
              <w:t xml:space="preserve">  compliant: 1559</w:t>
            </w:r>
            <w:r>
              <w:br/>
            </w:r>
            <w:r>
              <w:t xml:space="preserve">  non_compliant: 24</w:t>
            </w:r>
            <w:r>
              <w:br/>
            </w:r>
            <w:r>
              <w:t xml:space="preserve">  violations:</w:t>
            </w:r>
            <w:r>
              <w:br/>
            </w:r>
            <w:r>
              <w:t xml:space="preserve">    - resource: app-vt-prod-011</w:t>
            </w:r>
            <w:r>
              <w:br/>
            </w:r>
            <w:r>
              <w:t xml:space="preserve">      violation: "命名不符 pattern"</w:t>
            </w:r>
            <w:r>
              <w:br/>
            </w:r>
            <w:r>
              <w:t xml:space="preserve">      severity: high</w:t>
            </w:r>
            <w:r>
              <w:br/>
            </w:r>
            <w:r>
              <w:t xml:space="preserve">      suggestion: "參照規範修正"</w:t>
            </w:r>
          </w:p>
        </w:tc>
      </w:tr>
    </w:tbl>
    <w:p>
      <w:r>
        <w:rPr>
          <w:b/>
        </w:rPr>
        <w:t>驗收準則</w:t>
      </w:r>
      <w:r>
        <w:t>:​</w:t>
      </w:r>
    </w:p>
    <w:p>
      <w:pPr>
        <w:pStyle w:val="ListParagraph"/>
        <w:numPr>
          <w:ilvl w:val="0"/>
          <w:numId w:val="10"/>
        </w:numPr>
      </w:pPr>
      <w:r>
        <w:t>合規報表一鍵導出,​違規資源細節透明可追查。​</w:t>
      </w:r>
    </w:p>
    <w:p>
      <w:pPr>
        <w:pStyle w:val="ListParagraph"/>
        <w:numPr>
          <w:ilvl w:val="0"/>
          <w:numId w:val="10"/>
        </w:numPr>
      </w:pPr>
      <w:r>
        <w:t>支援批次、​定期稽核,​人工審查與簽核記錄可落地。​</w:t>
      </w:r>
    </w:p>
    <w:p>
      <w:r>
        <w:pict>
          <v:rect xmlns:o="urn:schemas-microsoft-com:office:office" xmlns:v="urn:schemas-microsoft-com:vml" style="height:.05pt;mso-width-percent:1000" o:hr="true" o:hrstd="true" o:hralign="center" fillcolor="A0A0A0" stroked="false"/>
        </w:pict>
      </w:r>
    </w:p>
    <w:p>
      <w:pPr>
        <w:pStyle w:val="heading2"/>
      </w:pPr>
      <w:r>
        <w:t>三、​自動修復建議與執行</w:t>
      </w:r>
    </w:p>
    <w:p>
      <w:pPr>
        <w:pStyle w:val="heading3"/>
      </w:pPr>
      <w:r>
        <w:t>3.1 Auto-labeler 實做</w:t>
      </w:r>
    </w:p>
    <w:p>
      <w:r>
        <w:rPr>
          <w:b/>
        </w:rPr>
        <w:t>Kubernetes Auto-labeler 透過自動化 Controller/Operator,​根據命名規範或依關聯條件批次自動為資源加註標籤,​確保後續治理、​資產發現、​權限分派等運作的一致性</w:t>
      </w:r>
      <w:r>
        <w:rPr>
          <w:vertAlign w:val="superscript"/>
        </w:rPr>
        <w:t>5</w:t>
      </w:r>
      <w:r>
        <w:t>。​</w:t>
      </w:r>
    </w:p>
    <w:p>
      <w:r>
        <w:rPr>
          <w:b/>
        </w:rPr>
        <w:t>YAML 部署檔範本</w:t>
      </w:r>
      <w:r>
        <w:t>:​</w:t>
      </w:r>
    </w:p>
    <w:tbl>
      <w:tblPr>
        <w:tblStyle w:val="CodeBlock"/>
        <w:tblW w:w="5000" w:type="pct"/>
      </w:tblPr>
      <w:tr>
        <w:tc>
          <w:p>
            <w:r>
              <w:t xml:space="preserve">apiVersion: apps/v1</w:t>
            </w:r>
            <w:r>
              <w:br/>
            </w:r>
            <w:r>
              <w:t xml:space="preserve">kind: Deployment</w:t>
            </w:r>
            <w:r>
              <w:br/>
            </w:r>
            <w:r>
              <w:t xml:space="preserve">metadata:</w:t>
            </w:r>
            <w:r>
              <w:br/>
            </w:r>
            <w:r>
              <w:t xml:space="preserve">  name: k8s-auto-labeller</w:t>
            </w:r>
            <w:r>
              <w:br/>
            </w:r>
            <w:r>
              <w:t xml:space="preserve">  namespace: kube-system</w:t>
            </w:r>
            <w:r>
              <w:br/>
            </w:r>
            <w:r>
              <w:t xml:space="preserve">spec:</w:t>
            </w:r>
            <w:r>
              <w:br/>
            </w:r>
            <w:r>
              <w:t xml:space="preserve">  replicas: 1</w:t>
            </w:r>
            <w:r>
              <w:br/>
            </w:r>
            <w:r>
              <w:t xml:space="preserve">  ...</w:t>
            </w:r>
            <w:r>
              <w:br/>
            </w:r>
            <w:r>
              <w:t xml:space="preserve">  containers:</w:t>
            </w:r>
            <w:r>
              <w:br/>
            </w:r>
            <w:r>
              <w:t xml:space="preserve">    - name: k8s-auto-labeller</w:t>
            </w:r>
            <w:r>
              <w:br/>
            </w:r>
            <w:r>
              <w:t xml:space="preserve">      image: adaptantlabs/k8s-auto-labeller:latest</w:t>
            </w:r>
            <w:r>
              <w:br/>
            </w:r>
            <w:r>
              <w:t xml:space="preserve">      args:</w:t>
            </w:r>
            <w:r>
              <w:br/>
            </w:r>
            <w:r>
              <w:t xml:space="preserve">        - "--label-dir=/labels"</w:t>
            </w:r>
          </w:p>
        </w:tc>
      </w:tr>
    </w:tbl>
    <w:p>
      <w:r>
        <w:rPr>
          <w:b/>
        </w:rPr>
        <w:t>label 定義檔例</w:t>
      </w:r>
      <w:r>
        <w:t>(labels/environments/prod)​:</w:t>
      </w:r>
    </w:p>
    <w:tbl>
      <w:tblPr>
        <w:tblStyle w:val="CodeBlock"/>
        <w:tblW w:w="5000" w:type="pct"/>
      </w:tblPr>
      <w:tr>
        <w:tc>
          <w:p>
            <w:r>
              <w:t xml:space="preserve">env=prod</w:t>
            </w:r>
            <w:r>
              <w:br/>
            </w:r>
            <w:r>
              <w:t xml:space="preserve">environment=production</w:t>
            </w:r>
          </w:p>
        </w:tc>
      </w:tr>
    </w:tbl>
    <w:p>
      <w:r>
        <w:rPr>
          <w:b/>
        </w:rPr>
        <w:t>驗收標準</w:t>
      </w:r>
      <w:r>
        <w:t>:​</w:t>
      </w:r>
    </w:p>
    <w:p>
      <w:pPr>
        <w:pStyle w:val="ListParagraph"/>
        <w:numPr>
          <w:ilvl w:val="0"/>
          <w:numId w:val="11"/>
        </w:numPr>
      </w:pPr>
      <w:r>
        <w:t>自動打標功能,​異常命名、​漏標資源皆能自動補全。​</w:t>
      </w:r>
    </w:p>
    <w:p>
      <w:pPr>
        <w:pStyle w:val="ListParagraph"/>
        <w:numPr>
          <w:ilvl w:val="0"/>
          <w:numId w:val="11"/>
        </w:numPr>
      </w:pPr>
      <w:r>
        <w:t>跟命名建議器搭配時,​資產管理報表可自動反饋自動加標成果。​</w:t>
      </w:r>
    </w:p>
    <w:p>
      <w:r>
        <w:pict>
          <v:rect xmlns:o="urn:schemas-microsoft-com:office:office" xmlns:v="urn:schemas-microsoft-com:vml" style="height:.05pt;mso-width-percent:1000" o:hr="true" o:hrstd="true" o:hralign="center" fillcolor="A0A0A0" stroked="false"/>
        </w:pict>
      </w:r>
    </w:p>
    <w:p>
      <w:pPr>
        <w:pStyle w:val="heading3"/>
      </w:pPr>
      <w:r>
        <w:t>3.2 命名建議器(Naming Suggester)​設計</w:t>
      </w:r>
    </w:p>
    <w:p>
      <w:r>
        <w:rPr>
          <w:b/>
        </w:rPr>
        <w:t>命名建議器結合 AI / 模板規則,​生成最佳命名候選,​保障新資產、​分支、​label 命名快速一致,​並支援互動驗證與回饋調整</w:t>
      </w:r>
      <w:r>
        <w:rPr>
          <w:vertAlign w:val="superscript"/>
        </w:rPr>
        <w:t>6</w:t>
      </w:r>
      <w:r>
        <w:t>。​</w:t>
      </w:r>
    </w:p>
    <w:p>
      <w:r>
        <w:t>實作要點:​</w:t>
      </w:r>
    </w:p>
    <w:p>
      <w:pPr>
        <w:pStyle w:val="ListParagraph"/>
        <w:numPr>
          <w:ilvl w:val="0"/>
          <w:numId w:val="12"/>
        </w:numPr>
      </w:pPr>
      <w:r>
        <w:t>AI 生成:​根據關鍵詞(如 service, region, env)​+ 規則,​產生符標準之名稱。​</w:t>
      </w:r>
    </w:p>
    <w:p>
      <w:pPr>
        <w:pStyle w:val="ListParagraph"/>
        <w:numPr>
          <w:ilvl w:val="0"/>
          <w:numId w:val="12"/>
        </w:numPr>
      </w:pPr>
      <w:r>
        <w:t>提供靜態規則 fallback,​保障離線可用。​</w:t>
      </w:r>
    </w:p>
    <w:p>
      <w:pPr>
        <w:pStyle w:val="ListParagraph"/>
        <w:numPr>
          <w:ilvl w:val="0"/>
          <w:numId w:val="12"/>
        </w:numPr>
      </w:pPr>
      <w:r>
        <w:t>支援命名唯一性即時檢查(整合 API 查詢現有資產/資源)​。​</w:t>
      </w:r>
    </w:p>
    <w:p>
      <w:pPr>
        <w:pStyle w:val="ListParagraph"/>
        <w:numPr>
          <w:ilvl w:val="0"/>
          <w:numId w:val="12"/>
        </w:numPr>
      </w:pPr>
      <w:r>
        <w:t>開發 CLI/RESTful API 主動被 CI/CD 或使用者調用。​</w:t>
      </w:r>
    </w:p>
    <w:p>
      <w:r>
        <w:rPr>
          <w:b/>
        </w:rPr>
        <w:t>API 回傳範例</w:t>
      </w:r>
      <w:r>
        <w:t>:​</w:t>
      </w:r>
    </w:p>
    <w:tbl>
      <w:tblPr>
        <w:tblStyle w:val="CodeBlock"/>
        <w:tblW w:w="5000" w:type="pct"/>
      </w:tblPr>
      <w:tr>
        <w:tc>
          <w:p>
            <w:r>
              <w:t xml:space="preserve">{</w:t>
            </w:r>
            <w:r>
              <w:br/>
            </w:r>
            <w:r>
              <w:t xml:space="preserve">  "suggestions": [</w:t>
            </w:r>
            <w:r>
              <w:br/>
            </w:r>
            <w:r>
              <w:t xml:space="preserve">    "webapp-prod-eu-005",</w:t>
            </w:r>
            <w:r>
              <w:br/>
            </w:r>
            <w:r>
              <w:t xml:space="preserve">    "webapp-prod-eu-006"</w:t>
            </w:r>
            <w:r>
              <w:br/>
            </w:r>
            <w:r>
              <w:t xml:space="preserve">  ],</w:t>
            </w:r>
            <w:r>
              <w:br/>
            </w:r>
            <w:r>
              <w:t xml:space="preserve">  "status": "success"</w:t>
            </w:r>
            <w:r>
              <w:br/>
            </w:r>
            <w:r>
              <w:t xml:space="preserve">}</w:t>
            </w:r>
          </w:p>
        </w:tc>
      </w:tr>
    </w:tbl>
    <w:p>
      <w:r>
        <w:rPr>
          <w:b/>
        </w:rPr>
        <w:t>驗收標準</w:t>
      </w:r>
      <w:r>
        <w:t>:​</w:t>
      </w:r>
    </w:p>
    <w:p>
      <w:pPr>
        <w:pStyle w:val="ListParagraph"/>
        <w:numPr>
          <w:ilvl w:val="0"/>
          <w:numId w:val="13"/>
        </w:numPr>
      </w:pPr>
      <w:r>
        <w:t>95%以上的新命名資產經建議器產生之命名合規率必須達標。​</w:t>
      </w:r>
    </w:p>
    <w:p>
      <w:pPr>
        <w:pStyle w:val="ListParagraph"/>
        <w:numPr>
          <w:ilvl w:val="0"/>
          <w:numId w:val="13"/>
        </w:numPr>
      </w:pPr>
      <w:r>
        <w:t>支援 webhook 於 PR pipeline 提醒建議命名。​</w:t>
      </w:r>
    </w:p>
    <w:p>
      <w:r>
        <w:pict>
          <v:rect xmlns:o="urn:schemas-microsoft-com:office:office" xmlns:v="urn:schemas-microsoft-com:vml" style="height:.05pt;mso-width-percent:1000" o:hr="true" o:hrstd="true" o:hralign="center" fillcolor="A0A0A0" stroked="false"/>
        </w:pict>
      </w:r>
    </w:p>
    <w:p>
      <w:pPr>
        <w:pStyle w:val="heading3"/>
      </w:pPr>
      <w:r>
        <w:t>3.3 自動化修復 Playbook 範例</w:t>
      </w:r>
    </w:p>
    <w:p>
      <w:r>
        <w:rPr>
          <w:b/>
        </w:rPr>
        <w:t>自動化修復 Playbook 提供「違規→發現→自動修復推薦/執行→驗證→回報」​的標準流程腳本,​能針對命名、​標籤、​配置等問題自動應變</w:t>
      </w:r>
      <w:r>
        <w:rPr>
          <w:vertAlign w:val="superscript"/>
        </w:rPr>
        <w:t>7</w:t>
      </w:r>
      <w:r>
        <w:t>。​</w:t>
      </w:r>
    </w:p>
    <w:p>
      <w:r>
        <w:rPr>
          <w:b/>
        </w:rPr>
        <w:t>Playbook YAML/腳本簡例</w:t>
      </w:r>
      <w:r>
        <w:t>:​</w:t>
      </w:r>
    </w:p>
    <w:tbl>
      <w:tblPr>
        <w:tblStyle w:val="CodeBlock"/>
        <w:tblW w:w="5000" w:type="pct"/>
      </w:tblPr>
      <w:tr>
        <w:tc>
          <w:p>
            <w:r>
              <w:t xml:space="preserve">steps:</w:t>
            </w:r>
            <w:r>
              <w:br/>
            </w:r>
            <w:r>
              <w:t xml:space="preserve">  - name: 檢查命名違規資源</w:t>
            </w:r>
            <w:r>
              <w:br/>
            </w:r>
            <w:r>
              <w:t xml:space="preserve">    run: ./scripts/check_naming_violation.py</w:t>
            </w:r>
            <w:r>
              <w:br/>
            </w:r>
            <w:r>
              <w:t xml:space="preserve">  - name: 自動修正命名</w:t>
            </w:r>
            <w:r>
              <w:br/>
            </w:r>
            <w:r>
              <w:t xml:space="preserve">    run: ./scripts/rename_and_label.py</w:t>
            </w:r>
            <w:r>
              <w:br/>
            </w:r>
            <w:r>
              <w:t xml:space="preserve">  - name: 驗證修復</w:t>
            </w:r>
            <w:r>
              <w:br/>
            </w:r>
            <w:r>
              <w:t xml:space="preserve">    run: ./scripts/verify_compliance.py</w:t>
            </w:r>
            <w:r>
              <w:br/>
            </w:r>
            <w:r>
              <w:t xml:space="preserve">  - name: 報告回饋</w:t>
            </w:r>
            <w:r>
              <w:br/>
            </w:r>
            <w:r>
              <w:t xml:space="preserve">    run: ./scripts/report_patch_result.py</w:t>
            </w:r>
          </w:p>
        </w:tc>
      </w:tr>
    </w:tbl>
    <w:p>
      <w:r>
        <w:rPr>
          <w:b/>
        </w:rPr>
        <w:t>Python Remediation 片段(參考 AIOps 閉環)​</w:t>
      </w:r>
      <w:r>
        <w:t>:​</w:t>
      </w:r>
    </w:p>
    <w:tbl>
      <w:tblPr>
        <w:tblStyle w:val="CodeBlock"/>
        <w:tblW w:w="5000" w:type="pct"/>
      </w:tblPr>
      <w:tr>
        <w:tc>
          <w:p>
            <w:r>
              <w:t xml:space="preserve">if not naming_is_compliant(resource):</w:t>
            </w:r>
            <w:r>
              <w:br/>
            </w:r>
            <w:r>
              <w:t xml:space="preserve">    new_name = generate_suggested_name(resource)</w:t>
            </w:r>
            <w:r>
              <w:br/>
            </w:r>
            <w:r>
              <w:t xml:space="preserve">    rename_resource(resource, new_name)</w:t>
            </w:r>
            <w:r>
              <w:br/>
            </w:r>
            <w:r>
              <w:t xml:space="preserve">    label_resource(resource, "auto-fixed")</w:t>
            </w:r>
          </w:p>
        </w:tc>
      </w:tr>
    </w:tbl>
    <w:p>
      <w:r>
        <w:rPr>
          <w:b/>
        </w:rPr>
        <w:t>驗收標準</w:t>
      </w:r>
      <w:r>
        <w:t>:​</w:t>
      </w:r>
    </w:p>
    <w:p>
      <w:pPr>
        <w:pStyle w:val="ListParagraph"/>
        <w:numPr>
          <w:ilvl w:val="0"/>
          <w:numId w:val="14"/>
        </w:numPr>
      </w:pPr>
      <w:r>
        <w:t>異常發生時,​能正確紀錄違規→自動修正→產生修復紀錄。​</w:t>
      </w:r>
    </w:p>
    <w:p>
      <w:pPr>
        <w:pStyle w:val="ListParagraph"/>
        <w:numPr>
          <w:ilvl w:val="0"/>
          <w:numId w:val="14"/>
        </w:numPr>
      </w:pPr>
      <w:r>
        <w:t>執行後自動回饋修復成功/失敗狀態至儀表板及追蹤系統。​</w:t>
      </w:r>
    </w:p>
    <w:p>
      <w:r>
        <w:pict>
          <v:rect xmlns:o="urn:schemas-microsoft-com:office:office" xmlns:v="urn:schemas-microsoft-com:vml" style="height:.05pt;mso-width-percent:1000" o:hr="true" o:hrstd="true" o:hralign="center" fillcolor="A0A0A0" stroked="false"/>
        </w:pict>
      </w:r>
    </w:p>
    <w:p>
      <w:pPr>
        <w:pStyle w:val="heading2"/>
      </w:pPr>
      <w:r>
        <w:t>四、​命名治理遷移與切換 Playbook</w:t>
      </w:r>
    </w:p>
    <w:p>
      <w:pPr>
        <w:pStyle w:val="heading3"/>
      </w:pPr>
      <w:r>
        <w:t>4.1 資產發現與盤點(Discovery)​</w:t>
      </w:r>
    </w:p>
    <w:p>
      <w:r>
        <w:rPr>
          <w:b/>
        </w:rPr>
        <w:t>資產發現為遷移前提,​需能動態探索所有命名調整相關資產(Workloads/Pods/Service/Storage/Role/Account/資安策略等)​並進行全貌盤點,​推薦使用自動化發現工具 + 手動補查的雙軌策略</w:t>
      </w:r>
      <w:r>
        <w:rPr>
          <w:vertAlign w:val="superscript"/>
        </w:rPr>
        <w:t>8</w:t>
      </w:r>
      <w:r>
        <w:t>。​</w:t>
      </w:r>
    </w:p>
    <w:p>
      <w:r>
        <w:rPr>
          <w:b/>
        </w:rPr>
        <w:t>實作腳本範例</w:t>
      </w:r>
      <w:r>
        <w:t>:​</w:t>
      </w:r>
    </w:p>
    <w:tbl>
      <w:tblPr>
        <w:tblStyle w:val="CodeBlock"/>
        <w:tblW w:w="5000" w:type="pct"/>
      </w:tblPr>
      <w:tr>
        <w:tc>
          <w:p>
            <w:r>
              <w:t xml:space="preserve">kubectl get all --all-namespaces -o json | jq '.items[].metadata | {name, namespace, labels}'</w:t>
            </w:r>
          </w:p>
        </w:tc>
      </w:tr>
    </w:tbl>
    <w:p>
      <w:r>
        <w:rPr>
          <w:b/>
        </w:rPr>
        <w:t>驗收標準</w:t>
      </w:r>
      <w:r>
        <w:t>:​</w:t>
      </w:r>
    </w:p>
    <w:p>
      <w:pPr>
        <w:pStyle w:val="ListParagraph"/>
        <w:numPr>
          <w:ilvl w:val="0"/>
          <w:numId w:val="15"/>
        </w:numPr>
      </w:pPr>
      <w:r>
        <w:t>所有具命名規則影響之資產在清冊有明確列出,​無漏列。​</w:t>
      </w:r>
    </w:p>
    <w:p>
      <w:pPr>
        <w:pStyle w:val="ListParagraph"/>
        <w:numPr>
          <w:ilvl w:val="0"/>
          <w:numId w:val="15"/>
        </w:numPr>
      </w:pPr>
      <w:r>
        <w:t>盤點結果可導出報表比對後續遷移成效。​</w:t>
      </w:r>
    </w:p>
    <w:p>
      <w:r>
        <w:pict>
          <v:rect xmlns:o="urn:schemas-microsoft-com:office:office" xmlns:v="urn:schemas-microsoft-com:vml" style="height:.05pt;mso-width-percent:1000" o:hr="true" o:hrstd="true" o:hralign="center" fillcolor="A0A0A0" stroked="false"/>
        </w:pict>
      </w:r>
    </w:p>
    <w:p>
      <w:pPr>
        <w:pStyle w:val="heading3"/>
      </w:pPr>
      <w:r>
        <w:t>4.2 遷移計畫與風險評估(Plan &amp; Risk)​</w:t>
      </w:r>
    </w:p>
    <w:p>
      <w:r>
        <w:rPr>
          <w:b/>
        </w:rPr>
        <w:t>參考 AWS、​大型企業實踐,​計畫必須明確分階段、​列舉倒換時點、​專人負責、​明確風險評估與回滾方案、​防止暫停服務</w:t>
      </w:r>
      <w:r>
        <w:rPr>
          <w:vertAlign w:val="superscript"/>
        </w:rPr>
        <w:t>9</w:t>
      </w:r>
      <w:r>
        <w:t>。​</w:t>
      </w:r>
    </w:p>
    <w:p>
      <w:r>
        <w:rPr>
          <w:b/>
        </w:rPr>
        <w:t>計畫表格示例</w:t>
      </w:r>
      <w:r>
        <w:t>:​</w:t>
      </w:r>
    </w:p>
    <w:tbl>
      <w:tblPr>
        <w:tblStyle w:val="TableGrid"/>
        <w:tblW w:w="5000" w:type="pct"/>
      </w:tblPr>
      <w:tr>
        <w:trPr>
          <w:cnfStyle w:firstRow="true"/>
        </w:trPr>
        <w:tc>
          <w:p>
            <w:r>
              <w:t>階段</w:t>
            </w:r>
          </w:p>
        </w:tc>
        <w:tc>
          <w:p>
            <w:r>
              <w:t>目標與內容</w:t>
            </w:r>
          </w:p>
        </w:tc>
        <w:tc>
          <w:p>
            <w:r>
              <w:t>負責團隊</w:t>
            </w:r>
          </w:p>
        </w:tc>
        <w:tc>
          <w:p>
            <w:r>
              <w:t>風險點</w:t>
            </w:r>
          </w:p>
        </w:tc>
      </w:tr>
      <w:tr>
        <w:tc>
          <w:p>
            <w:r>
              <w:t>1</w:t>
            </w:r>
          </w:p>
        </w:tc>
        <w:tc>
          <w:p>
            <w:r>
              <w:t>完成 Discovery</w:t>
            </w:r>
          </w:p>
        </w:tc>
        <w:tc>
          <w:p>
            <w:r>
              <w:t>CloudOps</w:t>
            </w:r>
          </w:p>
        </w:tc>
        <w:tc>
          <w:p>
            <w:r>
              <w:t>資產漏盤點</w:t>
            </w:r>
          </w:p>
        </w:tc>
      </w:tr>
      <w:tr>
        <w:tc>
          <w:p>
            <w:r>
              <w:t>2</w:t>
            </w:r>
          </w:p>
        </w:tc>
        <w:tc>
          <w:p>
            <w:r>
              <w:t>制定新命名 Benchmark</w:t>
            </w:r>
          </w:p>
        </w:tc>
        <w:tc>
          <w:p>
            <w:r>
              <w:t>IT Governance</w:t>
            </w:r>
          </w:p>
        </w:tc>
        <w:tc>
          <w:p>
            <w:r>
              <w:t>舊有特殊命名資產未涵蓋</w:t>
            </w:r>
          </w:p>
        </w:tc>
      </w:tr>
      <w:tr>
        <w:tc>
          <w:p>
            <w:r>
              <w:t>3</w:t>
            </w:r>
          </w:p>
        </w:tc>
        <w:tc>
          <w:p>
            <w:r>
              <w:t>Dry-run/diff 驗證</w:t>
            </w:r>
          </w:p>
        </w:tc>
        <w:tc>
          <w:p>
            <w:r>
              <w:t>SRE</w:t>
            </w:r>
          </w:p>
        </w:tc>
        <w:tc>
          <w:p>
            <w:r>
              <w:t>命名衝突、​依賴映射錯誤</w:t>
            </w:r>
          </w:p>
        </w:tc>
      </w:tr>
      <w:tr>
        <w:tc>
          <w:p>
            <w:r>
              <w:t>4</w:t>
            </w:r>
          </w:p>
        </w:tc>
        <w:tc>
          <w:p>
            <w:r>
              <w:t>Staged Rename</w:t>
            </w:r>
          </w:p>
        </w:tc>
        <w:tc>
          <w:p>
            <w:r>
              <w:t>DevOps</w:t>
            </w:r>
          </w:p>
        </w:tc>
        <w:tc>
          <w:p>
            <w:r>
              <w:t>線上併存衝突、​指標監控漏接</w:t>
            </w:r>
          </w:p>
        </w:tc>
      </w:tr>
      <w:tr>
        <w:tc>
          <w:p>
            <w:r>
              <w:t>5</w:t>
            </w:r>
          </w:p>
        </w:tc>
        <w:tc>
          <w:p>
            <w:r>
              <w:t>Cutover</w:t>
            </w:r>
          </w:p>
        </w:tc>
        <w:tc>
          <w:p>
            <w:r>
              <w:t>SRE</w:t>
            </w:r>
          </w:p>
        </w:tc>
        <w:tc>
          <w:p>
            <w:r>
              <w:t>業務小斷流、​節點即時異常監控漏報</w:t>
            </w:r>
          </w:p>
        </w:tc>
      </w:tr>
      <w:tr>
        <w:tc>
          <w:p>
            <w:r>
              <w:t>6</w:t>
            </w:r>
          </w:p>
        </w:tc>
        <w:tc>
          <w:p>
            <w:r>
              <w:t>Rollback</w:t>
            </w:r>
          </w:p>
        </w:tc>
        <w:tc>
          <w:p>
            <w:r>
              <w:t>SRE</w:t>
            </w:r>
          </w:p>
        </w:tc>
        <w:tc>
          <w:p>
            <w:r>
              <w:t>原路回滾受阻、​ACL同步不及</w:t>
            </w:r>
          </w:p>
        </w:tc>
      </w:tr>
    </w:tbl>
    <w:p>
      <w:r>
        <w:rPr>
          <w:b/>
        </w:rPr>
        <w:t>驗收標準</w:t>
      </w:r>
      <w:r>
        <w:t>:​</w:t>
      </w:r>
    </w:p>
    <w:p>
      <w:pPr>
        <w:pStyle w:val="ListParagraph"/>
        <w:numPr>
          <w:ilvl w:val="0"/>
          <w:numId w:val="16"/>
        </w:numPr>
      </w:pPr>
      <w:r>
        <w:t>各階段均有可執行腳本、​成功標準與風險對應的緊急聯絡鏈與責任人。​</w:t>
      </w:r>
    </w:p>
    <w:p>
      <w:pPr>
        <w:pStyle w:val="ListParagraph"/>
        <w:numPr>
          <w:ilvl w:val="0"/>
          <w:numId w:val="16"/>
        </w:numPr>
      </w:pPr>
      <w:r>
        <w:t>有定期檢核機制(如每周回顧、​每日 standup)​遷移計劃進度。​</w:t>
      </w:r>
    </w:p>
    <w:p>
      <w:r>
        <w:pict>
          <v:rect xmlns:o="urn:schemas-microsoft-com:office:office" xmlns:v="urn:schemas-microsoft-com:vml" style="height:.05pt;mso-width-percent:1000" o:hr="true" o:hrstd="true" o:hralign="center" fillcolor="A0A0A0" stroked="false"/>
        </w:pict>
      </w:r>
    </w:p>
    <w:p>
      <w:pPr>
        <w:pStyle w:val="heading3"/>
      </w:pPr>
      <w:r>
        <w:t>4.3 Dry-run 模擬與測試策略</w:t>
      </w:r>
    </w:p>
    <w:p>
      <w:r>
        <w:rPr>
          <w:b/>
        </w:rPr>
        <w:t>Dry-run 是命名切換作業前的關鍵防呆措施,​所有異動必須可靜態預演、​產生變更清單與變更比對批次驗證報告,​並支持多環境多階段演練(staging→pre-prod→prod)​</w:t>
      </w:r>
      <w:r>
        <w:rPr>
          <w:vertAlign w:val="superscript"/>
        </w:rPr>
        <w:t>10</w:t>
      </w:r>
      <w:r>
        <w:t>。​</w:t>
      </w:r>
    </w:p>
    <w:p>
      <w:r>
        <w:rPr>
          <w:b/>
        </w:rPr>
        <w:t>K8s 乾跑指令範例</w:t>
      </w:r>
      <w:r>
        <w:t>:​</w:t>
      </w:r>
    </w:p>
    <w:tbl>
      <w:tblPr>
        <w:tblStyle w:val="CodeBlock"/>
        <w:tblW w:w="5000" w:type="pct"/>
      </w:tblPr>
      <w:tr>
        <w:tc>
          <w:p>
            <w:r>
              <w:t xml:space="preserve">kubectl apply --dry-run=client -f new_naming_resource.yaml</w:t>
            </w:r>
            <w:r>
              <w:br/>
            </w:r>
            <w:r>
              <w:t xml:space="preserve"># 回傳資源將被如何異動</w:t>
            </w:r>
          </w:p>
        </w:tc>
      </w:tr>
    </w:tbl>
    <w:p>
      <w:r>
        <w:rPr>
          <w:b/>
        </w:rPr>
        <w:t>自訂比對腳本(Python/Go)​範例</w:t>
      </w:r>
      <w:r>
        <w:t>:​</w:t>
      </w:r>
    </w:p>
    <w:tbl>
      <w:tblPr>
        <w:tblStyle w:val="CodeBlock"/>
        <w:tblW w:w="5000" w:type="pct"/>
      </w:tblPr>
      <w:tr>
        <w:tc>
          <w:p>
            <w:r>
              <w:t xml:space="preserve">old_resources = load_resources('old.json')</w:t>
            </w:r>
            <w:r>
              <w:br/>
            </w:r>
            <w:r>
              <w:t xml:space="preserve">new_resources = load_resources('new.json')</w:t>
            </w:r>
            <w:r>
              <w:br/>
            </w:r>
            <w:r>
              <w:t xml:space="preserve">diff = diff_resources(old_resources, new_resources)</w:t>
            </w:r>
            <w:r>
              <w:br/>
            </w:r>
            <w:r>
              <w:t xml:space="preserve">print_report(diff)</w:t>
            </w:r>
          </w:p>
        </w:tc>
      </w:tr>
    </w:tbl>
    <w:p>
      <w:r>
        <w:rPr>
          <w:b/>
        </w:rPr>
        <w:t>驗收標準</w:t>
      </w:r>
      <w:r>
        <w:t>:​</w:t>
      </w:r>
    </w:p>
    <w:p>
      <w:pPr>
        <w:pStyle w:val="ListParagraph"/>
        <w:numPr>
          <w:ilvl w:val="0"/>
          <w:numId w:val="17"/>
        </w:numPr>
      </w:pPr>
      <w:r>
        <w:t>變更清單符合預期,​無 criticalBreaking 依賴、​存取控制等例外。​</w:t>
      </w:r>
    </w:p>
    <w:p>
      <w:pPr>
        <w:pStyle w:val="ListParagraph"/>
        <w:numPr>
          <w:ilvl w:val="0"/>
          <w:numId w:val="17"/>
        </w:numPr>
      </w:pPr>
      <w:r>
        <w:t>支援對變更進行 rollback dry-run 驗證。​</w:t>
      </w:r>
    </w:p>
    <w:p>
      <w:r>
        <w:pict>
          <v:rect xmlns:o="urn:schemas-microsoft-com:office:office" xmlns:v="urn:schemas-microsoft-com:vml" style="height:.05pt;mso-width-percent:1000" o:hr="true" o:hrstd="true" o:hralign="center" fillcolor="A0A0A0" stroked="false"/>
        </w:pict>
      </w:r>
    </w:p>
    <w:p>
      <w:pPr>
        <w:pStyle w:val="heading3"/>
      </w:pPr>
      <w:r>
        <w:t>4.4 分階段重命名(Staged Rename)​</w:t>
      </w:r>
    </w:p>
    <w:p>
      <w:r>
        <w:rPr>
          <w:b/>
        </w:rPr>
        <w:t>Staged Rename 分批、​多波段進行命名切換,​配合現有工作負載與依賴流量,​避免一次集中導致災難性失敗</w:t>
      </w:r>
      <w:r>
        <w:rPr>
          <w:vertAlign w:val="superscript"/>
        </w:rPr>
        <w:t>11</w:t>
      </w:r>
      <w:r>
        <w:t>。​</w:t>
      </w:r>
    </w:p>
    <w:p>
      <w:r>
        <w:rPr>
          <w:b/>
        </w:rPr>
        <w:t>範例流程腳本</w:t>
      </w:r>
      <w:r>
        <w:t>:​</w:t>
      </w:r>
    </w:p>
    <w:tbl>
      <w:tblPr>
        <w:tblStyle w:val="CodeBlock"/>
        <w:tblW w:w="5000" w:type="pct"/>
      </w:tblPr>
      <w:tr>
        <w:tc>
          <w:p>
            <w:r>
              <w:t xml:space="preserve">stage_1:</w:t>
            </w:r>
            <w:r>
              <w:br/>
            </w:r>
            <w:r>
              <w:t xml:space="preserve">  - namespace: staging</w:t>
            </w:r>
            <w:r>
              <w:br/>
            </w:r>
            <w:r>
              <w:t xml:space="preserve">    resources: [pod-group-A, service-group-A]</w:t>
            </w:r>
            <w:r>
              <w:br/>
            </w:r>
            <w:r>
              <w:t xml:space="preserve">stage_2:</w:t>
            </w:r>
            <w:r>
              <w:br/>
            </w:r>
            <w:r>
              <w:t xml:space="preserve">  - namespace: prod</w:t>
            </w:r>
            <w:r>
              <w:br/>
            </w:r>
            <w:r>
              <w:t xml:space="preserve">    resources: [pod-group-B, service-group-B]</w:t>
            </w:r>
            <w:r>
              <w:br/>
            </w:r>
            <w:r>
              <w:t xml:space="preserve">...</w:t>
            </w:r>
            <w:r>
              <w:br/>
            </w:r>
            <w:r>
              <w:t xml:space="preserve">apply:</w:t>
            </w:r>
            <w:r>
              <w:br/>
            </w:r>
            <w:r>
              <w:t xml:space="preserve">  - kubectl apply -f staged_update.yaml</w:t>
            </w:r>
            <w:r>
              <w:br/>
            </w:r>
            <w:r>
              <w:t xml:space="preserve">  - sleep 10</w:t>
            </w:r>
            <w:r>
              <w:br/>
            </w:r>
            <w:r>
              <w:t xml:space="preserve">  - run verification scripts</w:t>
            </w:r>
          </w:p>
        </w:tc>
      </w:tr>
    </w:tbl>
    <w:p>
      <w:r>
        <w:rPr>
          <w:b/>
        </w:rPr>
        <w:t>驗收準則</w:t>
      </w:r>
      <w:r>
        <w:t>:​</w:t>
      </w:r>
    </w:p>
    <w:p>
      <w:pPr>
        <w:pStyle w:val="ListParagraph"/>
        <w:numPr>
          <w:ilvl w:val="0"/>
          <w:numId w:val="18"/>
        </w:numPr>
      </w:pPr>
      <w:r>
        <w:t>各波段均有監控指標與 rollback 機制,​異常時可以局部回退。​</w:t>
      </w:r>
    </w:p>
    <w:p>
      <w:pPr>
        <w:pStyle w:val="ListParagraph"/>
        <w:numPr>
          <w:ilvl w:val="0"/>
          <w:numId w:val="18"/>
        </w:numPr>
      </w:pPr>
      <w:r>
        <w:t>產線每次重命名異動後,​對應監控告警必須同步驗證。​</w:t>
      </w:r>
    </w:p>
    <w:p>
      <w:r>
        <w:pict>
          <v:rect xmlns:o="urn:schemas-microsoft-com:office:office" xmlns:v="urn:schemas-microsoft-com:vml" style="height:.05pt;mso-width-percent:1000" o:hr="true" o:hrstd="true" o:hralign="center" fillcolor="A0A0A0" stroked="false"/>
        </w:pict>
      </w:r>
    </w:p>
    <w:p>
      <w:pPr>
        <w:pStyle w:val="heading3"/>
      </w:pPr>
      <w:r>
        <w:t>4.5 Cutover 及線上切換策略</w:t>
      </w:r>
    </w:p>
    <w:p>
      <w:r>
        <w:rPr>
          <w:b/>
        </w:rPr>
        <w:t>切換(Cutover)​聚焦生產階段必須同步指向新命名資產,​包括即時 DNS 更新、​實例投入產流等,​與傳統「全閃斷」​相區隔,​進階可採藍綠部署、​災備冷備切換</w:t>
      </w:r>
      <w:r>
        <w:rPr>
          <w:vertAlign w:val="superscript"/>
        </w:rPr>
        <w:t>12</w:t>
      </w:r>
      <w:r>
        <w:rPr>
          <w:vertAlign w:val="superscript"/>
        </w:rPr>
        <w:t>9</w:t>
      </w:r>
      <w:r>
        <w:t>。​</w:t>
      </w:r>
    </w:p>
    <w:p>
      <w:r>
        <w:rPr>
          <w:b/>
        </w:rPr>
        <w:t>Cutover YAML 操作範本</w:t>
      </w:r>
      <w:r>
        <w:t>:​</w:t>
      </w:r>
    </w:p>
    <w:tbl>
      <w:tblPr>
        <w:tblStyle w:val="CodeBlock"/>
        <w:tblW w:w="5000" w:type="pct"/>
      </w:tblPr>
      <w:tr>
        <w:tc>
          <w:p>
            <w:r>
              <w:t xml:space="preserve">- name: Update DNS records</w:t>
            </w:r>
            <w:r>
              <w:br/>
            </w:r>
            <w:r>
              <w:t xml:space="preserve">  run: ./scripts/update_dns.sh</w:t>
            </w:r>
            <w:r>
              <w:br/>
            </w:r>
            <w:r>
              <w:t xml:space="preserve">- name: Switch service endpoint</w:t>
            </w:r>
            <w:r>
              <w:br/>
            </w:r>
            <w:r>
              <w:t xml:space="preserve">  run: ./scripts/switch_service.sh --to new-names</w:t>
            </w:r>
          </w:p>
        </w:tc>
      </w:tr>
    </w:tbl>
    <w:p>
      <w:r>
        <w:rPr>
          <w:b/>
        </w:rPr>
        <w:t>驗收標準</w:t>
      </w:r>
      <w:r>
        <w:t>:​</w:t>
      </w:r>
    </w:p>
    <w:p>
      <w:pPr>
        <w:pStyle w:val="ListParagraph"/>
        <w:numPr>
          <w:ilvl w:val="0"/>
          <w:numId w:val="19"/>
        </w:numPr>
      </w:pPr>
      <w:r>
        <w:t>實際生產負載能於指定時間點全切換成功,​且能穿透式監控 SLA、​error 率和回應前後比較。​</w:t>
      </w:r>
    </w:p>
    <w:p>
      <w:pPr>
        <w:pStyle w:val="ListParagraph"/>
        <w:numPr>
          <w:ilvl w:val="0"/>
          <w:numId w:val="19"/>
        </w:numPr>
      </w:pPr>
      <w:r>
        <w:t>所有資源更名後自動產生追蹤記錄並分析切換延遲、​異常處理耗時。​</w:t>
      </w:r>
    </w:p>
    <w:p>
      <w:r>
        <w:pict>
          <v:rect xmlns:o="urn:schemas-microsoft-com:office:office" xmlns:v="urn:schemas-microsoft-com:vml" style="height:.05pt;mso-width-percent:1000" o:hr="true" o:hrstd="true" o:hralign="center" fillcolor="A0A0A0" stroked="false"/>
        </w:pict>
      </w:r>
    </w:p>
    <w:p>
      <w:pPr>
        <w:pStyle w:val="heading3"/>
      </w:pPr>
      <w:r>
        <w:t>4.6 回滾(Rollback)​機制設計</w:t>
      </w:r>
    </w:p>
    <w:p>
      <w:r>
        <w:rPr>
          <w:b/>
        </w:rPr>
        <w:t>回滾是高風險保險閥,​要求所有異動操作 inbound/outbound 都可一鍵復原(包括命名回舊資源、​DNS 恢復、​ACL、​BAK 預置)​,​需留存回滾記錄並能 trigger 自動化驗證</w:t>
      </w:r>
      <w:r>
        <w:rPr>
          <w:vertAlign w:val="superscript"/>
        </w:rPr>
        <w:t>13</w:t>
      </w:r>
      <w:r>
        <w:t>。​</w:t>
      </w:r>
    </w:p>
    <w:p>
      <w:r>
        <w:rPr>
          <w:b/>
        </w:rPr>
        <w:t>回滾計劃 YAML 示範</w:t>
      </w:r>
      <w:r>
        <w:t>:​</w:t>
      </w:r>
    </w:p>
    <w:tbl>
      <w:tblPr>
        <w:tblStyle w:val="CodeBlock"/>
        <w:tblW w:w="5000" w:type="pct"/>
      </w:tblPr>
      <w:tr>
        <w:tc>
          <w:p>
            <w:r>
              <w:t xml:space="preserve">rollback_steps:</w:t>
            </w:r>
            <w:r>
              <w:br/>
            </w:r>
            <w:r>
              <w:t xml:space="preserve">  - name: 恢復舊命名</w:t>
            </w:r>
            <w:r>
              <w:br/>
            </w:r>
            <w:r>
              <w:t xml:space="preserve">    run: ./scripts/restore_names.sh</w:t>
            </w:r>
            <w:r>
              <w:br/>
            </w:r>
            <w:r>
              <w:t xml:space="preserve">  - name: 恢復 DNS</w:t>
            </w:r>
            <w:r>
              <w:br/>
            </w:r>
            <w:r>
              <w:t xml:space="preserve">    run: ./scripts/restore_dns.sh</w:t>
            </w:r>
            <w:r>
              <w:br/>
            </w:r>
            <w:r>
              <w:t xml:space="preserve">  - name: 恢復流量指向</w:t>
            </w:r>
            <w:r>
              <w:br/>
            </w:r>
            <w:r>
              <w:t xml:space="preserve">    run: ./scripts/restore_service.sh --to old-names</w:t>
            </w:r>
            <w:r>
              <w:br/>
            </w:r>
            <w:r>
              <w:t xml:space="preserve">  - name: 驗證回滾狀態</w:t>
            </w:r>
            <w:r>
              <w:br/>
            </w:r>
            <w:r>
              <w:t xml:space="preserve">    run: ./scripts/verify_post_rollback.sh</w:t>
            </w:r>
          </w:p>
        </w:tc>
      </w:tr>
    </w:tbl>
    <w:p>
      <w:r>
        <w:rPr>
          <w:b/>
        </w:rPr>
        <w:t>驗收準則</w:t>
      </w:r>
      <w:r>
        <w:t>:​</w:t>
      </w:r>
    </w:p>
    <w:p>
      <w:pPr>
        <w:pStyle w:val="ListParagraph"/>
        <w:numPr>
          <w:ilvl w:val="0"/>
          <w:numId w:val="20"/>
        </w:numPr>
      </w:pPr>
      <w:r>
        <w:t>回滾流程需在 20 分鐘內全數復原,​且 critical 資產必須驗證可用性、​資料一致與 SLA。​</w:t>
      </w:r>
    </w:p>
    <w:p>
      <w:pPr>
        <w:pStyle w:val="ListParagraph"/>
        <w:numPr>
          <w:ilvl w:val="0"/>
          <w:numId w:val="20"/>
        </w:numPr>
      </w:pPr>
      <w:r>
        <w:t>回滾過程新增的告警報表自動產生並通報維運團隊。​</w:t>
      </w:r>
    </w:p>
    <w:p>
      <w:r>
        <w:pict>
          <v:rect xmlns:o="urn:schemas-microsoft-com:office:office" xmlns:v="urn:schemas-microsoft-com:vml" style="height:.05pt;mso-width-percent:1000" o:hr="true" o:hrstd="true" o:hralign="center" fillcolor="A0A0A0" stroked="false"/>
        </w:pict>
      </w:r>
    </w:p>
    <w:p>
      <w:pPr>
        <w:pStyle w:val="heading2"/>
      </w:pPr>
      <w:r>
        <w:t>五、​審計追蹤、​運作 SLA 及稽核指標</w:t>
      </w:r>
    </w:p>
    <w:p>
      <w:pPr>
        <w:pStyle w:val="heading3"/>
      </w:pPr>
      <w:r>
        <w:t>5.1 變更記錄與稽核資料集架構</w:t>
      </w:r>
    </w:p>
    <w:p>
      <w:r>
        <w:rPr>
          <w:b/>
        </w:rPr>
        <w:t>所有命名相關異動、​修復、​遷移流程必須有詳細變更追蹤與不可篡改審計紀錄,​並具備稽核友善資料集結構與稽核報表 API</w:t>
      </w:r>
      <w:r>
        <w:rPr>
          <w:vertAlign w:val="superscript"/>
        </w:rPr>
        <w:t>14</w:t>
      </w:r>
      <w:r>
        <w:t>。​</w:t>
      </w:r>
    </w:p>
    <w:p>
      <w:r>
        <w:rPr>
          <w:b/>
        </w:rPr>
        <w:t>Audit Trail 架構設計要點</w:t>
      </w:r>
      <w:r>
        <w:t>:​</w:t>
      </w:r>
    </w:p>
    <w:p>
      <w:pPr>
        <w:pStyle w:val="ListParagraph"/>
        <w:numPr>
          <w:ilvl w:val="0"/>
          <w:numId w:val="21"/>
        </w:numPr>
      </w:pPr>
      <w:r>
        <w:t>全流程各階段觸發點皆留存(Who/When/What/Why/How)​。​</w:t>
      </w:r>
    </w:p>
    <w:p>
      <w:pPr>
        <w:pStyle w:val="ListParagraph"/>
        <w:numPr>
          <w:ilvl w:val="0"/>
          <w:numId w:val="21"/>
        </w:numPr>
      </w:pPr>
      <w:r>
        <w:t>利用資料庫 System History Tables(或 Elastic Stack、​Cloud Audit Logs)​分類記錄 query、​login、​DDL、​資產存取、​標籤異動。​</w:t>
      </w:r>
    </w:p>
    <w:p>
      <w:pPr>
        <w:pStyle w:val="ListParagraph"/>
        <w:numPr>
          <w:ilvl w:val="0"/>
          <w:numId w:val="21"/>
        </w:numPr>
      </w:pPr>
      <w:r>
        <w:t>須支援定期匯出/查詢 API、​異常事件追蹤通知。​</w:t>
      </w:r>
    </w:p>
    <w:p>
      <w:pPr>
        <w:pStyle w:val="ListParagraph"/>
        <w:numPr>
          <w:ilvl w:val="0"/>
          <w:numId w:val="21"/>
        </w:numPr>
      </w:pPr>
      <w:r>
        <w:t>針對命名違規修正、​遷移、​rollback 自動串接審計紀錄。​</w:t>
      </w:r>
    </w:p>
    <w:p>
      <w:r>
        <w:rPr>
          <w:b/>
        </w:rPr>
        <w:t>驗收標準</w:t>
      </w:r>
      <w:r>
        <w:t>:​</w:t>
      </w:r>
    </w:p>
    <w:p>
      <w:pPr>
        <w:pStyle w:val="ListParagraph"/>
        <w:numPr>
          <w:ilvl w:val="0"/>
          <w:numId w:val="22"/>
        </w:numPr>
      </w:pPr>
      <w:r>
        <w:t>稽核可完整重現任一命名資產的完整生命周期、​異動明細。​</w:t>
      </w:r>
    </w:p>
    <w:p>
      <w:pPr>
        <w:pStyle w:val="ListParagraph"/>
        <w:numPr>
          <w:ilvl w:val="0"/>
          <w:numId w:val="22"/>
        </w:numPr>
      </w:pPr>
      <w:r>
        <w:t>每次大規模命名/遷移後稽核指標自動匯總、​可視化。​</w:t>
      </w:r>
    </w:p>
    <w:p>
      <w:r>
        <w:pict>
          <v:rect xmlns:o="urn:schemas-microsoft-com:office:office" xmlns:v="urn:schemas-microsoft-com:vml" style="height:.05pt;mso-width-percent:1000" o:hr="true" o:hrstd="true" o:hralign="center" fillcolor="A0A0A0" stroked="false"/>
        </w:pict>
      </w:r>
    </w:p>
    <w:p>
      <w:pPr>
        <w:pStyle w:val="heading3"/>
      </w:pPr>
      <w:r>
        <w:t>5.2 運作 SLA 指標定義與監控</w:t>
      </w:r>
    </w:p>
    <w:p>
      <w:r>
        <w:rPr>
          <w:b/>
        </w:rPr>
        <w:t>資產命名治理的運作 SLA 需明確指標化,​包含合規率、​驗證失敗數、​遷移/修復失敗率等,​配套流動 dashboard、​報告及通報</w:t>
      </w:r>
      <w:r>
        <w:rPr>
          <w:vertAlign w:val="superscript"/>
        </w:rPr>
        <w:t>15</w:t>
      </w:r>
      <w:r>
        <w:t>。​</w:t>
      </w:r>
    </w:p>
    <w:p>
      <w:r>
        <w:rPr>
          <w:b/>
        </w:rPr>
        <w:t>主要指標說明</w:t>
      </w:r>
      <w:r>
        <w:t>:​</w:t>
      </w:r>
    </w:p>
    <w:p>
      <w:pPr>
        <w:pStyle w:val="ListParagraph"/>
        <w:numPr>
          <w:ilvl w:val="0"/>
          <w:numId w:val="23"/>
        </w:numPr>
      </w:pPr>
      <w:r>
        <w:rPr>
          <w:b/>
        </w:rPr>
        <w:t>命名合規率(Naming Compliance Rate,​NCR)​</w:t>
      </w:r>
      <w:r>
        <w:t>:​所有Onboard資源命名符合法規及公司標準之比例。​</w:t>
      </w:r>
    </w:p>
    <w:p>
      <w:pPr>
        <w:pStyle w:val="ListParagraph"/>
        <w:numPr>
          <w:ilvl w:val="0"/>
          <w:numId w:val="23"/>
        </w:numPr>
      </w:pPr>
      <w:r>
        <w:rPr>
          <w:b/>
        </w:rPr>
        <w:t>驗證失敗數(Validation Failure Count,​VFC)​</w:t>
      </w:r>
      <w:r>
        <w:t>:​單位時段內驗證未通過的資產數量。​</w:t>
      </w:r>
    </w:p>
    <w:p>
      <w:pPr>
        <w:pStyle w:val="ListParagraph"/>
        <w:numPr>
          <w:ilvl w:val="0"/>
          <w:numId w:val="23"/>
        </w:numPr>
      </w:pPr>
      <w:r>
        <w:rPr>
          <w:b/>
        </w:rPr>
        <w:t>遷移失敗率(Migration Failure Rate,​MFR)​</w:t>
      </w:r>
      <w:r>
        <w:t>:​所有資產遷移過程中,​失敗件/總件比率。​</w:t>
      </w:r>
    </w:p>
    <w:p>
      <w:pPr>
        <w:pStyle w:val="ListParagraph"/>
        <w:numPr>
          <w:ilvl w:val="0"/>
          <w:numId w:val="23"/>
        </w:numPr>
      </w:pPr>
      <w:r>
        <w:rPr>
          <w:b/>
        </w:rPr>
        <w:t>自動修復成功率(Auto-remediation Success Rate,​ARS)​</w:t>
      </w:r>
      <w:r>
        <w:t>:​自動修復流程啟動後成功 closure 比率。​</w:t>
      </w:r>
    </w:p>
    <w:p>
      <w:r>
        <w:rPr>
          <w:b/>
        </w:rPr>
        <w:t>監控報表 YAML+Dashboard 實例</w:t>
      </w:r>
      <w:r>
        <w:t>:​</w:t>
      </w:r>
    </w:p>
    <w:tbl>
      <w:tblPr>
        <w:tblStyle w:val="CodeBlock"/>
        <w:tblW w:w="5000" w:type="pct"/>
      </w:tblPr>
      <w:tr>
        <w:tc>
          <w:p>
            <w:r>
              <w:t xml:space="preserve">sla_metrics:</w:t>
            </w:r>
            <w:r>
              <w:br/>
            </w:r>
            <w:r>
              <w:t xml:space="preserve">  naming_compliance_rate: 99.92</w:t>
            </w:r>
            <w:r>
              <w:br/>
            </w:r>
            <w:r>
              <w:t xml:space="preserve">  validation_failure_count: 3</w:t>
            </w:r>
            <w:r>
              <w:br/>
            </w:r>
            <w:r>
              <w:t xml:space="preserve">  migration_failure_rate: 0.025</w:t>
            </w:r>
            <w:r>
              <w:br/>
            </w:r>
            <w:r>
              <w:t xml:space="preserve">  auto_remediation_success: 98.1</w:t>
            </w:r>
            <w:r>
              <w:br/>
            </w:r>
            <w:r>
              <w:t xml:space="preserve">  timestamp: 2025-10-25T03:34:00Z</w:t>
            </w:r>
          </w:p>
        </w:tc>
      </w:tr>
    </w:tbl>
    <w:p>
      <w:r>
        <w:rPr>
          <w:b/>
        </w:rPr>
        <w:t>驗收標準</w:t>
      </w:r>
      <w:r>
        <w:t>:​</w:t>
      </w:r>
    </w:p>
    <w:p>
      <w:pPr>
        <w:pStyle w:val="ListParagraph"/>
        <w:numPr>
          <w:ilvl w:val="0"/>
          <w:numId w:val="24"/>
        </w:numPr>
      </w:pPr>
      <w:r>
        <w:t>各類 SLA 指標動態可查、​日/周/月自動統計。​</w:t>
      </w:r>
    </w:p>
    <w:p>
      <w:pPr>
        <w:pStyle w:val="ListParagraph"/>
        <w:numPr>
          <w:ilvl w:val="0"/>
          <w:numId w:val="24"/>
        </w:numPr>
      </w:pPr>
      <w:r>
        <w:t>阈值超標時自動推播警報並產生行動建議。​</w:t>
      </w:r>
    </w:p>
    <w:p>
      <w:r>
        <w:pict>
          <v:rect xmlns:o="urn:schemas-microsoft-com:office:office" xmlns:v="urn:schemas-microsoft-com:vml" style="height:.05pt;mso-width-percent:1000" o:hr="true" o:hrstd="true" o:hralign="center" fillcolor="A0A0A0" stroked="false"/>
        </w:pict>
      </w:r>
    </w:p>
    <w:p>
      <w:pPr>
        <w:pStyle w:val="heading2"/>
      </w:pPr>
      <w:r>
        <w:t>六、​各模組工具矩陣表</w:t>
      </w:r>
    </w:p>
    <w:tbl>
      <w:tblPr>
        <w:tblStyle w:val="TableGrid"/>
        <w:tblW w:w="5000" w:type="pct"/>
      </w:tblPr>
      <w:tr>
        <w:trPr>
          <w:cnfStyle w:firstRow="true"/>
        </w:trPr>
        <w:tc>
          <w:p>
            <w:r>
              <w:t>作業面向</w:t>
            </w:r>
          </w:p>
        </w:tc>
        <w:tc>
          <w:p>
            <w:r>
              <w:t>推薦工具/技術</w:t>
            </w:r>
          </w:p>
        </w:tc>
        <w:tc>
          <w:p>
            <w:r>
              <w:t>YAML/腳本範例</w:t>
            </w:r>
          </w:p>
        </w:tc>
        <w:tc>
          <w:p>
            <w:r>
              <w:t>備註</w:t>
            </w:r>
          </w:p>
        </w:tc>
      </w:tr>
      <w:tr>
        <w:tc>
          <w:p>
            <w:r>
              <w:t>命名驗證</w:t>
            </w:r>
          </w:p>
        </w:tc>
        <w:tc>
          <w:p>
            <w:r>
              <w:t>Conftest, OPA Rego</w:t>
            </w:r>
          </w:p>
        </w:tc>
        <w:tc>
          <w:p>
            <w:r/>
            <w:r>
              <w:rPr>
                <w:rStyle w:val="Code"/>
              </w:rPr>
              <w:t>conftest test manifests/</w:t>
            </w:r>
            <w:r>
              <w:t>、​Rego policy</w:t>
            </w:r>
          </w:p>
        </w:tc>
        <w:tc>
          <w:p>
            <w:r>
              <w:t>支援多格式</w:t>
            </w:r>
          </w:p>
        </w:tc>
      </w:tr>
      <w:tr>
        <w:tc>
          <w:p>
            <w:r>
              <w:t>K8s合規掃描</w:t>
            </w:r>
          </w:p>
        </w:tc>
        <w:tc>
          <w:p>
            <w:r>
              <w:t>Kube Bench, Checkov</w:t>
            </w:r>
          </w:p>
        </w:tc>
        <w:tc>
          <w:p>
            <w:r/>
            <w:r>
              <w:rPr>
                <w:rStyle w:val="Code"/>
              </w:rPr>
              <w:t>kube-bench</w:t>
            </w:r>
            <w:r>
              <w:t xml:space="preserve">, </w:t>
            </w:r>
            <w:r>
              <w:rPr>
                <w:rStyle w:val="Code"/>
              </w:rPr>
              <w:t>checkov</w:t>
            </w:r>
            <w:r/>
          </w:p>
        </w:tc>
        <w:tc>
          <w:p>
            <w:r>
              <w:t>安全+合規</w:t>
            </w:r>
          </w:p>
        </w:tc>
      </w:tr>
      <w:tr>
        <w:tc>
          <w:p>
            <w:r>
              <w:t>自動化標註</w:t>
            </w:r>
          </w:p>
        </w:tc>
        <w:tc>
          <w:p>
            <w:r>
              <w:t>k8s-auto-labeller</w:t>
            </w:r>
          </w:p>
        </w:tc>
        <w:tc>
          <w:p>
            <w:r>
              <w:t>deployment.yaml, labels/namespace/</w:t>
            </w:r>
          </w:p>
        </w:tc>
        <w:tc>
          <w:p>
            <w:r>
              <w:t>cluster-wide</w:t>
            </w:r>
          </w:p>
        </w:tc>
      </w:tr>
      <w:tr>
        <w:tc>
          <w:p>
            <w:r>
              <w:t>建議命名器</w:t>
            </w:r>
          </w:p>
        </w:tc>
        <w:tc>
          <w:p>
            <w:r>
              <w:t>輕量AI/規則服務</w:t>
            </w:r>
          </w:p>
        </w:tc>
        <w:tc>
          <w:p>
            <w:r>
              <w:t>API/CLI Command</w:t>
            </w:r>
          </w:p>
        </w:tc>
        <w:tc>
          <w:p>
            <w:r>
              <w:t>遵承組織規範</w:t>
            </w:r>
          </w:p>
        </w:tc>
      </w:tr>
      <w:tr>
        <w:tc>
          <w:p>
            <w:r>
              <w:t>合規報告生成</w:t>
            </w:r>
          </w:p>
        </w:tc>
        <w:tc>
          <w:p>
            <w:r>
              <w:t>Makeform等/自定腳本</w:t>
            </w:r>
          </w:p>
        </w:tc>
        <w:tc>
          <w:p>
            <w:r>
              <w:t>yaml/csv/json 輸出</w:t>
            </w:r>
          </w:p>
        </w:tc>
        <w:tc>
          <w:p>
            <w:r>
              <w:t>支援API接口</w:t>
            </w:r>
          </w:p>
        </w:tc>
      </w:tr>
      <w:tr>
        <w:tc>
          <w:p>
            <w:r>
              <w:t>自動化修復</w:t>
            </w:r>
          </w:p>
        </w:tc>
        <w:tc>
          <w:p>
            <w:r>
              <w:t>Trend Micro Auto Remediate, Custom Script</w:t>
            </w:r>
          </w:p>
        </w:tc>
        <w:tc>
          <w:p>
            <w:r>
              <w:t>Python/shell playbook</w:t>
            </w:r>
          </w:p>
        </w:tc>
        <w:tc>
          <w:p>
            <w:r>
              <w:t>支援AWS/GCP</w:t>
            </w:r>
          </w:p>
        </w:tc>
      </w:tr>
      <w:tr>
        <w:tc>
          <w:p>
            <w:r>
              <w:t>監控告警</w:t>
            </w:r>
          </w:p>
        </w:tc>
        <w:tc>
          <w:p>
            <w:r>
              <w:t>Prometheus, Alertmanager, Grafana</w:t>
            </w:r>
          </w:p>
        </w:tc>
        <w:tc>
          <w:p>
            <w:r>
              <w:t>prometheus.yml, rules/</w:t>
            </w:r>
            <w:r>
              <w:t>*</w:t>
            </w:r>
            <w:r>
              <w:t>.yml, grafana dashboard.json</w:t>
            </w:r>
          </w:p>
        </w:tc>
        <w:tc>
          <w:p>
            <w:r>
              <w:t>多雲多資源</w:t>
            </w:r>
          </w:p>
        </w:tc>
      </w:tr>
      <w:tr>
        <w:tc>
          <w:p>
            <w:r>
              <w:t>審計與SLA</w:t>
            </w:r>
          </w:p>
        </w:tc>
        <w:tc>
          <w:p>
            <w:r>
              <w:t>DB audit table, ELK/Cloud Audit Logs</w:t>
            </w:r>
          </w:p>
        </w:tc>
        <w:tc>
          <w:p>
            <w:r>
              <w:t>select/query, dashboard</w:t>
            </w:r>
          </w:p>
        </w:tc>
        <w:tc>
          <w:p>
            <w:r>
              <w:t>稽核友善</w:t>
            </w:r>
          </w:p>
        </w:tc>
      </w:tr>
    </w:tbl>
    <w:p>
      <w:r>
        <w:pict>
          <v:rect xmlns:o="urn:schemas-microsoft-com:office:office" xmlns:v="urn:schemas-microsoft-com:vml" style="height:.05pt;mso-width-percent:1000" o:hr="true" o:hrstd="true" o:hralign="center" fillcolor="A0A0A0" stroked="false"/>
        </w:pict>
      </w:r>
    </w:p>
    <w:p>
      <w:pPr>
        <w:pStyle w:val="heading2"/>
      </w:pPr>
      <w:r>
        <w:t>七、​進階落地建議與常見挑戰</w:t>
      </w:r>
    </w:p>
    <w:p>
      <w:pPr>
        <w:pStyle w:val="heading3"/>
      </w:pPr>
      <w:r>
        <w:t>7.1 聯動政策治理與細節推進</w:t>
      </w:r>
    </w:p>
    <w:p>
      <w:pPr>
        <w:pStyle w:val="ListParagraph"/>
        <w:numPr>
          <w:ilvl w:val="0"/>
          <w:numId w:val="25"/>
        </w:numPr>
      </w:pPr>
      <w:r>
        <w:t>首重 policy-as-code 實踐與 IaC 監控深度整合,​建議每條命名政策打包作為 CI/CD 不可變組件。​</w:t>
      </w:r>
    </w:p>
    <w:p>
      <w:pPr>
        <w:pStyle w:val="ListParagraph"/>
        <w:numPr>
          <w:ilvl w:val="0"/>
          <w:numId w:val="25"/>
        </w:numPr>
      </w:pPr>
      <w:r>
        <w:t>組織內部推廣需結合教育訓練、​明確稽核責任、​與績效掛鈎,​提升全員合規自覺。​</w:t>
      </w:r>
    </w:p>
    <w:p>
      <w:pPr>
        <w:pStyle w:val="ListParagraph"/>
        <w:numPr>
          <w:ilvl w:val="0"/>
          <w:numId w:val="25"/>
        </w:numPr>
      </w:pPr>
      <w:r>
        <w:t>高頻變更環境下,​命名準則落地應設有「過渡兼容期」​與白名單管理,​並對漏洞有清晰補救 channel。​</w:t>
      </w:r>
    </w:p>
    <w:p>
      <w:pPr>
        <w:pStyle w:val="heading3"/>
      </w:pPr>
      <w:r>
        <w:t>7.2 跨部門與資料同步問題</w:t>
      </w:r>
    </w:p>
    <w:p>
      <w:pPr>
        <w:pStyle w:val="ListParagraph"/>
        <w:numPr>
          <w:ilvl w:val="0"/>
          <w:numId w:val="26"/>
        </w:numPr>
      </w:pPr>
      <w:r>
        <w:t>多環境部署需同步命名規則版本與升級,​就地比對與資料同步機制難以避免(如測試區與生產區資產名稱差異)​。​</w:t>
      </w:r>
    </w:p>
    <w:p>
      <w:pPr>
        <w:pStyle w:val="ListParagraph"/>
        <w:numPr>
          <w:ilvl w:val="0"/>
          <w:numId w:val="26"/>
        </w:numPr>
      </w:pPr>
      <w:r>
        <w:t>建議同步推動資產管理系統與命名規則 API 化,​定期 reconcile,​降低治理「甩鍋」​與殭屍資產。​</w:t>
      </w:r>
    </w:p>
    <w:p>
      <w:pPr>
        <w:pStyle w:val="heading3"/>
      </w:pPr>
      <w:r>
        <w:t>7.3 實地驗收與稽核友好</w:t>
      </w:r>
    </w:p>
    <w:p>
      <w:pPr>
        <w:pStyle w:val="ListParagraph"/>
        <w:numPr>
          <w:ilvl w:val="0"/>
          <w:numId w:val="27"/>
        </w:numPr>
      </w:pPr>
      <w:r>
        <w:t>每次大型資產遷移必須執行事前演練與「假導斷」​「假異常」​測試,​稽核必須可重現每一步異動。​</w:t>
      </w:r>
    </w:p>
    <w:p>
      <w:pPr>
        <w:pStyle w:val="ListParagraph"/>
        <w:numPr>
          <w:ilvl w:val="0"/>
          <w:numId w:val="27"/>
        </w:numPr>
      </w:pPr>
      <w:r>
        <w:t>稽核報表避免一刀切 template,​實作應能 flexibly drill down 到單筆記錄,​支援查詢、​聚合與 SLA 輕鬆分群。​</w:t>
      </w:r>
    </w:p>
    <w:p>
      <w:r>
        <w:pict>
          <v:rect xmlns:o="urn:schemas-microsoft-com:office:office" xmlns:v="urn:schemas-microsoft-com:vml" style="height:.05pt;mso-width-percent:1000" o:hr="true" o:hrstd="true" o:hralign="center" fillcolor="A0A0A0" stroked="false"/>
        </w:pict>
      </w:r>
    </w:p>
    <w:p>
      <w:pPr>
        <w:pStyle w:val="heading2"/>
      </w:pPr>
      <w:r>
        <w:t>結論</w:t>
      </w:r>
    </w:p>
    <w:p>
      <w:r>
        <w:t>命名治理的成功,​不僅僅是文件標準的宣告,​更須落實在全鏈路運維與遷移的每一個技術環節。​本報告整合前述治理規範與執行模板,​提出從可觀測性(觀測指標設計、​動態告警、​實時視覺化)​、​自動合規驗證(CI/CD/cluster scanner)​、​自動修復建議(auto-label、​naming suggester、​playbook)​、​遷移操作(discovery→計畫→模擬→分階段重命名→切換→回滾)​、​到稽核與 SLA 監控的全流程技術架構與實操經驗,​並輔以腳本、​YAML、​API等範式,​為企業資產治理數智升級提供了透明可驗證的落地指南。​</w:t>
      </w:r>
    </w:p>
    <w:p>
      <w:r>
        <w:t>未來隨著多雲、​AI、​複合型基礎架構持續演進,​【命名治理標準與政策即程式碼】、​【自動化修復與領先預警】、​【稽核風控全流程可追溯】的策略必將植根於企業核心運維文化之中,​成為合規、​安全與敏捷的數位基石。​</w:t>
      </w:r>
    </w:p>
    <w:p>
      <w:r>
        <w:pict>
          <v:rect xmlns:o="urn:schemas-microsoft-com:office:office" xmlns:v="urn:schemas-microsoft-com:vml" style="height:.05pt;mso-width-percent:1000" o:hr="true" o:hrstd="true" o:hralign="center" fillcolor="A0A0A0" stroked="false"/>
        </w:pict>
      </w:r>
    </w:p>
    <w:p>
      <w:pPr>
        <w:pStyle w:val="heading1"/>
      </w:pPr>
      <w:r>
        <w:t>References (26)</w:t>
      </w:r>
    </w:p>
    <w:p>
      <w:r>
        <w:t xml:space="preserve">1. </w:t>
      </w:r>
      <w:r>
        <w:rPr>
          <w:i/>
        </w:rPr>
        <w:t xml:space="preserve">Grafana仪表盘设计 </w:t>
      </w:r>
      <w:r>
        <w:t xml:space="preserve">. </w:t>
      </w:r>
      <w:hyperlink xmlns:r="http://schemas.openxmlformats.org/officeDocument/2006/relationships" r:id="R40242be6eaf54b7c">
        <w:r>
          <w:t>https://www.echo.cool/docs/observability/grafana/grafana-dashboard-design/</w:t>
        </w:r>
      </w:hyperlink>
    </w:p>
    <w:p>
      <w:r>
        <w:t xml:space="preserve">2. </w:t>
      </w:r>
      <w:r>
        <w:rPr>
          <w:i/>
        </w:rPr>
        <w:t>使用 CI/CD 实现持续测试自动化:​CI/CD 如何彻底改变自动化测试 - 知乎</w:t>
      </w:r>
      <w:r>
        <w:t xml:space="preserve">. </w:t>
      </w:r>
      <w:hyperlink xmlns:r="http://schemas.openxmlformats.org/officeDocument/2006/relationships" r:id="Raccec48eea244806">
        <w:r>
          <w:t>https://zhuanlan.zhihu.com/p/491630021</w:t>
        </w:r>
      </w:hyperlink>
    </w:p>
    <w:p>
      <w:r>
        <w:t xml:space="preserve">3. </w:t>
      </w:r>
      <w:r>
        <w:rPr>
          <w:i/>
        </w:rPr>
        <w:t>2025年十大优秀 Kubernetes 容器安全扫描工具-51CTO.COM</w:t>
      </w:r>
      <w:r>
        <w:t xml:space="preserve">. </w:t>
      </w:r>
      <w:hyperlink xmlns:r="http://schemas.openxmlformats.org/officeDocument/2006/relationships" r:id="Rb0165a7ec8d547d0">
        <w:r>
          <w:t>https://www.51cto.com/article/812732.html</w:t>
        </w:r>
      </w:hyperlink>
    </w:p>
    <w:p>
      <w:r>
        <w:t xml:space="preserve">4. </w:t>
      </w:r>
      <w:r>
        <w:rPr>
          <w:i/>
        </w:rPr>
        <w:t>AI 協助文件處理與流程自動化:​合約審查、​報表生成全攻略,​提升效率必學!​ - 爵鼎企業顧問</w:t>
      </w:r>
      <w:r>
        <w:t xml:space="preserve">. </w:t>
      </w:r>
      <w:hyperlink xmlns:r="http://schemas.openxmlformats.org/officeDocument/2006/relationships" r:id="R17319d1eba794741">
        <w:r>
          <w:t>https://ctlm.com.tw/ai%E5%8D%94%E5%8A%A9%E6%96%87%E4%BB%B6%E8%99%95%E7%90%86%E8%88%87%E6%B5%81%E7%A8%8B%E8%87%AA%E5%8B%95%E5%8C%96/</w:t>
        </w:r>
      </w:hyperlink>
    </w:p>
    <w:p>
      <w:r>
        <w:t xml:space="preserve">5. </w:t>
      </w:r>
      <w:r>
        <w:rPr>
          <w:i/>
        </w:rPr>
        <w:t>[</w:t>
      </w:r>
      <w:r>
        <w:t xml:space="preserve">. </w:t>
      </w:r>
      <w:hyperlink xmlns:r="http://schemas.openxmlformats.org/officeDocument/2006/relationships" r:id="R731e2efbdb0a4d7a">
        <w:r>
          <w:t>https://ithelp.ithome.com.tw/articles/10194613</w:t>
        </w:r>
      </w:hyperlink>
    </w:p>
    <w:p>
      <w:r>
        <w:t xml:space="preserve">6. </w:t>
      </w:r>
      <w:r>
        <w:rPr>
          <w:i/>
        </w:rPr>
        <w:t>利用 AI 產品命名自動化釋放創造力</w:t>
      </w:r>
      <w:r>
        <w:t xml:space="preserve">. </w:t>
      </w:r>
      <w:hyperlink xmlns:r="http://schemas.openxmlformats.org/officeDocument/2006/relationships" r:id="R8fda6cece40647c3">
        <w:r>
          <w:t>https://vizologi.com/zh-TW/%E5%88%A9%E7%94%A8%E4%BA%BA%E5%B7%A5%E6%99%BA%E6%85%A7%E7%94%A2%E5%93%81%E5%91%BD%E5%90%8D%E8%87%AA%E5%8B%95%E5%8C%96%E9%87%8B%E6%94%BE%E5%89%B5%E9%80%A0%E5%8A%9B/</w:t>
        </w:r>
      </w:hyperlink>
    </w:p>
    <w:p>
      <w:r>
        <w:t xml:space="preserve">7. </w:t>
      </w:r>
      <w:r>
        <w:rPr>
          <w:i/>
        </w:rPr>
        <w:t xml:space="preserve">自動修復 </w:t>
      </w:r>
      <w:r>
        <w:t xml:space="preserve">. </w:t>
      </w:r>
      <w:hyperlink xmlns:r="http://schemas.openxmlformats.org/officeDocument/2006/relationships" r:id="R0a51225670ab4580">
        <w:r>
          <w:t>https://docs.trendmicro.com/zh-tw/documentation/article/trend-vision-one-__auto-remediation-2</w:t>
        </w:r>
      </w:hyperlink>
    </w:p>
    <w:p>
      <w:r>
        <w:t xml:space="preserve">8. </w:t>
      </w:r>
      <w:r>
        <w:rPr>
          <w:i/>
        </w:rPr>
        <w:t>网络拓扑自动发现工具(The Dude 6.44.3)​安装配置与使用简介 - CSDN博客</w:t>
      </w:r>
      <w:r>
        <w:t xml:space="preserve">. </w:t>
      </w:r>
      <w:hyperlink xmlns:r="http://schemas.openxmlformats.org/officeDocument/2006/relationships" r:id="Rf35e1833a62844fe">
        <w:r>
          <w:t>https://blog.csdn.net/abcdu1/article/details/90297758</w:t>
        </w:r>
      </w:hyperlink>
    </w:p>
    <w:p>
      <w:r>
        <w:t xml:space="preserve">9. </w:t>
      </w:r>
      <w:r>
        <w:rPr>
          <w:i/>
        </w:rPr>
        <w:t>关于迁移策略 - AWS 规范性指导</w:t>
      </w:r>
      <w:r>
        <w:t xml:space="preserve">. </w:t>
      </w:r>
      <w:hyperlink xmlns:r="http://schemas.openxmlformats.org/officeDocument/2006/relationships" r:id="R05d9241eb726496e">
        <w:r>
          <w:t>https://docs.aws.amazon.com/zh_cn/prescriptive-guidance/latest/large-migration-guide/migration-strategies.html</w:t>
        </w:r>
      </w:hyperlink>
    </w:p>
    <w:p>
      <w:r>
        <w:t xml:space="preserve">10. </w:t>
      </w:r>
      <w:r>
        <w:rPr>
          <w:i/>
        </w:rPr>
        <w:t>GORM 自动迁移与命名策略_gorm namingstrategy-CSDN博客</w:t>
      </w:r>
      <w:r>
        <w:t xml:space="preserve">. </w:t>
      </w:r>
      <w:hyperlink xmlns:r="http://schemas.openxmlformats.org/officeDocument/2006/relationships" r:id="Rb070594ea3c94fe4">
        <w:r>
          <w:t>https://blog.csdn.net/qq_29752857/article/details/141093854</w:t>
        </w:r>
      </w:hyperlink>
    </w:p>
    <w:p>
      <w:r>
        <w:t xml:space="preserve">11. </w:t>
      </w:r>
      <w:r>
        <w:rPr>
          <w:i/>
        </w:rPr>
        <w:t xml:space="preserve">直接转换在存储迁移服务中的工作原理 </w:t>
      </w:r>
      <w:r>
        <w:t xml:space="preserve">. </w:t>
      </w:r>
      <w:hyperlink xmlns:r="http://schemas.openxmlformats.org/officeDocument/2006/relationships" r:id="R27137f3d1eae41c5">
        <w:r>
          <w:t>https://learn.microsoft.com/zh-cn/windows-server/storage/storage-migration-service/cutover</w:t>
        </w:r>
      </w:hyperlink>
    </w:p>
    <w:p>
      <w:r>
        <w:t xml:space="preserve">12. </w:t>
      </w:r>
      <w:r>
        <w:rPr>
          <w:i/>
        </w:rPr>
        <w:t>切换运行手册模板 - AWS 规范性指导</w:t>
      </w:r>
      <w:r>
        <w:t xml:space="preserve">. </w:t>
      </w:r>
      <w:hyperlink xmlns:r="http://schemas.openxmlformats.org/officeDocument/2006/relationships" r:id="Rac60ee5b3ef84513">
        <w:r>
          <w:t>https://docs.aws.amazon.com/zh_cn/prescriptive-guidance/latest/cutover-runbook/cutover-runbook-template.html</w:t>
        </w:r>
      </w:hyperlink>
    </w:p>
    <w:p>
      <w:r>
        <w:t xml:space="preserve">13. </w:t>
      </w:r>
      <w:r>
        <w:rPr>
          <w:i/>
        </w:rPr>
        <w:t>配置阶段自动回滚 - AWS CodePipeline</w:t>
      </w:r>
      <w:r>
        <w:t xml:space="preserve">. </w:t>
      </w:r>
      <w:hyperlink xmlns:r="http://schemas.openxmlformats.org/officeDocument/2006/relationships" r:id="Rb9814dd36913466b">
        <w:r>
          <w:t>https://docs.aws.amazon.com/zh_cn/codepipeline/latest/userguide/stage-rollback-auto.html</w:t>
        </w:r>
      </w:hyperlink>
    </w:p>
    <w:p>
      <w:r>
        <w:t xml:space="preserve">14. </w:t>
      </w:r>
      <w:r>
        <w:rPr>
          <w:i/>
        </w:rPr>
        <w:t xml:space="preserve">审计追踪(Audit Trail)​ </w:t>
      </w:r>
      <w:r>
        <w:t xml:space="preserve">. </w:t>
      </w:r>
      <w:hyperlink xmlns:r="http://schemas.openxmlformats.org/officeDocument/2006/relationships" r:id="R86db5a18e2be4040">
        <w:r>
          <w:t>https://docs.databend.cn/guides/security/audit-trail/</w:t>
        </w:r>
      </w:hyperlink>
    </w:p>
    <w:p>
      <w:r>
        <w:t xml:space="preserve">15. </w:t>
      </w:r>
      <w:r>
        <w:rPr>
          <w:i/>
        </w:rPr>
        <w:t>Day04 - 服務級別協議 Service Level Agreement - iT 邦幫忙</w:t>
      </w:r>
      <w:r>
        <w:t xml:space="preserve">. </w:t>
      </w:r>
      <w:hyperlink xmlns:r="http://schemas.openxmlformats.org/officeDocument/2006/relationships" r:id="R14395d4cd9874251">
        <w:r>
          <w:t>https://ithelp.ithome.com.tw/articles/10322154</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57d7b6fd785f4d06" /><Relationship Type="http://schemas.openxmlformats.org/officeDocument/2006/relationships/settings" Target="/word/settings.xml" Id="R46e28a0f85554c83" /><Relationship Type="http://schemas.openxmlformats.org/officeDocument/2006/relationships/styles" Target="/word/styles.xml" Id="R971c2b3bba21444f" /><Relationship Type="http://schemas.openxmlformats.org/officeDocument/2006/relationships/hyperlink" Target="https://www.echo.cool/docs/observability/grafana/grafana-dashboard-design/" TargetMode="External" Id="R40242be6eaf54b7c" /><Relationship Type="http://schemas.openxmlformats.org/officeDocument/2006/relationships/hyperlink" Target="https://zhuanlan.zhihu.com/p/491630021" TargetMode="External" Id="Raccec48eea244806" /><Relationship Type="http://schemas.openxmlformats.org/officeDocument/2006/relationships/hyperlink" Target="https://www.51cto.com/article/812732.html" TargetMode="External" Id="Rb0165a7ec8d547d0" /><Relationship Type="http://schemas.openxmlformats.org/officeDocument/2006/relationships/hyperlink" Target="https://ctlm.com.tw/ai%E5%8D%94%E5%8A%A9%E6%96%87%E4%BB%B6%E8%99%95%E7%90%86%E8%88%87%E6%B5%81%E7%A8%8B%E8%87%AA%E5%8B%95%E5%8C%96/" TargetMode="External" Id="R17319d1eba794741" /><Relationship Type="http://schemas.openxmlformats.org/officeDocument/2006/relationships/hyperlink" Target="https://ithelp.ithome.com.tw/articles/10194613" TargetMode="External" Id="R731e2efbdb0a4d7a" /><Relationship Type="http://schemas.openxmlformats.org/officeDocument/2006/relationships/hyperlink" Target="https://vizologi.com/zh-TW/%E5%88%A9%E7%94%A8%E4%BA%BA%E5%B7%A5%E6%99%BA%E6%85%A7%E7%94%A2%E5%93%81%E5%91%BD%E5%90%8D%E8%87%AA%E5%8B%95%E5%8C%96%E9%87%8B%E6%94%BE%E5%89%B5%E9%80%A0%E5%8A%9B/" TargetMode="External" Id="R8fda6cece40647c3" /><Relationship Type="http://schemas.openxmlformats.org/officeDocument/2006/relationships/hyperlink" Target="https://docs.trendmicro.com/zh-tw/documentation/article/trend-vision-one-__auto-remediation-2" TargetMode="External" Id="R0a51225670ab4580" /><Relationship Type="http://schemas.openxmlformats.org/officeDocument/2006/relationships/hyperlink" Target="https://blog.csdn.net/abcdu1/article/details/90297758" TargetMode="External" Id="Rf35e1833a62844fe" /><Relationship Type="http://schemas.openxmlformats.org/officeDocument/2006/relationships/hyperlink" Target="https://docs.aws.amazon.com/zh_cn/prescriptive-guidance/latest/large-migration-guide/migration-strategies.html" TargetMode="External" Id="R05d9241eb726496e" /><Relationship Type="http://schemas.openxmlformats.org/officeDocument/2006/relationships/hyperlink" Target="https://blog.csdn.net/qq_29752857/article/details/141093854" TargetMode="External" Id="Rb070594ea3c94fe4" /><Relationship Type="http://schemas.openxmlformats.org/officeDocument/2006/relationships/hyperlink" Target="https://learn.microsoft.com/zh-cn/windows-server/storage/storage-migration-service/cutover" TargetMode="External" Id="R27137f3d1eae41c5" /><Relationship Type="http://schemas.openxmlformats.org/officeDocument/2006/relationships/hyperlink" Target="https://docs.aws.amazon.com/zh_cn/prescriptive-guidance/latest/cutover-runbook/cutover-runbook-template.html" TargetMode="External" Id="Rac60ee5b3ef84513" /><Relationship Type="http://schemas.openxmlformats.org/officeDocument/2006/relationships/hyperlink" Target="https://docs.aws.amazon.com/zh_cn/codepipeline/latest/userguide/stage-rollback-auto.html" TargetMode="External" Id="Rb9814dd36913466b" /><Relationship Type="http://schemas.openxmlformats.org/officeDocument/2006/relationships/hyperlink" Target="https://docs.databend.cn/guides/security/audit-trail/" TargetMode="External" Id="R86db5a18e2be4040" /><Relationship Type="http://schemas.openxmlformats.org/officeDocument/2006/relationships/hyperlink" Target="https://ithelp.ithome.com.tw/articles/10322154" TargetMode="External" Id="R14395d4cd9874251"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