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Arial" w:hAnsi="Arial" w:cs="Arial"/>
          <w:color w:themeColor="accent2" w:val="ED7D31"/>
          <w:sz w:val="24"/>
          <w:szCs w:val="24"/>
        </w:rPr>
      </w:pPr>
      <w:r>
        <w:rPr>
          <w:rFonts w:cs="Arial" w:ascii="Arial" w:hAnsi="Arial"/>
          <w:color w:themeColor="accent2" w:val="ED7D31"/>
          <w:sz w:val="24"/>
          <w:szCs w:val="24"/>
        </w:rPr>
      </w:r>
    </w:p>
    <w:p>
      <w:pPr>
        <w:pStyle w:val="Normal"/>
        <w:jc w:val="center"/>
        <w:rPr>
          <w:sz w:val="28"/>
          <w:szCs w:val="28"/>
        </w:rPr>
      </w:pPr>
      <w:r>
        <w:drawing>
          <wp:anchor behindDoc="0" distT="114300" distB="114300" distL="114300" distR="114300" simplePos="0" locked="0" layoutInCell="0" allowOverlap="1" relativeHeight="2">
            <wp:simplePos x="0" y="0"/>
            <wp:positionH relativeFrom="column">
              <wp:posOffset>-251460</wp:posOffset>
            </wp:positionH>
            <wp:positionV relativeFrom="paragraph">
              <wp:posOffset>152400</wp:posOffset>
            </wp:positionV>
            <wp:extent cx="1238250" cy="1390650"/>
            <wp:effectExtent l="0" t="0" r="0" b="0"/>
            <wp:wrapSquare wrapText="bothSides"/>
            <wp:docPr id="1" name="Imagen 180626115" descr="Escudo de la Facultad de Ingeni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0626115" descr="Escudo de la Facultad de Ingeniería"/>
                    <pic:cNvPicPr>
                      <a:picLocks noChangeAspect="1" noChangeArrowheads="1"/>
                    </pic:cNvPicPr>
                  </pic:nvPicPr>
                  <pic:blipFill>
                    <a:blip r:embed="rId2"/>
                    <a:stretch>
                      <a:fillRect/>
                    </a:stretch>
                  </pic:blipFill>
                  <pic:spPr bwMode="auto">
                    <a:xfrm>
                      <a:off x="0" y="0"/>
                      <a:ext cx="1238250" cy="1390650"/>
                    </a:xfrm>
                    <a:prstGeom prst="rect">
                      <a:avLst/>
                    </a:prstGeom>
                    <a:noFill/>
                  </pic:spPr>
                </pic:pic>
              </a:graphicData>
            </a:graphic>
          </wp:anchor>
        </w:drawing>
        <w:drawing>
          <wp:anchor behindDoc="0" distT="114300" distB="114300" distL="114300" distR="114300" simplePos="0" locked="0" layoutInCell="0" allowOverlap="1" relativeHeight="3">
            <wp:simplePos x="0" y="0"/>
            <wp:positionH relativeFrom="column">
              <wp:posOffset>5029200</wp:posOffset>
            </wp:positionH>
            <wp:positionV relativeFrom="paragraph">
              <wp:posOffset>314325</wp:posOffset>
            </wp:positionV>
            <wp:extent cx="1285875" cy="1228725"/>
            <wp:effectExtent l="0" t="0" r="0" b="0"/>
            <wp:wrapSquare wrapText="bothSides"/>
            <wp:docPr id="2" name="Imagen 1133470571" descr="Escudo de la U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33470571" descr="Escudo de la UNAM"/>
                    <pic:cNvPicPr>
                      <a:picLocks noChangeAspect="1" noChangeArrowheads="1"/>
                    </pic:cNvPicPr>
                  </pic:nvPicPr>
                  <pic:blipFill>
                    <a:blip r:embed="rId3"/>
                    <a:stretch>
                      <a:fillRect/>
                    </a:stretch>
                  </pic:blipFill>
                  <pic:spPr bwMode="auto">
                    <a:xfrm>
                      <a:off x="0" y="0"/>
                      <a:ext cx="1285875" cy="1228725"/>
                    </a:xfrm>
                    <a:prstGeom prst="rect">
                      <a:avLst/>
                    </a:prstGeom>
                    <a:noFill/>
                  </pic:spPr>
                </pic:pic>
              </a:graphicData>
            </a:graphic>
          </wp:anchor>
        </w:drawing>
      </w:r>
      <w:r>
        <w:rPr>
          <w:sz w:val="28"/>
          <w:szCs w:val="28"/>
        </w:rPr>
        <w:t>UNIVERSIDAD NACIONAL AUTÓNOMA DE MÉXICO</w:t>
      </w:r>
    </w:p>
    <w:p>
      <w:pPr>
        <w:pStyle w:val="Normal"/>
        <w:jc w:val="center"/>
        <w:rPr>
          <w:sz w:val="28"/>
          <w:szCs w:val="28"/>
        </w:rPr>
      </w:pPr>
      <w:r>
        <w:rPr>
          <w:sz w:val="28"/>
          <w:szCs w:val="28"/>
        </w:rPr>
        <w:t>FACULTAD DE INGENIERÍA</w:t>
      </w:r>
    </w:p>
    <w:p>
      <w:pPr>
        <w:pStyle w:val="Normal"/>
        <w:jc w:val="center"/>
        <w:rPr>
          <w:sz w:val="28"/>
          <w:szCs w:val="28"/>
        </w:rPr>
      </w:pPr>
      <w:r>
        <w:rPr>
          <w:sz w:val="28"/>
          <w:szCs w:val="28"/>
        </w:rPr>
        <w:t>DIVISIÓN DE INGENIERÍA ELÉCTRICA</w:t>
      </w:r>
    </w:p>
    <w:p>
      <w:pPr>
        <w:pStyle w:val="Normal"/>
        <w:jc w:val="center"/>
        <w:rPr>
          <w:sz w:val="28"/>
          <w:szCs w:val="28"/>
        </w:rPr>
      </w:pPr>
      <w:r>
        <w:rPr>
          <w:sz w:val="28"/>
          <w:szCs w:val="28"/>
        </w:rPr>
        <w:t>INGENIERÍA EN COMPUTACIÓN</w:t>
      </w:r>
    </w:p>
    <w:p>
      <w:pPr>
        <w:pStyle w:val="Normal"/>
        <w:jc w:val="center"/>
        <w:rPr>
          <w:sz w:val="28"/>
          <w:szCs w:val="28"/>
        </w:rPr>
      </w:pPr>
      <w:r>
        <w:rPr>
          <w:sz w:val="28"/>
          <w:szCs w:val="28"/>
        </w:rPr>
        <w:t>LABORATORIO DE COMPUTACIÓN GRÁFICA e INTERACCIÓN HUMANO COMPUTADORA</w:t>
      </w:r>
    </w:p>
    <w:p>
      <w:pPr>
        <w:pStyle w:val="NormalWeb"/>
        <w:spacing w:before="280" w:after="280"/>
        <w:jc w:val="right"/>
        <w:rPr>
          <w:b/>
          <w:bCs/>
          <w:color w:val="000000"/>
          <w:sz w:val="36"/>
          <w:szCs w:val="36"/>
        </w:rPr>
      </w:pPr>
      <w:r>
        <w:rPr>
          <w:b/>
          <w:bCs/>
          <w:color w:val="000000"/>
          <w:sz w:val="36"/>
          <w:szCs w:val="36"/>
        </w:rPr>
      </w:r>
    </w:p>
    <w:p>
      <w:pPr>
        <w:pStyle w:val="NormalWeb"/>
        <w:spacing w:before="280" w:after="280"/>
        <w:jc w:val="right"/>
        <w:rPr>
          <w:color w:val="000000"/>
          <w:sz w:val="36"/>
          <w:szCs w:val="36"/>
        </w:rPr>
      </w:pPr>
      <w:r>
        <w:rPr>
          <w:b/>
          <w:bCs/>
          <w:color w:val="000000"/>
          <w:sz w:val="36"/>
          <w:szCs w:val="36"/>
        </w:rPr>
        <w:t>REPORTE DE PRÁCTICA Nº</w:t>
      </w:r>
      <w:r>
        <w:rPr>
          <w:color w:val="000000"/>
          <w:sz w:val="36"/>
          <w:szCs w:val="36"/>
        </w:rPr>
        <w:t xml:space="preserve"> 03</w:t>
      </w:r>
    </w:p>
    <w:p>
      <w:pPr>
        <w:pStyle w:val="NormalWeb"/>
        <w:spacing w:before="280" w:after="280"/>
        <w:jc w:val="right"/>
        <w:rPr>
          <w:color w:val="000000"/>
          <w:sz w:val="36"/>
          <w:szCs w:val="36"/>
        </w:rPr>
      </w:pPr>
      <w:r>
        <w:rPr>
          <w:color w:val="000000"/>
          <w:sz w:val="36"/>
          <w:szCs w:val="36"/>
        </w:rPr>
      </w:r>
    </w:p>
    <w:p>
      <w:pPr>
        <w:pStyle w:val="NormalWeb"/>
        <w:spacing w:lineRule="auto" w:line="360" w:before="280" w:after="280"/>
        <w:rPr>
          <w:b/>
          <w:bCs/>
          <w:color w:val="000000"/>
          <w:sz w:val="32"/>
          <w:szCs w:val="32"/>
        </w:rPr>
      </w:pPr>
      <w:r>
        <w:rPr>
          <w:b/>
          <w:bCs/>
          <w:color w:val="000000"/>
          <w:sz w:val="32"/>
          <w:szCs w:val="32"/>
        </w:rPr>
        <w:t xml:space="preserve">NOMBRE COMPLETO: </w:t>
      </w:r>
      <w:r>
        <w:rPr>
          <w:color w:val="000000"/>
          <w:sz w:val="32"/>
          <w:szCs w:val="32"/>
        </w:rPr>
        <w:t>Alan Rogelio Barrientos Ramírez</w:t>
      </w:r>
      <w:r>
        <w:rPr>
          <w:b/>
          <w:bCs/>
          <w:color w:val="000000"/>
          <w:sz w:val="32"/>
          <w:szCs w:val="32"/>
        </w:rPr>
        <w:t xml:space="preserve"> </w:t>
      </w:r>
    </w:p>
    <w:p>
      <w:pPr>
        <w:pStyle w:val="Normal"/>
        <w:spacing w:lineRule="auto" w:line="360"/>
        <w:rPr>
          <w:rFonts w:ascii="Times New Roman" w:hAnsi="Times New Roman" w:cs="Times New Roman"/>
          <w:b/>
          <w:bCs/>
          <w:sz w:val="32"/>
          <w:szCs w:val="32"/>
        </w:rPr>
      </w:pPr>
      <w:r>
        <w:rPr>
          <w:rFonts w:cs="Times New Roman" w:ascii="Times New Roman" w:hAnsi="Times New Roman"/>
          <w:b/>
          <w:bCs/>
          <w:color w:val="000000"/>
          <w:sz w:val="32"/>
          <w:szCs w:val="32"/>
        </w:rPr>
        <w:t xml:space="preserve">Nº de Cuenta: </w:t>
      </w:r>
      <w:r>
        <w:rPr>
          <w:rFonts w:cs="Times New Roman" w:ascii="Times New Roman" w:hAnsi="Times New Roman"/>
          <w:color w:val="000000"/>
          <w:sz w:val="32"/>
          <w:szCs w:val="32"/>
        </w:rPr>
        <w:t>422022019</w:t>
      </w:r>
    </w:p>
    <w:p>
      <w:pPr>
        <w:pStyle w:val="Normal"/>
        <w:spacing w:lineRule="auto" w:line="360"/>
        <w:rPr>
          <w:rFonts w:ascii="Times New Roman" w:hAnsi="Times New Roman" w:cs="Times New Roman"/>
          <w:b/>
          <w:bCs/>
          <w:sz w:val="32"/>
          <w:szCs w:val="32"/>
        </w:rPr>
      </w:pPr>
      <w:r>
        <w:rPr>
          <w:rFonts w:cs="Times New Roman" w:ascii="Times New Roman" w:hAnsi="Times New Roman"/>
          <w:b/>
          <w:bCs/>
          <w:sz w:val="32"/>
          <w:szCs w:val="32"/>
        </w:rPr>
        <w:t xml:space="preserve">GRUPO DE LABORATORIO: </w:t>
      </w:r>
      <w:r>
        <w:rPr>
          <w:rFonts w:cs="Times New Roman" w:ascii="Times New Roman" w:hAnsi="Times New Roman"/>
          <w:sz w:val="32"/>
          <w:szCs w:val="32"/>
        </w:rPr>
        <w:t>3</w:t>
      </w:r>
    </w:p>
    <w:p>
      <w:pPr>
        <w:pStyle w:val="Normal"/>
        <w:spacing w:lineRule="auto" w:line="360"/>
        <w:rPr>
          <w:rFonts w:ascii="Times New Roman" w:hAnsi="Times New Roman" w:cs="Times New Roman"/>
          <w:b/>
          <w:bCs/>
          <w:sz w:val="32"/>
          <w:szCs w:val="32"/>
        </w:rPr>
      </w:pPr>
      <w:r>
        <w:rPr>
          <w:rFonts w:cs="Times New Roman" w:ascii="Times New Roman" w:hAnsi="Times New Roman"/>
          <w:b/>
          <w:bCs/>
          <w:sz w:val="32"/>
          <w:szCs w:val="32"/>
        </w:rPr>
        <w:t>GRUPO DE TEORÍA: 6</w:t>
      </w:r>
    </w:p>
    <w:p>
      <w:pPr>
        <w:pStyle w:val="Normal"/>
        <w:spacing w:lineRule="auto" w:line="360"/>
        <w:rPr>
          <w:rFonts w:ascii="Times New Roman" w:hAnsi="Times New Roman" w:cs="Times New Roman"/>
          <w:b/>
          <w:bCs/>
          <w:sz w:val="32"/>
          <w:szCs w:val="32"/>
        </w:rPr>
      </w:pPr>
      <w:r>
        <w:rPr>
          <w:rFonts w:cs="Times New Roman" w:ascii="Times New Roman" w:hAnsi="Times New Roman"/>
          <w:b/>
          <w:bCs/>
          <w:sz w:val="32"/>
          <w:szCs w:val="32"/>
        </w:rPr>
        <w:t xml:space="preserve">SEMESTRE </w:t>
      </w:r>
      <w:r>
        <w:rPr>
          <w:rFonts w:cs="Times New Roman" w:ascii="Times New Roman" w:hAnsi="Times New Roman"/>
          <w:b/>
          <w:bCs/>
          <w:sz w:val="32"/>
          <w:szCs w:val="32"/>
        </w:rPr>
        <w:t>2027-1</w:t>
      </w:r>
    </w:p>
    <w:p>
      <w:pPr>
        <w:pStyle w:val="NormalWeb"/>
        <w:spacing w:lineRule="auto" w:line="360" w:before="280" w:after="280"/>
        <w:rPr>
          <w:b/>
          <w:bCs/>
          <w:color w:val="000000"/>
          <w:sz w:val="32"/>
          <w:szCs w:val="32"/>
        </w:rPr>
      </w:pPr>
      <w:r>
        <w:rPr>
          <w:b/>
          <w:bCs/>
          <w:color w:val="000000"/>
          <w:sz w:val="32"/>
          <w:szCs w:val="32"/>
        </w:rPr>
        <w:t xml:space="preserve">FECHA DE ENTREGA LÍMITE: 12/09/2026 </w:t>
      </w:r>
    </w:p>
    <w:p>
      <w:pPr>
        <w:pStyle w:val="NormalWeb"/>
        <w:spacing w:lineRule="auto" w:line="360" w:before="280" w:after="280"/>
        <w:jc w:val="right"/>
        <w:rPr>
          <w:b/>
          <w:bCs/>
          <w:color w:val="000000"/>
          <w:sz w:val="36"/>
          <w:szCs w:val="36"/>
        </w:rPr>
      </w:pPr>
      <w:r>
        <w:rPr>
          <w:b/>
          <w:bCs/>
          <w:color w:val="000000"/>
          <w:sz w:val="36"/>
          <w:szCs w:val="36"/>
        </w:rPr>
      </w:r>
    </w:p>
    <w:p>
      <w:pPr>
        <w:pStyle w:val="NormalWeb"/>
        <w:spacing w:lineRule="auto" w:line="360" w:before="280" w:after="280"/>
        <w:jc w:val="right"/>
        <w:rPr>
          <w:b/>
          <w:bCs/>
          <w:color w:val="000000"/>
          <w:sz w:val="36"/>
          <w:szCs w:val="36"/>
        </w:rPr>
      </w:pPr>
      <w:r>
        <w:rPr>
          <w:b/>
          <w:bCs/>
          <w:color w:val="000000"/>
          <w:sz w:val="36"/>
          <w:szCs w:val="36"/>
        </w:rPr>
      </w:r>
    </w:p>
    <w:p>
      <w:pPr>
        <w:pStyle w:val="NormalWeb"/>
        <w:spacing w:lineRule="auto" w:line="360" w:before="280" w:after="280"/>
        <w:jc w:val="right"/>
        <w:rPr>
          <w:b/>
          <w:bCs/>
          <w:color w:val="000000"/>
          <w:sz w:val="36"/>
          <w:szCs w:val="36"/>
        </w:rPr>
      </w:pPr>
      <w:r>
        <w:rPr>
          <w:b/>
          <w:bCs/>
          <w:color w:val="000000"/>
          <w:sz w:val="36"/>
          <w:szCs w:val="36"/>
        </w:rPr>
        <w:t>CALIFICACIÓN: ________</w:t>
      </w:r>
    </w:p>
    <w:p>
      <w:pPr>
        <w:pStyle w:val="Title"/>
        <w:pageBreakBefore/>
      </w:pPr>
      <w:r>
        <w:t>Cohete espacial y rombo de ocho pirámides</w:t>
      </w:r>
    </w:p>
    <w:p>
      <w:pPr>
        <w:pStyle w:val="ReporteEncabezado"/>
        <w:pageBreakBefore w:val="0"/>
      </w:pPr>
      <w:r>
        <w:t>1 Ejecución de los ejercicios</w:t>
      </w:r>
    </w:p>
    <w:p>
      <w:pPr>
        <w:pStyle w:val="ReporteCuerpo"/>
      </w:pPr>
      <w:r>
        <w:t>Partí de practica3.cpp y de los shaders proporcionados en clase. Los dos ejercicios están en un solo main: con la tecla 1 se muestra el cohete y con la 2 el rombo. La tecla 3 permite revisar una pirámide por separado. Conservé las teclas E, R y T para girar los objetos y la proyección perspectiva de 60° con la relación de aspecto del ejemplo.</w:t>
      </w:r>
    </w:p>
    <w:p>
      <w:pPr>
        <w:pStyle w:val="ReporteEncabezado"/>
        <w:pageBreakBefore w:val="0"/>
      </w:pPr>
      <w:r>
        <w:t>1.1 Cohete espacial</w:t>
      </w:r>
    </w:p>
    <w:p>
      <w:pPr>
        <w:pStyle w:val="ReporteCuerpo"/>
      </w:pPr>
      <w:r>
        <w:t>Para el cohete reutilicé las mallas del cilindro, cono, esfera, cubo y pirámide cuadrangular. El cuerpo central y los propulsores salen de cilindros; los conos forman las puntas, la tobera y las llamas. Las esferas forman la ventanilla, los cubos sujetan los propulsores y las pirámides funcionan como aletas.</w:t>
      </w:r>
    </w:p>
    <w:p>
      <w:pPr>
        <w:keepNext/>
        <w:spacing w:after="40"/>
        <w:jc w:val="center"/>
      </w:pPr>
      <w:r>
        <w:drawing>
          <wp:inline xmlns:a="http://schemas.openxmlformats.org/drawingml/2006/main">
            <wp:extent cx="4206240" cy="3154680"/>
            <wp:docPr id="3" name="Picture 3" descr="Figura 1. Ejecución del cohete construido con las cinco figuras solicitadas."/>
            <wp:cNvGraphicFramePr>
              <a:graphicFrameLocks noChangeAspect="1"/>
            </wp:cNvGraphicFramePr>
            <a:graphic>
              <a:graphicData uri="http://schemas.openxmlformats.org/drawingml/2006/picture">
                <pic:pic>
                  <pic:nvPicPr>
                    <pic:cNvPr id="0" name="Cohete - Vista 3D.png"/>
                    <pic:cNvPicPr/>
                  </pic:nvPicPr>
                  <pic:blipFill>
                    <a:blip r:embed="rId8"/>
                    <a:stretch>
                      <a:fillRect/>
                    </a:stretch>
                  </pic:blipFill>
                  <pic:spPr>
                    <a:xfrm>
                      <a:off x="0" y="0"/>
                      <a:ext cx="4206240" cy="3154680"/>
                    </a:xfrm>
                    <a:prstGeom prst="rect"/>
                  </pic:spPr>
                </pic:pic>
              </a:graphicData>
            </a:graphic>
          </wp:inline>
        </w:drawing>
      </w:r>
    </w:p>
    <w:p>
      <w:pPr>
        <w:pStyle w:val="ReportePie"/>
        <w:spacing w:after="160"/>
        <w:jc w:val="center"/>
      </w:pPr>
      <w:r>
        <w:t>Figura 1. Ejecución del cohete construido con las cinco figuras solicitadas.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440"/>
        <w:gridCol w:w="4752"/>
      </w:tblGrid>
      <w:tr>
        <w:trPr>
          <w:cantSplit/>
          <w:tblHeader/>
        </w:trPr>
        <w:tc>
          <w:tcPr>
            <w:tcW w:type="dxa" w:w="2592"/>
            <w:vAlign w:val="center"/>
            <w:tcMar>
              <w:top w:w="80" w:type="dxa"/>
              <w:bottom w:w="80" w:type="dxa"/>
              <w:left w:w="80" w:type="dxa"/>
              <w:right w:w="80" w:type="dxa"/>
            </w:tcMar>
            <w:shd w:fill="E8E8E8"/>
          </w:tcPr>
          <w:p>
            <w:pPr>
              <w:spacing w:after="0" w:line="252" w:lineRule="auto"/>
              <w:jc w:val="left"/>
            </w:pPr>
            <w:r>
              <w:rPr>
                <w:rFonts w:ascii="Arial" w:hAnsi="Arial"/>
                <w:b/>
                <w:color w:val="000000"/>
                <w:sz w:val="21"/>
              </w:rPr>
              <w:t>Malla</w:t>
            </w:r>
          </w:p>
        </w:tc>
        <w:tc>
          <w:tcPr>
            <w:tcW w:type="dxa" w:w="1440"/>
            <w:vAlign w:val="center"/>
            <w:tcMar>
              <w:top w:w="80" w:type="dxa"/>
              <w:bottom w:w="80" w:type="dxa"/>
              <w:left w:w="80" w:type="dxa"/>
              <w:right w:w="80" w:type="dxa"/>
            </w:tcMar>
            <w:shd w:fill="E8E8E8"/>
          </w:tcPr>
          <w:p>
            <w:pPr>
              <w:spacing w:after="0" w:line="252" w:lineRule="auto"/>
              <w:jc w:val="center"/>
            </w:pPr>
            <w:r>
              <w:rPr>
                <w:rFonts w:ascii="Arial" w:hAnsi="Arial"/>
                <w:b/>
                <w:color w:val="000000"/>
                <w:sz w:val="21"/>
              </w:rPr>
              <w:t>Instancias</w:t>
            </w:r>
          </w:p>
        </w:tc>
        <w:tc>
          <w:tcPr>
            <w:tcW w:type="dxa" w:w="4752"/>
            <w:vAlign w:val="center"/>
            <w:tcMar>
              <w:top w:w="80" w:type="dxa"/>
              <w:bottom w:w="80" w:type="dxa"/>
              <w:left w:w="80" w:type="dxa"/>
              <w:right w:w="80" w:type="dxa"/>
            </w:tcMar>
            <w:shd w:fill="E8E8E8"/>
          </w:tcPr>
          <w:p>
            <w:pPr>
              <w:spacing w:after="0" w:line="252" w:lineRule="auto"/>
              <w:jc w:val="left"/>
            </w:pPr>
            <w:r>
              <w:rPr>
                <w:rFonts w:ascii="Arial" w:hAnsi="Arial"/>
                <w:b/>
                <w:color w:val="000000"/>
                <w:sz w:val="21"/>
              </w:rPr>
              <w:t>Uso</w:t>
            </w:r>
          </w:p>
        </w:tc>
      </w:tr>
      <w:tr>
        <w:trPr>
          <w:cantSplit/>
        </w:trPr>
        <w:tc>
          <w:tcPr>
            <w:tcW w:type="dxa" w:w="2592"/>
            <w:vAlign w:val="center"/>
            <w:tcMar>
              <w:top w:w="80" w:type="dxa"/>
              <w:bottom w:w="80" w:type="dxa"/>
              <w:left w:w="80" w:type="dxa"/>
              <w:right w:w="80" w:type="dxa"/>
            </w:tcMar>
          </w:tcPr>
          <w:p>
            <w:pPr>
              <w:spacing w:after="0" w:line="252" w:lineRule="auto"/>
              <w:jc w:val="left"/>
            </w:pPr>
            <w:r>
              <w:rPr>
                <w:rFonts w:ascii="Arial" w:hAnsi="Arial"/>
                <w:b w:val="0"/>
                <w:color w:val="000000"/>
                <w:sz w:val="21"/>
              </w:rPr>
              <w:t>Cilindro</w:t>
            </w:r>
          </w:p>
        </w:tc>
        <w:tc>
          <w:tcPr>
            <w:tcW w:type="dxa" w:w="1440"/>
            <w:vAlign w:val="center"/>
            <w:tcMar>
              <w:top w:w="80" w:type="dxa"/>
              <w:bottom w:w="80" w:type="dxa"/>
              <w:left w:w="80" w:type="dxa"/>
              <w:right w:w="80" w:type="dxa"/>
            </w:tcMar>
          </w:tcPr>
          <w:p>
            <w:pPr>
              <w:spacing w:after="0" w:line="252" w:lineRule="auto"/>
              <w:jc w:val="center"/>
            </w:pPr>
            <w:r>
              <w:rPr>
                <w:rFonts w:ascii="Arial" w:hAnsi="Arial"/>
                <w:b w:val="0"/>
                <w:color w:val="000000"/>
                <w:sz w:val="21"/>
              </w:rPr>
              <w:t>5</w:t>
            </w:r>
          </w:p>
        </w:tc>
        <w:tc>
          <w:tcPr>
            <w:tcW w:type="dxa" w:w="4752"/>
            <w:vAlign w:val="center"/>
            <w:tcMar>
              <w:top w:w="80" w:type="dxa"/>
              <w:bottom w:w="80" w:type="dxa"/>
              <w:left w:w="80" w:type="dxa"/>
              <w:right w:w="80" w:type="dxa"/>
            </w:tcMar>
          </w:tcPr>
          <w:p>
            <w:pPr>
              <w:spacing w:after="0" w:line="252" w:lineRule="auto"/>
              <w:jc w:val="left"/>
            </w:pPr>
            <w:r>
              <w:rPr>
                <w:rFonts w:ascii="Arial" w:hAnsi="Arial"/>
                <w:b w:val="0"/>
                <w:color w:val="000000"/>
                <w:sz w:val="21"/>
              </w:rPr>
              <w:t>Fuselaje, bandas y propulsores</w:t>
            </w:r>
          </w:p>
        </w:tc>
      </w:tr>
      <w:tr>
        <w:trPr>
          <w:cantSplit/>
        </w:trPr>
        <w:tc>
          <w:tcPr>
            <w:tcW w:type="dxa" w:w="2592"/>
            <w:vAlign w:val="center"/>
            <w:tcMar>
              <w:top w:w="80" w:type="dxa"/>
              <w:bottom w:w="80" w:type="dxa"/>
              <w:left w:w="80" w:type="dxa"/>
              <w:right w:w="80" w:type="dxa"/>
            </w:tcMar>
          </w:tcPr>
          <w:p>
            <w:pPr>
              <w:spacing w:after="0" w:line="252" w:lineRule="auto"/>
              <w:jc w:val="left"/>
            </w:pPr>
            <w:r>
              <w:rPr>
                <w:rFonts w:ascii="Arial" w:hAnsi="Arial"/>
                <w:b w:val="0"/>
                <w:color w:val="000000"/>
                <w:sz w:val="21"/>
              </w:rPr>
              <w:t>Cono</w:t>
            </w:r>
          </w:p>
        </w:tc>
        <w:tc>
          <w:tcPr>
            <w:tcW w:type="dxa" w:w="1440"/>
            <w:vAlign w:val="center"/>
            <w:tcMar>
              <w:top w:w="80" w:type="dxa"/>
              <w:bottom w:w="80" w:type="dxa"/>
              <w:left w:w="80" w:type="dxa"/>
              <w:right w:w="80" w:type="dxa"/>
            </w:tcMar>
          </w:tcPr>
          <w:p>
            <w:pPr>
              <w:spacing w:after="0" w:line="252" w:lineRule="auto"/>
              <w:jc w:val="center"/>
            </w:pPr>
            <w:r>
              <w:rPr>
                <w:rFonts w:ascii="Arial" w:hAnsi="Arial"/>
                <w:b w:val="0"/>
                <w:color w:val="000000"/>
                <w:sz w:val="21"/>
              </w:rPr>
              <w:t>7</w:t>
            </w:r>
          </w:p>
        </w:tc>
        <w:tc>
          <w:tcPr>
            <w:tcW w:type="dxa" w:w="4752"/>
            <w:vAlign w:val="center"/>
            <w:tcMar>
              <w:top w:w="80" w:type="dxa"/>
              <w:bottom w:w="80" w:type="dxa"/>
              <w:left w:w="80" w:type="dxa"/>
              <w:right w:w="80" w:type="dxa"/>
            </w:tcMar>
          </w:tcPr>
          <w:p>
            <w:pPr>
              <w:spacing w:after="0" w:line="252" w:lineRule="auto"/>
              <w:jc w:val="left"/>
            </w:pPr>
            <w:r>
              <w:rPr>
                <w:rFonts w:ascii="Arial" w:hAnsi="Arial"/>
                <w:b w:val="0"/>
                <w:color w:val="000000"/>
                <w:sz w:val="21"/>
              </w:rPr>
              <w:t>Puntas, tobera y llamas</w:t>
            </w:r>
          </w:p>
        </w:tc>
      </w:tr>
      <w:tr>
        <w:trPr>
          <w:cantSplit/>
        </w:trPr>
        <w:tc>
          <w:tcPr>
            <w:tcW w:type="dxa" w:w="2592"/>
            <w:vAlign w:val="center"/>
            <w:tcMar>
              <w:top w:w="80" w:type="dxa"/>
              <w:bottom w:w="80" w:type="dxa"/>
              <w:left w:w="80" w:type="dxa"/>
              <w:right w:w="80" w:type="dxa"/>
            </w:tcMar>
          </w:tcPr>
          <w:p>
            <w:pPr>
              <w:spacing w:after="0" w:line="252" w:lineRule="auto"/>
              <w:jc w:val="left"/>
            </w:pPr>
            <w:r>
              <w:rPr>
                <w:rFonts w:ascii="Arial" w:hAnsi="Arial"/>
                <w:b w:val="0"/>
                <w:color w:val="000000"/>
                <w:sz w:val="21"/>
              </w:rPr>
              <w:t>Esfera</w:t>
            </w:r>
          </w:p>
        </w:tc>
        <w:tc>
          <w:tcPr>
            <w:tcW w:type="dxa" w:w="1440"/>
            <w:vAlign w:val="center"/>
            <w:tcMar>
              <w:top w:w="80" w:type="dxa"/>
              <w:bottom w:w="80" w:type="dxa"/>
              <w:left w:w="80" w:type="dxa"/>
              <w:right w:w="80" w:type="dxa"/>
            </w:tcMar>
          </w:tcPr>
          <w:p>
            <w:pPr>
              <w:spacing w:after="0" w:line="252" w:lineRule="auto"/>
              <w:jc w:val="center"/>
            </w:pPr>
            <w:r>
              <w:rPr>
                <w:rFonts w:ascii="Arial" w:hAnsi="Arial"/>
                <w:b w:val="0"/>
                <w:color w:val="000000"/>
                <w:sz w:val="21"/>
              </w:rPr>
              <w:t>2</w:t>
            </w:r>
          </w:p>
        </w:tc>
        <w:tc>
          <w:tcPr>
            <w:tcW w:type="dxa" w:w="4752"/>
            <w:vAlign w:val="center"/>
            <w:tcMar>
              <w:top w:w="80" w:type="dxa"/>
              <w:bottom w:w="80" w:type="dxa"/>
              <w:left w:w="80" w:type="dxa"/>
              <w:right w:w="80" w:type="dxa"/>
            </w:tcMar>
          </w:tcPr>
          <w:p>
            <w:pPr>
              <w:spacing w:after="0" w:line="252" w:lineRule="auto"/>
              <w:jc w:val="left"/>
            </w:pPr>
            <w:r>
              <w:rPr>
                <w:rFonts w:ascii="Arial" w:hAnsi="Arial"/>
                <w:b w:val="0"/>
                <w:color w:val="000000"/>
                <w:sz w:val="21"/>
              </w:rPr>
              <w:t>Marco y cristal de la ventanilla</w:t>
            </w:r>
          </w:p>
        </w:tc>
      </w:tr>
      <w:tr>
        <w:trPr>
          <w:cantSplit/>
        </w:trPr>
        <w:tc>
          <w:tcPr>
            <w:tcW w:type="dxa" w:w="2592"/>
            <w:vAlign w:val="center"/>
            <w:tcMar>
              <w:top w:w="80" w:type="dxa"/>
              <w:bottom w:w="80" w:type="dxa"/>
              <w:left w:w="80" w:type="dxa"/>
              <w:right w:w="80" w:type="dxa"/>
            </w:tcMar>
          </w:tcPr>
          <w:p>
            <w:pPr>
              <w:spacing w:after="0" w:line="252" w:lineRule="auto"/>
              <w:jc w:val="left"/>
            </w:pPr>
            <w:r>
              <w:rPr>
                <w:rFonts w:ascii="Arial" w:hAnsi="Arial"/>
                <w:b w:val="0"/>
                <w:color w:val="000000"/>
                <w:sz w:val="21"/>
              </w:rPr>
              <w:t>Cubo</w:t>
            </w:r>
          </w:p>
        </w:tc>
        <w:tc>
          <w:tcPr>
            <w:tcW w:type="dxa" w:w="1440"/>
            <w:vAlign w:val="center"/>
            <w:tcMar>
              <w:top w:w="80" w:type="dxa"/>
              <w:bottom w:w="80" w:type="dxa"/>
              <w:left w:w="80" w:type="dxa"/>
              <w:right w:w="80" w:type="dxa"/>
            </w:tcMar>
          </w:tcPr>
          <w:p>
            <w:pPr>
              <w:spacing w:after="0" w:line="252" w:lineRule="auto"/>
              <w:jc w:val="center"/>
            </w:pPr>
            <w:r>
              <w:rPr>
                <w:rFonts w:ascii="Arial" w:hAnsi="Arial"/>
                <w:b w:val="0"/>
                <w:color w:val="000000"/>
                <w:sz w:val="21"/>
              </w:rPr>
              <w:t>2</w:t>
            </w:r>
          </w:p>
        </w:tc>
        <w:tc>
          <w:tcPr>
            <w:tcW w:type="dxa" w:w="4752"/>
            <w:vAlign w:val="center"/>
            <w:tcMar>
              <w:top w:w="80" w:type="dxa"/>
              <w:bottom w:w="80" w:type="dxa"/>
              <w:left w:w="80" w:type="dxa"/>
              <w:right w:w="80" w:type="dxa"/>
            </w:tcMar>
          </w:tcPr>
          <w:p>
            <w:pPr>
              <w:spacing w:after="0" w:line="252" w:lineRule="auto"/>
              <w:jc w:val="left"/>
            </w:pPr>
            <w:r>
              <w:rPr>
                <w:rFonts w:ascii="Arial" w:hAnsi="Arial"/>
                <w:b w:val="0"/>
                <w:color w:val="000000"/>
                <w:sz w:val="21"/>
              </w:rPr>
              <w:t>Soportes laterales</w:t>
            </w:r>
          </w:p>
        </w:tc>
      </w:tr>
      <w:tr>
        <w:trPr>
          <w:cantSplit/>
        </w:trPr>
        <w:tc>
          <w:tcPr>
            <w:tcW w:type="dxa" w:w="2592"/>
            <w:vAlign w:val="center"/>
            <w:tcMar>
              <w:top w:w="80" w:type="dxa"/>
              <w:bottom w:w="80" w:type="dxa"/>
              <w:left w:w="80" w:type="dxa"/>
              <w:right w:w="80" w:type="dxa"/>
            </w:tcMar>
          </w:tcPr>
          <w:p>
            <w:pPr>
              <w:spacing w:after="0" w:line="252" w:lineRule="auto"/>
              <w:jc w:val="left"/>
            </w:pPr>
            <w:r>
              <w:rPr>
                <w:rFonts w:ascii="Arial" w:hAnsi="Arial"/>
                <w:b w:val="0"/>
                <w:color w:val="000000"/>
                <w:sz w:val="21"/>
              </w:rPr>
              <w:t>Pirámide cuadrangular</w:t>
            </w:r>
          </w:p>
        </w:tc>
        <w:tc>
          <w:tcPr>
            <w:tcW w:type="dxa" w:w="1440"/>
            <w:vAlign w:val="center"/>
            <w:tcMar>
              <w:top w:w="80" w:type="dxa"/>
              <w:bottom w:w="80" w:type="dxa"/>
              <w:left w:w="80" w:type="dxa"/>
              <w:right w:w="80" w:type="dxa"/>
            </w:tcMar>
          </w:tcPr>
          <w:p>
            <w:pPr>
              <w:spacing w:after="0" w:line="252" w:lineRule="auto"/>
              <w:jc w:val="center"/>
            </w:pPr>
            <w:r>
              <w:rPr>
                <w:rFonts w:ascii="Arial" w:hAnsi="Arial"/>
                <w:b w:val="0"/>
                <w:color w:val="000000"/>
                <w:sz w:val="21"/>
              </w:rPr>
              <w:t>4</w:t>
            </w:r>
          </w:p>
        </w:tc>
        <w:tc>
          <w:tcPr>
            <w:tcW w:type="dxa" w:w="4752"/>
            <w:vAlign w:val="center"/>
            <w:tcMar>
              <w:top w:w="80" w:type="dxa"/>
              <w:bottom w:w="80" w:type="dxa"/>
              <w:left w:w="80" w:type="dxa"/>
              <w:right w:w="80" w:type="dxa"/>
            </w:tcMar>
          </w:tcPr>
          <w:p>
            <w:pPr>
              <w:spacing w:after="0" w:line="252" w:lineRule="auto"/>
              <w:jc w:val="left"/>
            </w:pPr>
            <w:r>
              <w:rPr>
                <w:rFonts w:ascii="Arial" w:hAnsi="Arial"/>
                <w:b w:val="0"/>
                <w:color w:val="000000"/>
                <w:sz w:val="21"/>
              </w:rPr>
              <w:t>Aletas</w:t>
            </w:r>
          </w:p>
        </w:tc>
      </w:tr>
    </w:tbl>
    <w:p>
      <w:pPr>
        <w:pStyle w:val="ReporteEncabezado"/>
        <w:pageBreakBefore/>
      </w:pPr>
      <w:r>
        <w:t>1.2 Bloques de dibujo y colores</w:t>
      </w:r>
    </w:p>
    <w:p>
      <w:pPr>
        <w:pStyle w:val="ReporteCuerpo"/>
      </w:pPr>
      <w:r>
        <w:t>Cada pieza empieza con la matriz identidad. Después apliqué las transformaciones del conjunto y las de la pieza, envié la matriz model y el color al shader, y dibujé la malla correspondiente. Repetí este bloque para las 20 instancias del cohete. La proyección no se cambió para acomodarlo: ajusté la escala y la posición de sus piezas.</w:t>
      </w:r>
    </w:p>
    <w:p>
      <w:pPr>
        <w:keepNext/>
        <w:spacing w:after="40"/>
        <w:jc w:val="center"/>
      </w:pPr>
      <w:r>
        <w:drawing>
          <wp:inline xmlns:a="http://schemas.openxmlformats.org/drawingml/2006/main">
            <wp:extent cx="5577840" cy="1866286"/>
            <wp:docPr id="4" name="Picture 4" descr="Figura 2. Bloque del main que coloca y dibuja el cilindro central."/>
            <wp:cNvGraphicFramePr>
              <a:graphicFrameLocks noChangeAspect="1"/>
            </wp:cNvGraphicFramePr>
            <a:graphic>
              <a:graphicData uri="http://schemas.openxmlformats.org/drawingml/2006/picture">
                <pic:pic>
                  <pic:nvPicPr>
                    <pic:cNvPr id="0" name="codigo-cohete.png"/>
                    <pic:cNvPicPr/>
                  </pic:nvPicPr>
                  <pic:blipFill>
                    <a:blip r:embed="rId9"/>
                    <a:stretch>
                      <a:fillRect/>
                    </a:stretch>
                  </pic:blipFill>
                  <pic:spPr>
                    <a:xfrm>
                      <a:off x="0" y="0"/>
                      <a:ext cx="5577840" cy="1866286"/>
                    </a:xfrm>
                    <a:prstGeom prst="rect"/>
                  </pic:spPr>
                </pic:pic>
              </a:graphicData>
            </a:graphic>
          </wp:inline>
        </w:drawing>
      </w:r>
    </w:p>
    <w:p>
      <w:pPr>
        <w:pStyle w:val="ReportePie"/>
        <w:spacing w:after="160"/>
        <w:jc w:val="center"/>
      </w:pPr>
      <w:r>
        <w:t>Figura 2. Bloque del main que coloca y dibuja el cilindro central.</w:t>
      </w:r>
    </w:p>
    <w:p>
      <w:pPr>
        <w:pStyle w:val="ReporteCuerpo"/>
      </w:pPr>
      <w:r>
        <w:t>La pirámide de colores conserva las cinco posiciones y los seis triángulos de la pirámide cuadrangular del profesor. Repetí los vértices por cara para que cada triángulo tenga un RGB constante. Así, cada cara conserva un color uniforme, en lugar de interpolar colores distintos entre sus vértices. Utilicé MeshColor, que ya estaba incluida en Mesh.h.</w:t>
      </w:r>
    </w:p>
    <w:p>
      <w:pPr>
        <w:keepNext/>
        <w:spacing w:after="40"/>
        <w:jc w:val="center"/>
      </w:pPr>
      <w:r>
        <w:drawing>
          <wp:inline xmlns:a="http://schemas.openxmlformats.org/drawingml/2006/main">
            <wp:extent cx="5577840" cy="1714610"/>
            <wp:docPr id="5" name="Picture 5" descr="Figura 3. Posiciones originales repetidas por cara y color rojo de la primera cara."/>
            <wp:cNvGraphicFramePr>
              <a:graphicFrameLocks noChangeAspect="1"/>
            </wp:cNvGraphicFramePr>
            <a:graphic>
              <a:graphicData uri="http://schemas.openxmlformats.org/drawingml/2006/picture">
                <pic:pic>
                  <pic:nvPicPr>
                    <pic:cNvPr id="0" name="codigo-colores.png"/>
                    <pic:cNvPicPr/>
                  </pic:nvPicPr>
                  <pic:blipFill>
                    <a:blip r:embed="rId10"/>
                    <a:stretch>
                      <a:fillRect/>
                    </a:stretch>
                  </pic:blipFill>
                  <pic:spPr>
                    <a:xfrm>
                      <a:off x="0" y="0"/>
                      <a:ext cx="5577840" cy="1714610"/>
                    </a:xfrm>
                    <a:prstGeom prst="rect"/>
                  </pic:spPr>
                </pic:pic>
              </a:graphicData>
            </a:graphic>
          </wp:inline>
        </w:drawing>
      </w:r>
    </w:p>
    <w:p>
      <w:pPr>
        <w:pStyle w:val="ReportePie"/>
        <w:spacing w:after="160"/>
        <w:jc w:val="center"/>
      </w:pPr>
      <w:r>
        <w:t>Figura 3. Posiciones originales repetidas por cara y color rojo de la primera cara.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944"/>
        <w:gridCol w:w="3024"/>
      </w:tblGrid>
      <w:tr>
        <w:trPr>
          <w:cantSplit/>
          <w:tblHeader/>
        </w:trPr>
        <w:tc>
          <w:tcPr>
            <w:tcW w:type="dxa" w:w="3816"/>
            <w:vAlign w:val="center"/>
            <w:tcMar>
              <w:top w:w="80" w:type="dxa"/>
              <w:bottom w:w="80" w:type="dxa"/>
              <w:left w:w="80" w:type="dxa"/>
              <w:right w:w="80" w:type="dxa"/>
            </w:tcMar>
            <w:shd w:fill="E8E8E8"/>
          </w:tcPr>
          <w:p>
            <w:pPr>
              <w:spacing w:after="0" w:line="252" w:lineRule="auto"/>
              <w:jc w:val="left"/>
            </w:pPr>
            <w:r>
              <w:rPr>
                <w:rFonts w:ascii="Arial" w:hAnsi="Arial"/>
                <w:b/>
                <w:color w:val="000000"/>
                <w:sz w:val="21"/>
              </w:rPr>
              <w:t>Cara de la malla original</w:t>
            </w:r>
          </w:p>
        </w:tc>
        <w:tc>
          <w:tcPr>
            <w:tcW w:type="dxa" w:w="1944"/>
            <w:vAlign w:val="center"/>
            <w:tcMar>
              <w:top w:w="80" w:type="dxa"/>
              <w:bottom w:w="80" w:type="dxa"/>
              <w:left w:w="80" w:type="dxa"/>
              <w:right w:w="80" w:type="dxa"/>
            </w:tcMar>
            <w:shd w:fill="E8E8E8"/>
          </w:tcPr>
          <w:p>
            <w:pPr>
              <w:spacing w:after="0" w:line="252" w:lineRule="auto"/>
              <w:jc w:val="center"/>
            </w:pPr>
            <w:r>
              <w:rPr>
                <w:rFonts w:ascii="Arial" w:hAnsi="Arial"/>
                <w:b/>
                <w:color w:val="000000"/>
                <w:sz w:val="21"/>
              </w:rPr>
              <w:t>Color</w:t>
            </w:r>
          </w:p>
        </w:tc>
        <w:tc>
          <w:tcPr>
            <w:tcW w:type="dxa" w:w="3024"/>
            <w:vAlign w:val="center"/>
            <w:tcMar>
              <w:top w:w="80" w:type="dxa"/>
              <w:bottom w:w="80" w:type="dxa"/>
              <w:left w:w="80" w:type="dxa"/>
              <w:right w:w="80" w:type="dxa"/>
            </w:tcMar>
            <w:shd w:fill="E8E8E8"/>
          </w:tcPr>
          <w:p>
            <w:pPr>
              <w:spacing w:after="0" w:line="252" w:lineRule="auto"/>
              <w:jc w:val="left"/>
            </w:pPr>
            <w:r>
              <w:rPr>
                <w:rFonts w:ascii="Arial" w:hAnsi="Arial"/>
                <w:b/>
                <w:color w:val="000000"/>
                <w:sz w:val="21"/>
              </w:rPr>
              <w:t>RGB</w:t>
            </w:r>
          </w:p>
        </w:tc>
      </w:tr>
      <w:tr>
        <w:trPr>
          <w:cantSplit/>
        </w:trPr>
        <w:tc>
          <w:tcPr>
            <w:tcW w:type="dxa" w:w="3816"/>
            <w:vAlign w:val="center"/>
            <w:tcMar>
              <w:top w:w="80" w:type="dxa"/>
              <w:bottom w:w="80" w:type="dxa"/>
              <w:left w:w="80" w:type="dxa"/>
              <w:right w:w="80" w:type="dxa"/>
            </w:tcMar>
          </w:tcPr>
          <w:p>
            <w:pPr>
              <w:spacing w:after="0" w:line="252" w:lineRule="auto"/>
              <w:jc w:val="left"/>
            </w:pPr>
            <w:r>
              <w:rPr>
                <w:rFonts w:ascii="Arial" w:hAnsi="Arial"/>
                <w:b w:val="0"/>
                <w:color w:val="000000"/>
                <w:sz w:val="21"/>
              </w:rPr>
              <w:t>Frontal</w:t>
            </w:r>
          </w:p>
        </w:tc>
        <w:tc>
          <w:tcPr>
            <w:tcW w:type="dxa" w:w="1944"/>
            <w:vAlign w:val="center"/>
            <w:tcMar>
              <w:top w:w="80" w:type="dxa"/>
              <w:bottom w:w="80" w:type="dxa"/>
              <w:left w:w="80" w:type="dxa"/>
              <w:right w:w="80" w:type="dxa"/>
            </w:tcMar>
          </w:tcPr>
          <w:p>
            <w:pPr>
              <w:spacing w:after="0" w:line="252" w:lineRule="auto"/>
              <w:jc w:val="center"/>
            </w:pPr>
            <w:r>
              <w:rPr>
                <w:rFonts w:ascii="Arial" w:hAnsi="Arial"/>
                <w:b w:val="0"/>
                <w:color w:val="000000"/>
                <w:sz w:val="21"/>
              </w:rPr>
              <w:t>Rojo</w:t>
            </w:r>
          </w:p>
        </w:tc>
        <w:tc>
          <w:tcPr>
            <w:tcW w:type="dxa" w:w="3024"/>
            <w:vAlign w:val="center"/>
            <w:tcMar>
              <w:top w:w="80" w:type="dxa"/>
              <w:bottom w:w="80" w:type="dxa"/>
              <w:left w:w="80" w:type="dxa"/>
              <w:right w:w="80" w:type="dxa"/>
            </w:tcMar>
          </w:tcPr>
          <w:p>
            <w:pPr>
              <w:spacing w:after="0" w:line="252" w:lineRule="auto"/>
              <w:jc w:val="left"/>
            </w:pPr>
            <w:r>
              <w:rPr>
                <w:rFonts w:ascii="Arial" w:hAnsi="Arial"/>
                <w:b w:val="0"/>
                <w:color w:val="000000"/>
                <w:sz w:val="21"/>
              </w:rPr>
              <w:t>(1, 0, 0)</w:t>
            </w:r>
          </w:p>
        </w:tc>
      </w:tr>
      <w:tr>
        <w:trPr>
          <w:cantSplit/>
        </w:trPr>
        <w:tc>
          <w:tcPr>
            <w:tcW w:type="dxa" w:w="3816"/>
            <w:vAlign w:val="center"/>
            <w:tcMar>
              <w:top w:w="80" w:type="dxa"/>
              <w:bottom w:w="80" w:type="dxa"/>
              <w:left w:w="80" w:type="dxa"/>
              <w:right w:w="80" w:type="dxa"/>
            </w:tcMar>
          </w:tcPr>
          <w:p>
            <w:pPr>
              <w:spacing w:after="0" w:line="252" w:lineRule="auto"/>
              <w:jc w:val="left"/>
            </w:pPr>
            <w:r>
              <w:rPr>
                <w:rFonts w:ascii="Arial" w:hAnsi="Arial"/>
                <w:b w:val="0"/>
                <w:color w:val="000000"/>
                <w:sz w:val="21"/>
              </w:rPr>
              <w:t>Izquierda</w:t>
            </w:r>
          </w:p>
        </w:tc>
        <w:tc>
          <w:tcPr>
            <w:tcW w:type="dxa" w:w="1944"/>
            <w:vAlign w:val="center"/>
            <w:tcMar>
              <w:top w:w="80" w:type="dxa"/>
              <w:bottom w:w="80" w:type="dxa"/>
              <w:left w:w="80" w:type="dxa"/>
              <w:right w:w="80" w:type="dxa"/>
            </w:tcMar>
          </w:tcPr>
          <w:p>
            <w:pPr>
              <w:spacing w:after="0" w:line="252" w:lineRule="auto"/>
              <w:jc w:val="center"/>
            </w:pPr>
            <w:r>
              <w:rPr>
                <w:rFonts w:ascii="Arial" w:hAnsi="Arial"/>
                <w:b w:val="0"/>
                <w:color w:val="000000"/>
                <w:sz w:val="21"/>
              </w:rPr>
              <w:t>Verde</w:t>
            </w:r>
          </w:p>
        </w:tc>
        <w:tc>
          <w:tcPr>
            <w:tcW w:type="dxa" w:w="3024"/>
            <w:vAlign w:val="center"/>
            <w:tcMar>
              <w:top w:w="80" w:type="dxa"/>
              <w:bottom w:w="80" w:type="dxa"/>
              <w:left w:w="80" w:type="dxa"/>
              <w:right w:w="80" w:type="dxa"/>
            </w:tcMar>
          </w:tcPr>
          <w:p>
            <w:pPr>
              <w:spacing w:after="0" w:line="252" w:lineRule="auto"/>
              <w:jc w:val="left"/>
            </w:pPr>
            <w:r>
              <w:rPr>
                <w:rFonts w:ascii="Arial" w:hAnsi="Arial"/>
                <w:b w:val="0"/>
                <w:color w:val="000000"/>
                <w:sz w:val="21"/>
              </w:rPr>
              <w:t>(0, 1, 0)</w:t>
            </w:r>
          </w:p>
        </w:tc>
      </w:tr>
      <w:tr>
        <w:trPr>
          <w:cantSplit/>
        </w:trPr>
        <w:tc>
          <w:tcPr>
            <w:tcW w:type="dxa" w:w="3816"/>
            <w:vAlign w:val="center"/>
            <w:tcMar>
              <w:top w:w="80" w:type="dxa"/>
              <w:bottom w:w="80" w:type="dxa"/>
              <w:left w:w="80" w:type="dxa"/>
              <w:right w:w="80" w:type="dxa"/>
            </w:tcMar>
          </w:tcPr>
          <w:p>
            <w:pPr>
              <w:spacing w:after="0" w:line="252" w:lineRule="auto"/>
              <w:jc w:val="left"/>
            </w:pPr>
            <w:r>
              <w:rPr>
                <w:rFonts w:ascii="Arial" w:hAnsi="Arial"/>
                <w:b w:val="0"/>
                <w:color w:val="000000"/>
                <w:sz w:val="21"/>
              </w:rPr>
              <w:t>Trasera</w:t>
            </w:r>
          </w:p>
        </w:tc>
        <w:tc>
          <w:tcPr>
            <w:tcW w:type="dxa" w:w="1944"/>
            <w:vAlign w:val="center"/>
            <w:tcMar>
              <w:top w:w="80" w:type="dxa"/>
              <w:bottom w:w="80" w:type="dxa"/>
              <w:left w:w="80" w:type="dxa"/>
              <w:right w:w="80" w:type="dxa"/>
            </w:tcMar>
          </w:tcPr>
          <w:p>
            <w:pPr>
              <w:spacing w:after="0" w:line="252" w:lineRule="auto"/>
              <w:jc w:val="center"/>
            </w:pPr>
            <w:r>
              <w:rPr>
                <w:rFonts w:ascii="Arial" w:hAnsi="Arial"/>
                <w:b w:val="0"/>
                <w:color w:val="000000"/>
                <w:sz w:val="21"/>
              </w:rPr>
              <w:t>Amarillo</w:t>
            </w:r>
          </w:p>
        </w:tc>
        <w:tc>
          <w:tcPr>
            <w:tcW w:type="dxa" w:w="3024"/>
            <w:vAlign w:val="center"/>
            <w:tcMar>
              <w:top w:w="80" w:type="dxa"/>
              <w:bottom w:w="80" w:type="dxa"/>
              <w:left w:w="80" w:type="dxa"/>
              <w:right w:w="80" w:type="dxa"/>
            </w:tcMar>
          </w:tcPr>
          <w:p>
            <w:pPr>
              <w:spacing w:after="0" w:line="252" w:lineRule="auto"/>
              <w:jc w:val="left"/>
            </w:pPr>
            <w:r>
              <w:rPr>
                <w:rFonts w:ascii="Arial" w:hAnsi="Arial"/>
                <w:b w:val="0"/>
                <w:color w:val="000000"/>
                <w:sz w:val="21"/>
              </w:rPr>
              <w:t>(1, 1, 0)</w:t>
            </w:r>
          </w:p>
        </w:tc>
      </w:tr>
      <w:tr>
        <w:trPr>
          <w:cantSplit/>
        </w:trPr>
        <w:tc>
          <w:tcPr>
            <w:tcW w:type="dxa" w:w="3816"/>
            <w:vAlign w:val="center"/>
            <w:tcMar>
              <w:top w:w="80" w:type="dxa"/>
              <w:bottom w:w="80" w:type="dxa"/>
              <w:left w:w="80" w:type="dxa"/>
              <w:right w:w="80" w:type="dxa"/>
            </w:tcMar>
          </w:tcPr>
          <w:p>
            <w:pPr>
              <w:spacing w:after="0" w:line="252" w:lineRule="auto"/>
              <w:jc w:val="left"/>
            </w:pPr>
            <w:r>
              <w:rPr>
                <w:rFonts w:ascii="Arial" w:hAnsi="Arial"/>
                <w:b w:val="0"/>
                <w:color w:val="000000"/>
                <w:sz w:val="21"/>
              </w:rPr>
              <w:t>Derecha</w:t>
            </w:r>
          </w:p>
        </w:tc>
        <w:tc>
          <w:tcPr>
            <w:tcW w:type="dxa" w:w="1944"/>
            <w:vAlign w:val="center"/>
            <w:tcMar>
              <w:top w:w="80" w:type="dxa"/>
              <w:bottom w:w="80" w:type="dxa"/>
              <w:left w:w="80" w:type="dxa"/>
              <w:right w:w="80" w:type="dxa"/>
            </w:tcMar>
          </w:tcPr>
          <w:p>
            <w:pPr>
              <w:spacing w:after="0" w:line="252" w:lineRule="auto"/>
              <w:jc w:val="center"/>
            </w:pPr>
            <w:r>
              <w:rPr>
                <w:rFonts w:ascii="Arial" w:hAnsi="Arial"/>
                <w:b w:val="0"/>
                <w:color w:val="000000"/>
                <w:sz w:val="21"/>
              </w:rPr>
              <w:t>Magenta</w:t>
            </w:r>
          </w:p>
        </w:tc>
        <w:tc>
          <w:tcPr>
            <w:tcW w:type="dxa" w:w="3024"/>
            <w:vAlign w:val="center"/>
            <w:tcMar>
              <w:top w:w="80" w:type="dxa"/>
              <w:bottom w:w="80" w:type="dxa"/>
              <w:left w:w="80" w:type="dxa"/>
              <w:right w:w="80" w:type="dxa"/>
            </w:tcMar>
          </w:tcPr>
          <w:p>
            <w:pPr>
              <w:spacing w:after="0" w:line="252" w:lineRule="auto"/>
              <w:jc w:val="left"/>
            </w:pPr>
            <w:r>
              <w:rPr>
                <w:rFonts w:ascii="Arial" w:hAnsi="Arial"/>
                <w:b w:val="0"/>
                <w:color w:val="000000"/>
                <w:sz w:val="21"/>
              </w:rPr>
              <w:t>(1, 0, 1)</w:t>
            </w:r>
          </w:p>
        </w:tc>
      </w:tr>
      <w:tr>
        <w:trPr>
          <w:cantSplit/>
        </w:trPr>
        <w:tc>
          <w:tcPr>
            <w:tcW w:type="dxa" w:w="3816"/>
            <w:vAlign w:val="center"/>
            <w:tcMar>
              <w:top w:w="80" w:type="dxa"/>
              <w:bottom w:w="80" w:type="dxa"/>
              <w:left w:w="80" w:type="dxa"/>
              <w:right w:w="80" w:type="dxa"/>
            </w:tcMar>
          </w:tcPr>
          <w:p>
            <w:pPr>
              <w:spacing w:after="0" w:line="252" w:lineRule="auto"/>
              <w:jc w:val="left"/>
            </w:pPr>
            <w:r>
              <w:rPr>
                <w:rFonts w:ascii="Arial" w:hAnsi="Arial"/>
                <w:b w:val="0"/>
                <w:color w:val="000000"/>
                <w:sz w:val="21"/>
              </w:rPr>
              <w:t>Base cuadrada</w:t>
            </w:r>
          </w:p>
        </w:tc>
        <w:tc>
          <w:tcPr>
            <w:tcW w:type="dxa" w:w="1944"/>
            <w:vAlign w:val="center"/>
            <w:tcMar>
              <w:top w:w="80" w:type="dxa"/>
              <w:bottom w:w="80" w:type="dxa"/>
              <w:left w:w="80" w:type="dxa"/>
              <w:right w:w="80" w:type="dxa"/>
            </w:tcMar>
          </w:tcPr>
          <w:p>
            <w:pPr>
              <w:spacing w:after="0" w:line="252" w:lineRule="auto"/>
              <w:jc w:val="center"/>
            </w:pPr>
            <w:r>
              <w:rPr>
                <w:rFonts w:ascii="Arial" w:hAnsi="Arial"/>
                <w:b w:val="0"/>
                <w:color w:val="000000"/>
                <w:sz w:val="21"/>
              </w:rPr>
              <w:t>Azul</w:t>
            </w:r>
          </w:p>
        </w:tc>
        <w:tc>
          <w:tcPr>
            <w:tcW w:type="dxa" w:w="3024"/>
            <w:vAlign w:val="center"/>
            <w:tcMar>
              <w:top w:w="80" w:type="dxa"/>
              <w:bottom w:w="80" w:type="dxa"/>
              <w:left w:w="80" w:type="dxa"/>
              <w:right w:w="80" w:type="dxa"/>
            </w:tcMar>
          </w:tcPr>
          <w:p>
            <w:pPr>
              <w:spacing w:after="0" w:line="252" w:lineRule="auto"/>
              <w:jc w:val="left"/>
            </w:pPr>
            <w:r>
              <w:rPr>
                <w:rFonts w:ascii="Arial" w:hAnsi="Arial"/>
                <w:b w:val="0"/>
                <w:color w:val="000000"/>
                <w:sz w:val="21"/>
              </w:rPr>
              <w:t>(0, 0, 1)</w:t>
            </w:r>
          </w:p>
        </w:tc>
      </w:tr>
    </w:tbl>
    <w:p>
      <w:pPr>
        <w:pStyle w:val="ReporteEncabezado"/>
        <w:pageBreakBefore/>
      </w:pPr>
      <w:r>
        <w:t>1.3 Unión de las ocho pirámides</w:t>
      </w:r>
    </w:p>
    <w:p>
      <w:pPr>
        <w:pStyle w:val="ReporteCuerpo"/>
      </w:pPr>
      <w:r>
        <w:t>El segundo ejercicio tiene ocho instancias de la pirámide de colores: cuatro arriba y cuatro abajo. Las superiores comparten la punta (0, 1, 0), y las inferiores la punta (0, -1, 0). Sus bases cuadradas cubren el plano central Y = 0. El resultado es un rombo tridimensional cerrado, sin las puntas separadas que aparecían en los primeros acomodos.</w:t>
      </w:r>
    </w:p>
    <w:p>
      <w:pPr>
        <w:keepNext/>
        <w:spacing w:after="40"/>
        <w:jc w:val="center"/>
      </w:pPr>
      <w:r>
        <w:drawing>
          <wp:inline xmlns:a="http://schemas.openxmlformats.org/drawingml/2006/main">
            <wp:extent cx="4983480" cy="3737610"/>
            <wp:docPr id="6" name="Picture 6" descr="Figura 4. Rombo cerrado formado por las ocho pirámides."/>
            <wp:cNvGraphicFramePr>
              <a:graphicFrameLocks noChangeAspect="1"/>
            </wp:cNvGraphicFramePr>
            <a:graphic>
              <a:graphicData uri="http://schemas.openxmlformats.org/drawingml/2006/picture">
                <pic:pic>
                  <pic:nvPicPr>
                    <pic:cNvPr id="0" name="Rombo cerrado - Vista 3D.png"/>
                    <pic:cNvPicPr/>
                  </pic:nvPicPr>
                  <pic:blipFill>
                    <a:blip r:embed="rId11"/>
                    <a:stretch>
                      <a:fillRect/>
                    </a:stretch>
                  </pic:blipFill>
                  <pic:spPr>
                    <a:xfrm>
                      <a:off x="0" y="0"/>
                      <a:ext cx="4983480" cy="3737610"/>
                    </a:xfrm>
                    <a:prstGeom prst="rect"/>
                  </pic:spPr>
                </pic:pic>
              </a:graphicData>
            </a:graphic>
          </wp:inline>
        </w:drawing>
      </w:r>
    </w:p>
    <w:p>
      <w:pPr>
        <w:pStyle w:val="ReportePie"/>
        <w:spacing w:after="160"/>
        <w:jc w:val="center"/>
      </w:pPr>
      <w:r>
        <w:t>Figura 4. Rombo cerrado formado por las ocho pirámides.</w:t>
      </w:r>
    </w:p>
    <w:p>
      <w:pPr>
        <w:pStyle w:val="ReporteCuerpo"/>
      </w:pPr>
      <w:r>
        <w:t>Las bases azules quedan dentro de la unión. Para comprobarlas mantuve la vista individual, donde se puede girar una pirámide y revisar sus cinco caras.</w:t>
      </w:r>
    </w:p>
    <w:p>
      <w:pPr>
        <w:keepNext/>
        <w:jc w:val="center"/>
      </w:pPr>
      <w:r>
        <w:drawing>
          <wp:inline xmlns:a="http://schemas.openxmlformats.org/drawingml/2006/main">
            <wp:extent cx="2468880" cy="1851660"/>
            <wp:docPr id="7" name="Picture 7" descr="Caras roja y magenta"/>
            <wp:cNvGraphicFramePr>
              <a:graphicFrameLocks noChangeAspect="1"/>
            </wp:cNvGraphicFramePr>
            <a:graphic>
              <a:graphicData uri="http://schemas.openxmlformats.org/drawingml/2006/picture">
                <pic:pic>
                  <pic:nvPicPr>
                    <pic:cNvPr id="0" name="Piramide - Roja y magenta.png"/>
                    <pic:cNvPicPr/>
                  </pic:nvPicPr>
                  <pic:blipFill>
                    <a:blip r:embed="rId12"/>
                    <a:stretch>
                      <a:fillRect/>
                    </a:stretch>
                  </pic:blipFill>
                  <pic:spPr>
                    <a:xfrm>
                      <a:off x="0" y="0"/>
                      <a:ext cx="2468880" cy="1851660"/>
                    </a:xfrm>
                    <a:prstGeom prst="rect"/>
                  </pic:spPr>
                </pic:pic>
              </a:graphicData>
            </a:graphic>
          </wp:inline>
        </w:drawing>
      </w:r>
      <w:r>
        <w:t xml:space="preserve"> </w:t>
      </w:r>
      <w:r>
        <w:drawing>
          <wp:inline xmlns:a="http://schemas.openxmlformats.org/drawingml/2006/main">
            <wp:extent cx="2468880" cy="1851660"/>
            <wp:docPr id="8" name="Picture 8" descr="Base cuadrada azul"/>
            <wp:cNvGraphicFramePr>
              <a:graphicFrameLocks noChangeAspect="1"/>
            </wp:cNvGraphicFramePr>
            <a:graphic>
              <a:graphicData uri="http://schemas.openxmlformats.org/drawingml/2006/picture">
                <pic:pic>
                  <pic:nvPicPr>
                    <pic:cNvPr id="0" name="Piramide - Base azul.png"/>
                    <pic:cNvPicPr/>
                  </pic:nvPicPr>
                  <pic:blipFill>
                    <a:blip r:embed="rId13"/>
                    <a:stretch>
                      <a:fillRect/>
                    </a:stretch>
                  </pic:blipFill>
                  <pic:spPr>
                    <a:xfrm>
                      <a:off x="0" y="0"/>
                      <a:ext cx="2468880" cy="1851660"/>
                    </a:xfrm>
                    <a:prstGeom prst="rect"/>
                  </pic:spPr>
                </pic:pic>
              </a:graphicData>
            </a:graphic>
          </wp:inline>
        </w:drawing>
      </w:r>
      <w:r>
        <w:t xml:space="preserve"> </w:t>
      </w:r>
    </w:p>
    <w:p>
      <w:pPr>
        <w:pStyle w:val="ReportePie"/>
        <w:spacing w:after="160"/>
        <w:jc w:val="center"/>
      </w:pPr>
      <w:r>
        <w:t>Figura 5. Revisión de una pirámide por separado y de su base azul.</w:t>
      </w:r>
    </w:p>
    <w:p>
      <w:pPr>
        <w:pStyle w:val="ReporteEncabezado"/>
        <w:pageBreakBefore/>
      </w:pPr>
      <w:r>
        <w:t>1.4 Modificación para cerrar el rombo</w:t>
      </w:r>
    </w:p>
    <w:p>
      <w:pPr>
        <w:pStyle w:val="ReporteCuerpo"/>
      </w:pPr>
      <w:r>
        <w:t>Mover ocho pirámides rectas dejaba varias puntas separadas. Para que las cuatro de cada mitad llegaran a un mismo punto, añadí una combinación de giros y escala que inclina cada pirámide. La base conserva su forma cuadrada; la punta queda sobre una de sus esquinas. Por eso las instancias resultantes son pirámides oblicuas.</w:t>
      </w:r>
    </w:p>
    <w:p>
      <w:pPr>
        <w:pStyle w:val="ReporteCuerpo"/>
      </w:pPr>
      <w:r>
        <w:t>Esta combinación no aparece literalmente en el código del profesor. La añadí para resolver la unión y la marqué como P12. Se implementó con glm::translate, glm::rotate y glm::scale, que ya se utilizaban en el ejemplo, sin crear clases o funciones de dibujo nuevas.</w:t>
      </w:r>
    </w:p>
    <w:p>
      <w:pPr>
        <w:keepNext/>
        <w:spacing w:after="40"/>
        <w:jc w:val="center"/>
      </w:pPr>
      <w:r>
        <w:drawing>
          <wp:inline xmlns:a="http://schemas.openxmlformats.org/drawingml/2006/main">
            <wp:extent cx="5577840" cy="1863793"/>
            <wp:docPr id="9" name="Picture 9" descr="Figura 6. Transformaciones de una de las cuatro pirámides superiores."/>
            <wp:cNvGraphicFramePr>
              <a:graphicFrameLocks noChangeAspect="1"/>
            </wp:cNvGraphicFramePr>
            <a:graphic>
              <a:graphicData uri="http://schemas.openxmlformats.org/drawingml/2006/picture">
                <pic:pic>
                  <pic:nvPicPr>
                    <pic:cNvPr id="0" name="codigo-inclinacion.png"/>
                    <pic:cNvPicPr/>
                  </pic:nvPicPr>
                  <pic:blipFill>
                    <a:blip r:embed="rId14"/>
                    <a:stretch>
                      <a:fillRect/>
                    </a:stretch>
                  </pic:blipFill>
                  <pic:spPr>
                    <a:xfrm>
                      <a:off x="0" y="0"/>
                      <a:ext cx="5577840" cy="1863793"/>
                    </a:xfrm>
                    <a:prstGeom prst="rect"/>
                  </pic:spPr>
                </pic:pic>
              </a:graphicData>
            </a:graphic>
          </wp:inline>
        </w:drawing>
      </w:r>
    </w:p>
    <w:p>
      <w:pPr>
        <w:pStyle w:val="ReportePie"/>
        <w:spacing w:after="160"/>
        <w:jc w:val="center"/>
      </w:pPr>
      <w:r>
        <w:t>Figura 6. Transformaciones de una de las cuatro pirámides superiores.</w:t>
      </w:r>
    </w:p>
    <w:p>
      <w:pPr>
        <w:pStyle w:val="ReporteCuerpo"/>
      </w:pPr>
      <w:r>
        <w:t>Los giros de -35.26438968° y 54.73561032°, junto con los factores de escala 1.41421356 y 0.70710678, producen una inclinación lateral, también llamada cizallamiento. Los valores corresponden a la raíz de 2, su inverso y el ángulo cuya tangente es 1 dividido entre la raíz de 2. Los giros alrededor de Y orientan esa inclinación hacia el centro de cada cuadrante.</w:t>
      </w:r>
    </w:p>
    <w:p>
      <w:pPr>
        <w:pStyle w:val="ReporteCuerpo"/>
      </w:pPr>
      <w:r>
        <w:t>La traslación (±0.25, 0.5, ±0.25) coloca las cuatro piezas superiores. Las otras cuatro repiten el mismo procedimiento y giran 180° alrededor de Z para formar la mitad inferior. En GLM, estas operaciones se multiplican sobre la matriz de entrada; cambiar su orden también cambia el resultado (GLM, s. f.).</w:t>
      </w:r>
    </w:p>
    <w:p>
      <w:pPr>
        <w:pStyle w:val="ReporteCuerpo"/>
      </w:pPr>
      <w:r>
        <w:t>Comprobé las coordenadas resultantes: las bases son cuadrados de lado 1 en Y = 0 y cada grupo comparte su punta. No hay ocho copias superpuestas del mismo volumen. Las cuatro piezas ocupan los cuatro cuadrantes de cada mitad. El arreglo original de posiciones de la pirámide no se modificó.</w:t>
      </w:r>
    </w:p>
    <w:p>
      <w:pPr>
        <w:pStyle w:val="ReporteEncabezado"/>
        <w:pageBreakBefore/>
      </w:pPr>
      <w:r>
        <w:t>2 Problemas encontrados y solución</w:t>
      </w:r>
    </w:p>
    <w:p>
      <w:pPr>
        <w:pStyle w:val="ReporteCuerpo"/>
      </w:pPr>
      <w:r>
        <w:t>Unión de las pirámides. Corregí los huecos y las puntas separadas mediante la inclinación del apartado anterior, documentada como P12 en CAMBIOS.md.</w:t>
      </w:r>
    </w:p>
    <w:p>
      <w:pPr>
        <w:pStyle w:val="ReporteCuerpo"/>
      </w:pPr>
      <w:r>
        <w:t>Cantidad de vértices. MeshColor usaba la cantidad de componentes como número de vértices. Corregí vertexCount para dividir entre seis: tres componentes XYZ y tres RGB. Así, los 108 componentes de la pirámide corresponden a 18 vértices. glDrawArrays cuenta vértices, no valores float (Khronos Group, s. f.).</w:t>
      </w:r>
    </w:p>
    <w:p>
      <w:pPr>
        <w:pStyle w:val="ReporteCuerpo"/>
      </w:pPr>
      <w:r>
        <w:t>Cilindro y cono. Corregí los índices del cilindro, que recorrían componentes en lugar de vértices. En el cono quité un punto de cierre adicional y agregué la base. Ambos usan RenderMesh, GL_TRIANGLES, 48 sectores y radio 1; su tamaño final se ajusta con la escala.</w:t>
      </w:r>
    </w:p>
    <w:p>
      <w:pPr>
        <w:pStyle w:val="ReporteCuerpo"/>
      </w:pPr>
      <w:r>
        <w:t>Inicialización y shaders. Inicialicé los atributos pendientes de Window, añadí el retorno de Initialise y lo comprobé en el main. Comenté la validación del programa antes de enlazar un VAO, conservando las comprobaciones de compilación y enlace. Estos ajustes, junto con el conteo de vértices, están marcados como P04, P09, P10 y P11.</w:t>
      </w:r>
    </w:p>
    <w:p>
      <w:pPr>
        <w:pStyle w:val="ReporteCuerpo"/>
      </w:pPr>
      <w:r>
        <w:t>Otros ajustes. Añadí las teclas 1, 2 y 3, cambié el fondo y el título, y guardé las fuentes en UTF-8. Los shaders conservan su contenido original. La solución reúne los archivos en un proyecto de Visual Studio para Windows.</w:t>
      </w:r>
    </w:p>
    <w:p>
      <w:pPr>
        <w:pStyle w:val="ReporteEncabezado"/>
        <w:pageBreakBefore w:val="0"/>
      </w:pPr>
      <w:r>
        <w:t>3 Conclusión</w:t>
      </w:r>
    </w:p>
    <w:p>
      <w:pPr>
        <w:pStyle w:val="ReporteCuerpo"/>
      </w:pPr>
      <w:r>
        <w:t>El cohete quedó construido con las cinco figuras solicitadas y el rombo con ocho pirámides de base cuadrada. Cerrar el rombo tomó más trabajo: repartir las piezas en dos niveles dejaba sus puntas separadas. La inclinación permitió unirlas sin volver a definir la malla.</w:t>
      </w:r>
    </w:p>
    <w:p>
      <w:pPr>
        <w:pStyle w:val="ReporteCuerpo"/>
      </w:pPr>
      <w:r>
        <w:t>Revisar una figura por separado me ayudó a comprobar la base azul, que queda oculta al cerrar el rombo. También fue importante documentar la transformación añadida: aunque utilicé las mismas funciones del ejemplo, la combinación necesaria para inclinar las piezas no estaba resuelta en él.</w:t>
      </w:r>
    </w:p>
    <w:p>
      <w:pPr>
        <w:pStyle w:val="ReporteEncabezado"/>
        <w:pageBreakBefore w:val="0"/>
      </w:pPr>
      <w:r>
        <w:t>4 Bibliografía</w:t>
      </w:r>
    </w:p>
    <w:p>
      <w:pPr>
        <w:pStyle w:val="ReporteCuerpo"/>
        <w:spacing w:line="240" w:lineRule="auto"/>
        <w:ind w:left="288" w:hanging="288"/>
        <w:jc w:val="left"/>
      </w:pPr>
      <w:r>
        <w:rPr>
          <w:sz w:val="20"/>
        </w:rPr>
        <w:t>GLM. (s. f.). GLM_EXT_matrix_transform. https://glm.g-truc.net/0.9.9/api/a00668.html</w:t>
      </w:r>
    </w:p>
    <w:p>
      <w:pPr>
        <w:pStyle w:val="ReporteCuerpo"/>
        <w:spacing w:line="240" w:lineRule="auto"/>
        <w:ind w:left="288" w:hanging="288"/>
        <w:jc w:val="left"/>
      </w:pPr>
      <w:r>
        <w:rPr>
          <w:sz w:val="20"/>
        </w:rPr>
        <w:t>Khronos Group. (s. f.). GLAPI/glDrawArrays. OpenGL Wiki. https://wikis.khronos.org/opengl/GLAPI/glDrawArrays</w:t>
      </w:r>
    </w:p>
    <w:p>
      <w:pPr>
        <w:pStyle w:val="ReporteCuerpo"/>
        <w:spacing w:line="240" w:lineRule="auto"/>
        <w:ind w:left="288" w:hanging="288"/>
        <w:jc w:val="left"/>
      </w:pPr>
      <w:r>
        <w:rPr>
          <w:sz w:val="20"/>
        </w:rPr>
        <w:t>Práctica 3: Modelado geométrico y cámara sintética. (2026). [Código C++ y shaders proporcionados en clase]. Facultad de Ingeniería, UNAM.</w:t>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MX"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ae2ec8"/>
    <w:rPr>
      <w:color w:themeColor="hyperlink" w:val="0563C1"/>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istParagraph">
    <w:name w:val="List Paragraph"/>
    <w:basedOn w:val="Normal"/>
    <w:uiPriority w:val="34"/>
    <w:qFormat/>
    <w:rsid w:val="00cb5b50"/>
    <w:pPr>
      <w:spacing w:before="0" w:after="160"/>
      <w:ind w:left="720"/>
      <w:contextualSpacing/>
    </w:pPr>
    <w:rPr/>
  </w:style>
  <w:style w:type="paragraph" w:styleId="NormalWeb">
    <w:name w:val="Normal (Web)"/>
    <w:basedOn w:val="Normal"/>
    <w:uiPriority w:val="99"/>
    <w:unhideWhenUsed/>
    <w:qFormat/>
    <w:rsid w:val="00ae2ec8"/>
    <w:pPr>
      <w:spacing w:lineRule="auto" w:line="240" w:beforeAutospacing="1" w:afterAutospacing="1"/>
    </w:pPr>
    <w:rPr>
      <w:rFonts w:ascii="Times New Roman" w:hAnsi="Times New Roman" w:eastAsia="Times New Roman" w:cs="Times New Roman"/>
      <w:sz w:val="24"/>
      <w:szCs w:val="24"/>
      <w:lang w:eastAsia="es-MX"/>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paragraph" w:customStyle="1" w:styleId="Title">
    <w:name w:val="Title"/>
    <w:basedOn w:val="Normal"/>
    <w:pPr>
      <w:keepNext/>
      <w:widowControl/>
      <w:spacing w:after="120" w:line="264" w:lineRule="auto" w:before="160"/>
    </w:pPr>
    <w:rPr>
      <w:rFonts w:ascii="Arial" w:hAnsi="Arial"/>
      <w:b/>
      <w:color w:val="000000"/>
      <w:sz w:val="28"/>
    </w:rPr>
  </w:style>
  <w:style w:type="paragraph" w:customStyle="1" w:styleId="ReporteEncabezado">
    <w:name w:val="Reporte Encabezado"/>
    <w:basedOn w:val="Normal"/>
    <w:pPr>
      <w:keepNext/>
      <w:widowControl/>
      <w:spacing w:after="120" w:line="264" w:lineRule="auto" w:before="160"/>
    </w:pPr>
    <w:rPr>
      <w:rFonts w:ascii="Arial" w:hAnsi="Arial"/>
      <w:b/>
      <w:color w:val="000000"/>
      <w:sz w:val="24"/>
    </w:rPr>
  </w:style>
  <w:style w:type="paragraph" w:customStyle="1" w:styleId="ReporteCuerpo">
    <w:name w:val="Reporte Cuerpo"/>
    <w:basedOn w:val="Normal"/>
    <w:pPr>
      <w:widowControl/>
      <w:spacing w:after="120" w:line="264" w:lineRule="auto"/>
      <w:jc w:val="both"/>
    </w:pPr>
    <w:rPr>
      <w:rFonts w:ascii="Arial" w:hAnsi="Arial"/>
      <w:b w:val="0"/>
      <w:color w:val="000000"/>
      <w:sz w:val="24"/>
    </w:rPr>
  </w:style>
  <w:style w:type="paragraph" w:customStyle="1" w:styleId="ReportePie">
    <w:name w:val="Reporte Pie"/>
    <w:basedOn w:val="Normal"/>
    <w:pPr>
      <w:widowControl/>
      <w:spacing w:after="120" w:line="264" w:lineRule="auto"/>
    </w:pPr>
    <w:rPr>
      <w:rFonts w:ascii="Arial" w:hAnsi="Arial"/>
      <w:b w:val="0"/>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TotalTime>
  <Application>LibreOffice/25.2.5.2$Windows_X86_64 LibreOffice_project/03d19516eb2e1dd5d4ccd751a0d6f35f35e08022</Application>
  <AppVersion>15.0000</AppVersion>
  <Pages>2</Pages>
  <Words>147</Words>
  <Characters>813</Characters>
  <CharactersWithSpaces>938</CharactersWithSpaces>
  <Paragraphs>22</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2016-08-17T00:07:00Z</dcterms:created>
  <dc:creator>Alan Barrientos</dc:creator>
  <dc:description/>
  <dc:language>es-MX</dc:language>
  <cp:lastModifiedBy>Alan Barrientos</cp:lastModifiedBy>
  <dcterms:modified xsi:type="dcterms:W3CDTF">2026-09-13T04:14:09Z</dcterms:modified>
  <cp:revision>19</cp:revision>
  <dc:subject>Laboratorio de Computación Gráfica e Interacción Humano Computadora</dc:subject>
  <dc:title>Reporte de práctica 03 Cohete espacial y rombo de ocho pirámides</dc:title>
</cp:coreProperties>
</file>

<file path=docProps/custom.xml><?xml version="1.0" encoding="utf-8"?>
<Properties xmlns="http://schemas.openxmlformats.org/officeDocument/2006/custom-properties" xmlns:vt="http://schemas.openxmlformats.org/officeDocument/2006/docPropsVTypes"/>
</file>