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98054" w14:textId="2D6517B2" w:rsidR="007401D5" w:rsidRPr="007401D5" w:rsidRDefault="007401D5" w:rsidP="007401D5">
      <w:r w:rsidRPr="007401D5">
        <w:t xml:space="preserve">FMCG Sales and Operations Dashboard Project Summary Report </w:t>
      </w:r>
    </w:p>
    <w:p w14:paraId="223D1D8A" w14:textId="77777777" w:rsidR="007401D5" w:rsidRPr="007401D5" w:rsidRDefault="007401D5" w:rsidP="007401D5">
      <w:r w:rsidRPr="007401D5">
        <w:pict w14:anchorId="69E84496">
          <v:rect id="_x0000_i1061" style="width:0;height:1.5pt" o:hralign="center" o:hrstd="t" o:hr="t" fillcolor="#a0a0a0" stroked="f"/>
        </w:pict>
      </w:r>
    </w:p>
    <w:p w14:paraId="1DA2F6E6" w14:textId="77777777" w:rsidR="007401D5" w:rsidRPr="007401D5" w:rsidRDefault="007401D5" w:rsidP="007401D5">
      <w:r w:rsidRPr="007401D5">
        <w:t>Project Overview</w:t>
      </w:r>
    </w:p>
    <w:p w14:paraId="0FE69F23" w14:textId="77777777" w:rsidR="007401D5" w:rsidRPr="007401D5" w:rsidRDefault="007401D5" w:rsidP="007401D5">
      <w:r w:rsidRPr="007401D5">
        <w:t>This report summarizes the findings from the FMCG Sales and Operations Dashboard built on daily transactional data covering sales, delivery, promotions, inventory, and channel performance across three regions and three sales channels.</w:t>
      </w:r>
    </w:p>
    <w:p w14:paraId="1D73C36E" w14:textId="77777777" w:rsidR="007401D5" w:rsidRPr="007401D5" w:rsidRDefault="007401D5" w:rsidP="007401D5">
      <w:r w:rsidRPr="007401D5">
        <w:pict w14:anchorId="0E9C13E0">
          <v:rect id="_x0000_i1062" style="width:0;height:1.5pt" o:hralign="center" o:hrstd="t" o:hr="t" fillcolor="#a0a0a0" stroked="f"/>
        </w:pict>
      </w:r>
    </w:p>
    <w:p w14:paraId="7D1D11E6" w14:textId="77777777" w:rsidR="007401D5" w:rsidRPr="007401D5" w:rsidRDefault="007401D5" w:rsidP="007401D5">
      <w:r w:rsidRPr="007401D5">
        <w:t>Overall Business Performance</w:t>
      </w:r>
    </w:p>
    <w:p w14:paraId="5F449492" w14:textId="77777777" w:rsidR="007401D5" w:rsidRPr="007401D5" w:rsidRDefault="007401D5" w:rsidP="007401D5">
      <w:r w:rsidRPr="007401D5">
        <w:t>The business generated 20M in total revenue with 3.8 to 4M units sold across 190K plus transactions. Average delivery time held steady at 3 days, indicating a reliable supply chain baseline.</w:t>
      </w:r>
    </w:p>
    <w:p w14:paraId="65049428" w14:textId="77777777" w:rsidR="007401D5" w:rsidRPr="007401D5" w:rsidRDefault="007401D5" w:rsidP="007401D5">
      <w:r w:rsidRPr="007401D5">
        <w:pict w14:anchorId="14B322A3">
          <v:rect id="_x0000_i1063" style="width:0;height:1.5pt" o:hralign="center" o:hrstd="t" o:hr="t" fillcolor="#a0a0a0" stroked="f"/>
        </w:pict>
      </w:r>
    </w:p>
    <w:p w14:paraId="7BB4AAAE" w14:textId="77777777" w:rsidR="007401D5" w:rsidRPr="007401D5" w:rsidRDefault="007401D5" w:rsidP="007401D5">
      <w:r w:rsidRPr="007401D5">
        <w:t>Business Questions Coverage</w:t>
      </w:r>
    </w:p>
    <w:p w14:paraId="5D04C17B" w14:textId="77777777" w:rsidR="007401D5" w:rsidRPr="007401D5" w:rsidRDefault="007401D5" w:rsidP="007401D5">
      <w:r w:rsidRPr="007401D5">
        <w:t>The blueprint defined 10 business questions. The two-page dashboard addresses 8 of them directly.</w:t>
      </w:r>
    </w:p>
    <w:p w14:paraId="1A7F77A8" w14:textId="77777777" w:rsidR="007401D5" w:rsidRPr="007401D5" w:rsidRDefault="007401D5" w:rsidP="007401D5">
      <w:r w:rsidRPr="007401D5">
        <w:t xml:space="preserve">Page 1 covers sales trends over time, top-performing SKUs, promotion effectiveness by SKU, channel revenue distribution, and regional performance by revenue and units sold. These five questions are fully answered through the Sales Trend area chart, Top Performing SKU bar chart, </w:t>
      </w:r>
      <w:proofErr w:type="spellStart"/>
      <w:r w:rsidRPr="007401D5">
        <w:t>Avg</w:t>
      </w:r>
      <w:proofErr w:type="spellEnd"/>
      <w:r w:rsidRPr="007401D5">
        <w:t xml:space="preserve"> Sales </w:t>
      </w:r>
      <w:proofErr w:type="gramStart"/>
      <w:r w:rsidRPr="007401D5">
        <w:t>With</w:t>
      </w:r>
      <w:proofErr w:type="gramEnd"/>
      <w:r w:rsidRPr="007401D5">
        <w:t xml:space="preserve"> and Without Promo chart, Revenue by Channel donut, and Revenue and Unit Sold by Region bar chart.</w:t>
      </w:r>
    </w:p>
    <w:p w14:paraId="271E380E" w14:textId="77777777" w:rsidR="007401D5" w:rsidRPr="007401D5" w:rsidRDefault="007401D5" w:rsidP="007401D5">
      <w:r w:rsidRPr="007401D5">
        <w:t>Page 2 covers delivery performance by channel and region, pack type revenue distribution, and brand-level sales and revenue. The Delivery Performance table breaks down average delivery days to the channel-region level. The Total Revenue by Pack Type donut and the Units Sold and Revenue by Brand horizontal bar chart close out these questions cleanly.</w:t>
      </w:r>
    </w:p>
    <w:p w14:paraId="4D594AA0" w14:textId="77777777" w:rsidR="007401D5" w:rsidRPr="007401D5" w:rsidRDefault="007401D5" w:rsidP="007401D5">
      <w:r w:rsidRPr="007401D5">
        <w:t>The two questions not covered in the dashboard are stock turnover rate and price sensitivity analysis. Both require derived calculations that were not visualized. Stock turnover matters for inventory planning and its absence is a gap worth flagging to management. Price sensitivity was acknowledged in the blueprint as advanced and can be deferred to a later version.</w:t>
      </w:r>
    </w:p>
    <w:p w14:paraId="7590B849" w14:textId="77777777" w:rsidR="007401D5" w:rsidRPr="007401D5" w:rsidRDefault="007401D5" w:rsidP="007401D5">
      <w:r w:rsidRPr="007401D5">
        <w:pict w14:anchorId="37448BC6">
          <v:rect id="_x0000_i1064" style="width:0;height:1.5pt" o:hralign="center" o:hrstd="t" o:hr="t" fillcolor="#a0a0a0" stroked="f"/>
        </w:pict>
      </w:r>
    </w:p>
    <w:p w14:paraId="4BFAB265" w14:textId="77777777" w:rsidR="007401D5" w:rsidRPr="007401D5" w:rsidRDefault="007401D5" w:rsidP="007401D5">
      <w:r w:rsidRPr="007401D5">
        <w:t>Key Findings</w:t>
      </w:r>
    </w:p>
    <w:p w14:paraId="6B9A997E" w14:textId="77777777" w:rsidR="007401D5" w:rsidRPr="007401D5" w:rsidRDefault="007401D5" w:rsidP="007401D5">
      <w:r w:rsidRPr="007401D5">
        <w:t xml:space="preserve">Revenue is split almost equally across all three channels: Retail at 33.36%, E-commerce at 33.35%, and Discount at 33.29%. No single channel dominates, which </w:t>
      </w:r>
      <w:r w:rsidRPr="007401D5">
        <w:lastRenderedPageBreak/>
        <w:t>suggests the business has healthy multi-channel reach but also means no clear priority exists for resource allocation without deeper margin data.</w:t>
      </w:r>
    </w:p>
    <w:p w14:paraId="24FF5795" w14:textId="77777777" w:rsidR="007401D5" w:rsidRPr="007401D5" w:rsidRDefault="007401D5" w:rsidP="007401D5">
      <w:r w:rsidRPr="007401D5">
        <w:t xml:space="preserve">All three regions contribute similarly </w:t>
      </w:r>
      <w:proofErr w:type="gramStart"/>
      <w:r w:rsidRPr="007401D5">
        <w:t>in</w:t>
      </w:r>
      <w:proofErr w:type="gramEnd"/>
      <w:r w:rsidRPr="007401D5">
        <w:t xml:space="preserve"> revenue. PL-South, PL-North, and PL-Central show comparable performance, meaning regional concentration risk is low.</w:t>
      </w:r>
    </w:p>
    <w:p w14:paraId="72CFBCAD" w14:textId="77777777" w:rsidR="007401D5" w:rsidRPr="007401D5" w:rsidRDefault="007401D5" w:rsidP="007401D5">
      <w:r w:rsidRPr="007401D5">
        <w:t>Sales peak between May and August and taper off toward year-end. This seasonal curve is a direct signal for inventory build-up timing and promotional scheduling.</w:t>
      </w:r>
    </w:p>
    <w:p w14:paraId="268638FA" w14:textId="77777777" w:rsidR="007401D5" w:rsidRPr="007401D5" w:rsidRDefault="007401D5" w:rsidP="007401D5">
      <w:r w:rsidRPr="007401D5">
        <w:t>YO-029 is the highest revenue-generating SKU, followed closely by YO-005 and YO-012. These three SKUs should be prioritized for stock availability and promotional investment.</w:t>
      </w:r>
    </w:p>
    <w:p w14:paraId="064499AD" w14:textId="77777777" w:rsidR="007401D5" w:rsidRPr="007401D5" w:rsidRDefault="007401D5" w:rsidP="007401D5">
      <w:r w:rsidRPr="007401D5">
        <w:t>Promotions consistently lift average sales across SKUs. The gap between promo and non-promo average sales is visible across all featured SKUs, confirming promotional spend is producing measurable results.</w:t>
      </w:r>
    </w:p>
    <w:p w14:paraId="10C846EF" w14:textId="77777777" w:rsidR="007401D5" w:rsidRPr="007401D5" w:rsidRDefault="007401D5" w:rsidP="007401D5">
      <w:r w:rsidRPr="007401D5">
        <w:t>Delivery days are nearly uniform across all channel-region combinations, ranging from 2.99 to 3.01 days. This consistency is positive, but the lack of variance also means there is no insight yet into whether any specific segment is underperforming against an SLA threshold.</w:t>
      </w:r>
    </w:p>
    <w:p w14:paraId="6E56046E" w14:textId="77777777" w:rsidR="007401D5" w:rsidRPr="007401D5" w:rsidRDefault="007401D5" w:rsidP="007401D5">
      <w:r w:rsidRPr="007401D5">
        <w:t>Pack type revenue is evenly distributed across Single, Multipack, and Carton formats at roughly 33% each, suggesting no dominant consumer preference currently.</w:t>
      </w:r>
    </w:p>
    <w:p w14:paraId="74F4E658" w14:textId="77777777" w:rsidR="007401D5" w:rsidRPr="007401D5" w:rsidRDefault="007401D5" w:rsidP="007401D5">
      <w:r w:rsidRPr="007401D5">
        <w:t>SnBrand2 leads brand performance in both units sold and revenue, followed by YoBrand4 and YoBrand3.</w:t>
      </w:r>
    </w:p>
    <w:p w14:paraId="7235BDDE" w14:textId="77777777" w:rsidR="007401D5" w:rsidRPr="007401D5" w:rsidRDefault="007401D5" w:rsidP="007401D5">
      <w:r w:rsidRPr="007401D5">
        <w:pict w14:anchorId="5BB30C7C">
          <v:rect id="_x0000_i1065" style="width:0;height:1.5pt" o:hralign="center" o:hrstd="t" o:hr="t" fillcolor="#a0a0a0" stroked="f"/>
        </w:pict>
      </w:r>
    </w:p>
    <w:p w14:paraId="12C1F040" w14:textId="77777777" w:rsidR="007401D5" w:rsidRPr="007401D5" w:rsidRDefault="007401D5" w:rsidP="007401D5">
      <w:r w:rsidRPr="007401D5">
        <w:t>Gaps and Recommendations</w:t>
      </w:r>
    </w:p>
    <w:p w14:paraId="352A91CE" w14:textId="77777777" w:rsidR="007401D5" w:rsidRPr="007401D5" w:rsidRDefault="007401D5" w:rsidP="007401D5">
      <w:r w:rsidRPr="007401D5">
        <w:t>Stock turnover analysis should be added in the next iteration. Without it, management cannot assess overstock or stockout risk by SKU or region.</w:t>
      </w:r>
    </w:p>
    <w:p w14:paraId="3D285B69" w14:textId="77777777" w:rsidR="007401D5" w:rsidRPr="007401D5" w:rsidRDefault="007401D5" w:rsidP="007401D5">
      <w:r w:rsidRPr="007401D5">
        <w:t>Price sensitivity visualization is missing. Even a basic price bucket versus average units sold chart would help the pricing team.</w:t>
      </w:r>
    </w:p>
    <w:p w14:paraId="5047A13D" w14:textId="77777777" w:rsidR="007401D5" w:rsidRPr="007401D5" w:rsidRDefault="007401D5" w:rsidP="007401D5">
      <w:r w:rsidRPr="007401D5">
        <w:t>A year-over-year comparison filter would strengthen the Sales Trend chart significantly. Currently the trend is shown in aggregate across all years, which limits its use for planning.</w:t>
      </w:r>
    </w:p>
    <w:p w14:paraId="67016FAF" w14:textId="77777777" w:rsidR="007401D5" w:rsidRPr="007401D5" w:rsidRDefault="007401D5" w:rsidP="007401D5">
      <w:r w:rsidRPr="007401D5">
        <w:t>The Delivery Performance table is informative but a visual format such as a heatmap or bar chart with a benchmark line at 3 days would communicate urgency more effectively to a non-technical audience.</w:t>
      </w:r>
    </w:p>
    <w:p w14:paraId="3D267433" w14:textId="77777777" w:rsidR="007401D5" w:rsidRPr="007401D5" w:rsidRDefault="007401D5" w:rsidP="007401D5">
      <w:r w:rsidRPr="007401D5">
        <w:pict w14:anchorId="7EF2DDEA">
          <v:rect id="_x0000_i1066" style="width:0;height:1.5pt" o:hralign="center" o:hrstd="t" o:hr="t" fillcolor="#a0a0a0" stroked="f"/>
        </w:pict>
      </w:r>
    </w:p>
    <w:p w14:paraId="0744AA63" w14:textId="77777777" w:rsidR="007401D5" w:rsidRPr="007401D5" w:rsidRDefault="007401D5" w:rsidP="007401D5">
      <w:r w:rsidRPr="007401D5">
        <w:t>Conclusion</w:t>
      </w:r>
    </w:p>
    <w:p w14:paraId="704953FB" w14:textId="77777777" w:rsidR="007401D5" w:rsidRPr="007401D5" w:rsidRDefault="007401D5" w:rsidP="007401D5">
      <w:r w:rsidRPr="007401D5">
        <w:t>The dashboard successfully answers 8 of 10 planned business questions and gives management a clear view of where revenue is coming from, which products are driving growth, whether promotions are working, and how delivery is performing. With two additional visuals for stock turnover and price sensitivity, this dashboard will be production-ready for weekly and monthly reporting cycles.</w:t>
      </w:r>
    </w:p>
    <w:p w14:paraId="480C6EAC" w14:textId="77777777" w:rsidR="0071192F" w:rsidRDefault="0071192F"/>
    <w:sectPr w:rsidR="00711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1D5"/>
    <w:rsid w:val="002371DF"/>
    <w:rsid w:val="0071192F"/>
    <w:rsid w:val="007401D5"/>
    <w:rsid w:val="00784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62602"/>
  <w15:chartTrackingRefBased/>
  <w15:docId w15:val="{D40019F6-868C-43AC-A8B7-925AF8176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1D5"/>
    <w:rPr>
      <w:rFonts w:eastAsiaTheme="majorEastAsia" w:cstheme="majorBidi"/>
      <w:color w:val="272727" w:themeColor="text1" w:themeTint="D8"/>
    </w:rPr>
  </w:style>
  <w:style w:type="paragraph" w:styleId="Title">
    <w:name w:val="Title"/>
    <w:basedOn w:val="Normal"/>
    <w:next w:val="Normal"/>
    <w:link w:val="TitleChar"/>
    <w:uiPriority w:val="10"/>
    <w:qFormat/>
    <w:rsid w:val="00740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1D5"/>
    <w:pPr>
      <w:spacing w:before="160"/>
      <w:jc w:val="center"/>
    </w:pPr>
    <w:rPr>
      <w:i/>
      <w:iCs/>
      <w:color w:val="404040" w:themeColor="text1" w:themeTint="BF"/>
    </w:rPr>
  </w:style>
  <w:style w:type="character" w:customStyle="1" w:styleId="QuoteChar">
    <w:name w:val="Quote Char"/>
    <w:basedOn w:val="DefaultParagraphFont"/>
    <w:link w:val="Quote"/>
    <w:uiPriority w:val="29"/>
    <w:rsid w:val="007401D5"/>
    <w:rPr>
      <w:i/>
      <w:iCs/>
      <w:color w:val="404040" w:themeColor="text1" w:themeTint="BF"/>
    </w:rPr>
  </w:style>
  <w:style w:type="paragraph" w:styleId="ListParagraph">
    <w:name w:val="List Paragraph"/>
    <w:basedOn w:val="Normal"/>
    <w:uiPriority w:val="34"/>
    <w:qFormat/>
    <w:rsid w:val="007401D5"/>
    <w:pPr>
      <w:ind w:left="720"/>
      <w:contextualSpacing/>
    </w:pPr>
  </w:style>
  <w:style w:type="character" w:styleId="IntenseEmphasis">
    <w:name w:val="Intense Emphasis"/>
    <w:basedOn w:val="DefaultParagraphFont"/>
    <w:uiPriority w:val="21"/>
    <w:qFormat/>
    <w:rsid w:val="007401D5"/>
    <w:rPr>
      <w:i/>
      <w:iCs/>
      <w:color w:val="0F4761" w:themeColor="accent1" w:themeShade="BF"/>
    </w:rPr>
  </w:style>
  <w:style w:type="paragraph" w:styleId="IntenseQuote">
    <w:name w:val="Intense Quote"/>
    <w:basedOn w:val="Normal"/>
    <w:next w:val="Normal"/>
    <w:link w:val="IntenseQuoteChar"/>
    <w:uiPriority w:val="30"/>
    <w:qFormat/>
    <w:rsid w:val="00740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1D5"/>
    <w:rPr>
      <w:i/>
      <w:iCs/>
      <w:color w:val="0F4761" w:themeColor="accent1" w:themeShade="BF"/>
    </w:rPr>
  </w:style>
  <w:style w:type="character" w:styleId="IntenseReference">
    <w:name w:val="Intense Reference"/>
    <w:basedOn w:val="DefaultParagraphFont"/>
    <w:uiPriority w:val="32"/>
    <w:qFormat/>
    <w:rsid w:val="007401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Manigandan Acharya</dc:creator>
  <cp:keywords/>
  <dc:description/>
  <cp:lastModifiedBy>Manigandan Acharya</cp:lastModifiedBy>
  <cp:revision>1</cp:revision>
  <dcterms:created xsi:type="dcterms:W3CDTF">2026-03-18T11:00:00Z</dcterms:created>
  <dcterms:modified xsi:type="dcterms:W3CDTF">2026-03-18T11:05:00Z</dcterms:modified>
</cp:coreProperties>
</file>