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φ-holografia-kompozycja-i-splątanie"/>
    <w:p>
      <w:pPr>
        <w:pStyle w:val="Heading1"/>
      </w:pPr>
      <w:r>
        <w:t xml:space="preserve">φ, HOLOGRAFIA, KOMPOZYCJA I SPLĄTANIE</w:t>
      </w:r>
    </w:p>
    <w:bookmarkStart w:id="20" w:name="wersja-2.2"/>
    <w:p>
      <w:pPr>
        <w:pStyle w:val="Heading2"/>
      </w:pPr>
      <w:r>
        <w:t xml:space="preserve">Wersja 2.2</w:t>
      </w:r>
    </w:p>
    <w:p>
      <w:pPr>
        <w:pStyle w:val="FirstParagraph"/>
      </w:pPr>
      <w:r>
        <w:rPr>
          <w:bCs/>
          <w:b/>
        </w:rPr>
        <w:t xml:space="preserve">Synteza pełnej ścieżki rozumowania</w:t>
      </w:r>
      <w:r>
        <w:br/>
      </w:r>
      <w:r>
        <w:rPr>
          <w:iCs/>
          <w:i/>
        </w:rPr>
        <w:t xml:space="preserve">Od przestrzeni φ przez algebrę kompozycji do testowalnego programu dla substratu KarmazynOS</w:t>
      </w:r>
    </w:p>
    <w:p>
      <w:pPr>
        <w:pStyle w:val="BlockText"/>
      </w:pPr>
      <w:r>
        <w:rPr>
          <w:bCs/>
          <w:b/>
        </w:rPr>
        <w:t xml:space="preserve">Główna teza</w:t>
      </w:r>
      <w:r>
        <w:br/>
      </w:r>
      <w:r>
        <w:t xml:space="preserve">Algebraiczna struktura φ jest</w:t>
      </w:r>
      <w:r>
        <w:t xml:space="preserve"> </w:t>
      </w:r>
      <w:r>
        <w:rPr>
          <w:bCs/>
          <w:b/>
        </w:rPr>
        <w:t xml:space="preserve">warunkiem koniecznym</w:t>
      </w:r>
      <w:r>
        <w:t xml:space="preserve"> </w:t>
      </w:r>
      <w:r>
        <w:t xml:space="preserve">pewnej klasy samopodobnych kompozycji.</w:t>
      </w:r>
      <w:r>
        <w:br/>
      </w:r>
      <w:r>
        <w:t xml:space="preserve">Nie jest warunkiem</w:t>
      </w:r>
      <w:r>
        <w:t xml:space="preserve"> </w:t>
      </w:r>
      <w:r>
        <w:rPr>
          <w:bCs/>
          <w:b/>
        </w:rPr>
        <w:t xml:space="preserve">dostatecznym</w:t>
      </w:r>
      <w:r>
        <w:t xml:space="preserve"> </w:t>
      </w:r>
      <w:r>
        <w:t xml:space="preserve">dla splątania kwantowego.</w:t>
      </w:r>
      <w:r>
        <w:br/>
      </w:r>
      <w:r>
        <w:t xml:space="preserve">Splątanie pojawia się dopiero wtedy, gdy ta algebra działa jako nierozkładalna reprezentacja w przestrzeni Hilberta chronionej przed lokalną dekoherencją.</w:t>
      </w:r>
    </w:p>
    <w:p>
      <w:r>
        <w:pict>
          <v:rect style="width:0;height:1.5pt" o:hralign="center" o:hrstd="t" o:hr="t"/>
        </w:pict>
      </w:r>
    </w:p>
    <w:bookmarkEnd w:id="20"/>
    <w:bookmarkStart w:id="21" w:name="kontekst-wyjściowy"/>
    <w:p>
      <w:pPr>
        <w:pStyle w:val="Heading2"/>
      </w:pPr>
      <w:r>
        <w:t xml:space="preserve">1. Kontekst wyjściowy</w:t>
      </w:r>
    </w:p>
    <w:p>
      <w:pPr>
        <w:pStyle w:val="FirstParagraph"/>
      </w:pPr>
      <w:r>
        <w:t xml:space="preserve">Dyskusja rozpoczęła się od wizualizacji przestrzeni opartej na złotym podziale (φ ≈ 1.618), następnie splotu tkaniny, kamuflażu, miasta i splotu Fibonacciego. Obrazy ujawniły powtarzającą się strukturę: lokalna gęstość + globalne samopodobieństwo. To doprowadziło do obserwacji, że przestrzeń φ jest mocno związana z fraktalami i rozkładem doskonałym (optymalnym wypełnieniem przy minimalnym konflikcie).</w:t>
      </w:r>
    </w:p>
    <w:p>
      <w:r>
        <w:pict>
          <v:rect style="width:0;height:1.5pt" o:hralign="center" o:hrstd="t" o:hr="t"/>
        </w:pict>
      </w:r>
    </w:p>
    <w:bookmarkEnd w:id="21"/>
    <w:bookmarkStart w:id="22" w:name="algebraiczne-własności-φ"/>
    <w:p>
      <w:pPr>
        <w:pStyle w:val="Heading2"/>
      </w:pPr>
      <w:r>
        <w:t xml:space="preserve">2. Algebraiczne własności φ</w:t>
      </w:r>
    </w:p>
    <w:p>
      <w:pPr>
        <w:pStyle w:val="FirstParagraph"/>
      </w:pPr>
      <w:r>
        <w:t xml:space="preserve">Złoty podział definiowany jest przez równanie: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 1 +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 po pomnożeniu stronami przez φ daje klasyczne równanie charakterystyczne: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^2 =</w:t>
      </w:r>
      <w:r>
        <w:t xml:space="preserve"> </w:t>
      </w:r>
      <w:r>
        <w:t xml:space="preserve">+ 1</w:t>
      </w:r>
      <w:r>
        <w:t xml:space="preserve"> </w:t>
      </w:r>
      <w:r>
        <w:t xml:space="preserve">^2 -</w:t>
      </w:r>
      <w:r>
        <w:t xml:space="preserve"> </w:t>
      </w:r>
      <w:r>
        <w:t xml:space="preserve">- 1 = 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Rozwiązania: (</w:t>
      </w:r>
      <w:r>
        <w:t xml:space="preserve">= (1+</w:t>
      </w:r>
      <w:r>
        <w:t xml:space="preserve">)/2</w:t>
      </w:r>
      <w:r>
        <w:t xml:space="preserve"> </w:t>
      </w:r>
      <w:r>
        <w:t xml:space="preserve">) oraz (</w:t>
      </w:r>
      <w:r>
        <w:t xml:space="preserve">’ = (1-</w:t>
      </w:r>
      <w:r>
        <w:t xml:space="preserve">)/2</w:t>
      </w:r>
      <w:r>
        <w:t xml:space="preserve"> </w:t>
      </w:r>
      <w:r>
        <w:t xml:space="preserve">) (czyli (-1/</w:t>
      </w:r>
      <w:r>
        <w:t xml:space="preserve">)).</w:t>
      </w:r>
    </w:p>
    <w:p>
      <w:pPr>
        <w:pStyle w:val="BodyText"/>
      </w:pPr>
      <w:r>
        <w:t xml:space="preserve">Potęgi spełniają: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^n = F_n</w:t>
      </w:r>
      <w:r>
        <w:t xml:space="preserve"> </w:t>
      </w:r>
      <w:r>
        <w:t xml:space="preserve">+ F_{n-1}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gdzie (F_n) to liczby Fibonacciego. Algebra jest domknięta względem mnożenia i dzielenia odcinków w proporcji φ.</w:t>
      </w:r>
    </w:p>
    <w:p>
      <w:r>
        <w:pict>
          <v:rect style="width:0;height:1.5pt" o:hralign="center" o:hrstd="t" o:hr="t"/>
        </w:pict>
      </w:r>
    </w:p>
    <w:bookmarkEnd w:id="22"/>
    <w:bookmarkStart w:id="23" w:name="wyprowadzenie-użytkownika-φ-hologram"/>
    <w:p>
      <w:pPr>
        <w:pStyle w:val="Heading2"/>
      </w:pPr>
      <w:r>
        <w:t xml:space="preserve">3. Wyprowadzenie użytkownika: φ ≡ hologram</w:t>
      </w:r>
    </w:p>
    <w:p>
      <w:pPr>
        <w:pStyle w:val="FirstParagraph"/>
      </w:pPr>
      <w:r>
        <w:t xml:space="preserve">Kluczowy krok intuicyjny: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_1</w:t>
      </w:r>
      <w:r>
        <w:t xml:space="preserve"> </w:t>
      </w:r>
      <w:r>
        <w:t xml:space="preserve">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Operacja (</w:t>
      </w:r>
      <w:r>
        <w:t xml:space="preserve">) oznacza wiązanie / kompozycję rozproszoną (analogicznie do splotu w HRR lub mnożenia w dziedzinie częstotliwości w holografii optycznej). Całość pozostaje strukturalnie podobna do części. Na tym etapie jest to</w:t>
      </w:r>
      <w:r>
        <w:t xml:space="preserve"> </w:t>
      </w:r>
      <w:r>
        <w:rPr>
          <w:bCs/>
          <w:b/>
        </w:rPr>
        <w:t xml:space="preserve">analogia strukturalna</w:t>
      </w:r>
      <w:r>
        <w:t xml:space="preserve">, nie twierdzenie.</w:t>
      </w:r>
    </w:p>
    <w:p>
      <w:r>
        <w:pict>
          <v:rect style="width:0;height:1.5pt" o:hralign="center" o:hrstd="t" o:hr="t"/>
        </w:pict>
      </w:r>
    </w:p>
    <w:bookmarkEnd w:id="23"/>
    <w:bookmarkStart w:id="24" w:name="zasada-holograficzna-kontekst-fizyczny"/>
    <w:p>
      <w:pPr>
        <w:pStyle w:val="Heading2"/>
      </w:pPr>
      <w:r>
        <w:t xml:space="preserve">4. Zasada holograficzna (kontekst fizyczny)</w:t>
      </w:r>
    </w:p>
    <w:p>
      <w:pPr>
        <w:pStyle w:val="FirstParagraph"/>
      </w:pPr>
      <w:r>
        <w:t xml:space="preserve">Zasada holograficzna (’t Hooft, Susskind; realizacja AdS/CFT – Maldacena) stwierdza, że opis objętości może być w pełni zakodowany na jej brzegu. Entropia Bekensteina czarnej dziury (S = A/(4</w:t>
      </w:r>
      <w:r>
        <w:t xml:space="preserve">_P^2)) jest powierzchniowa, nie objętościowa.</w:t>
      </w:r>
    </w:p>
    <w:p>
      <w:pPr>
        <w:pStyle w:val="BodyText"/>
      </w:pPr>
      <w:r>
        <w:t xml:space="preserve">Analogia strukturalna: całość = kompozycja na niższym wymiarze. φ jako najprostszy skalarny obiekt posiadający domkniętość przy kompozycji jest naturalnym modelem tej logiki na poziomie algebraicznym. Nie jest tożsamością formalną z zasadą holograficzną.</w:t>
      </w:r>
    </w:p>
    <w:p>
      <w:r>
        <w:pict>
          <v:rect style="width:0;height:1.5pt" o:hralign="center" o:hrstd="t" o:hr="t"/>
        </w:pict>
      </w:r>
    </w:p>
    <w:bookmarkEnd w:id="24"/>
    <w:bookmarkStart w:id="26" w:name="X2065df3e82ffad6ccdf896551a54ec9fb7f1f77"/>
    <w:p>
      <w:pPr>
        <w:pStyle w:val="Heading2"/>
      </w:pPr>
      <w:r>
        <w:t xml:space="preserve">5. Domknięcie formalne luki (wersja umotywowana)</w:t>
      </w:r>
    </w:p>
    <w:p>
      <w:pPr>
        <w:pStyle w:val="FirstParagraph"/>
      </w:pPr>
      <w:r>
        <w:t xml:space="preserve">Aby z (</w:t>
      </w:r>
      <w:r>
        <w:t xml:space="preserve">) i (H = H_1</w:t>
      </w:r>
      <w:r>
        <w:t xml:space="preserve"> </w:t>
      </w:r>
      <w:r>
        <w:t xml:space="preserve">H_2) formalnie wynikało (</w:t>
      </w:r>
      <w:r>
        <w:t xml:space="preserve">^2 =</w:t>
      </w:r>
      <w:r>
        <w:t xml:space="preserve"> </w:t>
      </w:r>
      <w:r>
        <w:t xml:space="preserve">+ 1), przyjmujemy następujące</w:t>
      </w:r>
      <w:r>
        <w:t xml:space="preserve"> </w:t>
      </w:r>
      <w:r>
        <w:rPr>
          <w:bCs/>
          <w:b/>
        </w:rPr>
        <w:t xml:space="preserve">motywowane</w:t>
      </w:r>
      <w:r>
        <w:t xml:space="preserve"> </w:t>
      </w:r>
      <w:r>
        <w:t xml:space="preserve">założenie o operacji (</w:t>
      </w:r>
      <w:r>
        <w:t xml:space="preserve">):</w:t>
      </w:r>
    </w:p>
    <w:bookmarkStart w:id="25" w:name="założenie"/>
    <w:p>
      <w:pPr>
        <w:pStyle w:val="Heading3"/>
      </w:pPr>
      <w:r>
        <w:t xml:space="preserve">Założenie</w:t>
      </w:r>
    </w:p>
    <w:p>
      <w:pPr>
        <w:pStyle w:val="FirstParagraph"/>
      </w:pPr>
      <w:r>
        <w:t xml:space="preserve">Kompozycja jest addycyjno-multiplikatywna w sensie: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;=; 1 +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Interpretacja (bezpośrednia analogia do fuzji):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t xml:space="preserve">) — iloczyn / fuzja dwóch identycznych obiektów,</w:t>
      </w:r>
    </w:p>
    <w:p>
      <w:pPr>
        <w:numPr>
          <w:ilvl w:val="0"/>
          <w:numId w:val="1001"/>
        </w:numPr>
        <w:pStyle w:val="Compact"/>
      </w:pPr>
      <w:r>
        <w:t xml:space="preserve">(1) — kanał tożsamościowy / próżnia (brak wkładu nietrywialnego),</w:t>
      </w:r>
    </w:p>
    <w:p>
      <w:pPr>
        <w:numPr>
          <w:ilvl w:val="0"/>
          <w:numId w:val="1001"/>
        </w:numPr>
        <w:pStyle w:val="Compact"/>
      </w:pPr>
      <w:r>
        <w:t xml:space="preserve">(+</w:t>
      </w:r>
      <w:r>
        <w:t xml:space="preserve">) — całość zachowuje ten sam typ, ale jest „bogatsza” o jeden obiekt podstawowy.</w:t>
      </w:r>
    </w:p>
    <w:p>
      <w:pPr>
        <w:pStyle w:val="FirstParagraph"/>
      </w:pPr>
      <w:r>
        <w:t xml:space="preserve">Jest to</w:t>
      </w:r>
      <w:r>
        <w:t xml:space="preserve"> </w:t>
      </w:r>
      <w:r>
        <w:rPr>
          <w:bCs/>
          <w:b/>
        </w:rPr>
        <w:t xml:space="preserve">dokładnie</w:t>
      </w:r>
      <w:r>
        <w:t xml:space="preserve"> </w:t>
      </w:r>
      <w:r>
        <w:t xml:space="preserve">struktura reguły fuzji Fibonacci anyonów: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;=; 1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Dodatnie rozwiązanie równania (</w:t>
      </w:r>
      <w:r>
        <w:t xml:space="preserve">^2 =</w:t>
      </w:r>
      <w:r>
        <w:t xml:space="preserve"> </w:t>
      </w:r>
      <w:r>
        <w:t xml:space="preserve">+ 1) to (</w:t>
      </w:r>
      <w:r>
        <w:t xml:space="preserve">=</w:t>
      </w:r>
      <w:r>
        <w:t xml:space="preserve"> </w:t>
      </w:r>
      <w:r>
        <w:t xml:space="preserve">).</w:t>
      </w:r>
      <w:r>
        <w:br/>
      </w:r>
      <w:r>
        <w:t xml:space="preserve">Założenie nie jest „ex machina” — jest przeniesieniem standardowej reguły fuzji na poziom abstrakcyjnego operatora kompozycji.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związki-ze-splątaniem-kwantowym"/>
    <w:p>
      <w:pPr>
        <w:pStyle w:val="Heading2"/>
      </w:pPr>
      <w:r>
        <w:t xml:space="preserve">6. Związki ze splątaniem kwantowym</w:t>
      </w:r>
    </w:p>
    <w:bookmarkStart w:id="27" w:name="fibonacci-anyons-najczystsza-korelacja"/>
    <w:p>
      <w:pPr>
        <w:pStyle w:val="Heading3"/>
      </w:pPr>
      <w:r>
        <w:t xml:space="preserve">6.1. Fibonacci anyons — najczystsza korelacja</w:t>
      </w:r>
    </w:p>
    <w:p>
      <w:pPr>
        <w:pStyle w:val="FirstParagraph"/>
      </w:pPr>
      <w:r>
        <w:t xml:space="preserve">Reguła fuzji: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 1 +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Wymiar kwantowy (d_</w:t>
      </w:r>
      <w:r>
        <w:t xml:space="preserve">) spełnia (d_</w:t>
      </w:r>
      <w:r>
        <w:t xml:space="preserve">^2 = d_</w:t>
      </w:r>
      <w:r>
        <w:t xml:space="preserve">+ 1), stąd (d_</w:t>
      </w:r>
      <w:r>
        <w:t xml:space="preserve">=</w:t>
      </w:r>
      <w:r>
        <w:t xml:space="preserve"> </w:t>
      </w:r>
      <w:r>
        <w:t xml:space="preserve">) [1, 2].</w:t>
      </w:r>
      <w:r>
        <w:br/>
      </w:r>
      <w:r>
        <w:t xml:space="preserve">Wymiar przestrzeni Hilberta (n) anyonów rośnie jak liczby Fibonacciego (</w:t>
      </w:r>
      <w:r>
        <w:t xml:space="preserve">^n).</w:t>
      </w:r>
    </w:p>
    <w:p>
      <w:pPr>
        <w:pStyle w:val="BodyText"/>
      </w:pPr>
      <w:r>
        <w:rPr>
          <w:bCs/>
          <w:b/>
        </w:rPr>
        <w:t xml:space="preserve">Mechanizm splątania (precyzyjnie):</w:t>
      </w:r>
    </w:p>
    <w:p>
      <w:pPr>
        <w:pStyle w:val="BodyText"/>
      </w:pPr>
      <w:r>
        <w:t xml:space="preserve">Sama reguła fuzji tworzy algebrę (zbliżoną do algebry Temperley-Lieb).</w:t>
      </w:r>
      <w:r>
        <w:br/>
      </w:r>
      <w:r>
        <w:t xml:space="preserve">Ta algebra</w:t>
      </w:r>
      <w:r>
        <w:t xml:space="preserve"> </w:t>
      </w:r>
      <w:r>
        <w:rPr>
          <w:bCs/>
          <w:b/>
        </w:rPr>
        <w:t xml:space="preserve">dopuszcza</w:t>
      </w:r>
      <w:r>
        <w:t xml:space="preserve"> </w:t>
      </w:r>
      <w:r>
        <w:t xml:space="preserve">zarówno reprezentacje rozkładalne, jak i nierozkładalne.</w:t>
      </w:r>
      <w:r>
        <w:br/>
      </w:r>
      <w:r>
        <w:t xml:space="preserve">Splątanie pojawia się dopiero wtedy, gdy wybierzemy</w:t>
      </w:r>
      <w:r>
        <w:t xml:space="preserve"> </w:t>
      </w:r>
      <w:r>
        <w:rPr>
          <w:bCs/>
          <w:b/>
        </w:rPr>
        <w:t xml:space="preserve">nierozkładalną reprezentację</w:t>
      </w:r>
      <w:r>
        <w:t xml:space="preserve"> </w:t>
      </w:r>
      <w:r>
        <w:t xml:space="preserve">w przestrzeni fuzji:</w:t>
      </w:r>
    </w:p>
    <w:p>
      <w:pPr>
        <w:numPr>
          <w:ilvl w:val="0"/>
          <w:numId w:val="1002"/>
        </w:numPr>
        <w:pStyle w:val="Compact"/>
      </w:pPr>
      <w:r>
        <w:t xml:space="preserve">dla (n &gt; 2) anyonów przestrzeń fuzji ma wymiar &gt; 1,</w:t>
      </w:r>
    </w:p>
    <w:p>
      <w:pPr>
        <w:numPr>
          <w:ilvl w:val="0"/>
          <w:numId w:val="1002"/>
        </w:numPr>
        <w:pStyle w:val="Compact"/>
      </w:pPr>
      <w:r>
        <w:t xml:space="preserve">stany topologicznie nierównoważne nie dają się zapisać jako iloczyn tensorowy niezależnych podukładów,</w:t>
      </w:r>
    </w:p>
    <w:p>
      <w:pPr>
        <w:numPr>
          <w:ilvl w:val="0"/>
          <w:numId w:val="1002"/>
        </w:numPr>
        <w:pStyle w:val="Compact"/>
      </w:pPr>
      <w:r>
        <w:t xml:space="preserve">macierz R (braiding) jest nietrywialnym endomorfizmem tej przestrzeni.</w:t>
      </w:r>
    </w:p>
    <w:p>
      <w:pPr>
        <w:pStyle w:val="FirstParagraph"/>
      </w:pPr>
      <w:r>
        <w:rPr>
          <w:bCs/>
          <w:b/>
        </w:rPr>
        <w:t xml:space="preserve">Konsekwencja:</w:t>
      </w:r>
      <w:r>
        <w:br/>
      </w:r>
      <w:r>
        <w:t xml:space="preserve">W nierozkładalnej reprezentacji fuzji</w:t>
      </w:r>
      <w:r>
        <w:t xml:space="preserve"> </w:t>
      </w:r>
      <w:r>
        <w:rPr>
          <w:bCs/>
          <w:b/>
        </w:rPr>
        <w:t xml:space="preserve">generyczne</w:t>
      </w:r>
      <w:r>
        <w:t xml:space="preserve"> </w:t>
      </w:r>
      <w:r>
        <w:t xml:space="preserve">wektory stanu mają niezerową redukcję entropii na każdy nietrywialny podukład (wymiar spektrum zredukowanej macierzy gęstości &gt; 1). Żaden taki generyczny stan nie jest czystym produktem tensorowym — jest splątany w sensie von Neumanna.</w:t>
      </w:r>
    </w:p>
    <w:p>
      <w:pPr>
        <w:pStyle w:val="BodyText"/>
      </w:pPr>
      <w:r>
        <w:rPr>
          <w:bCs/>
          <w:b/>
        </w:rPr>
        <w:t xml:space="preserve">Wniosek (warunkowy):</w:t>
      </w:r>
      <w:r>
        <w:br/>
      </w:r>
      <w:r>
        <w:t xml:space="preserve">Reguła fuzji → algebra Temperley-Lieb.</w:t>
      </w:r>
      <w:r>
        <w:br/>
      </w:r>
      <w:r>
        <w:rPr>
          <w:bCs/>
          <w:b/>
        </w:rPr>
        <w:t xml:space="preserve">Jeżeli</w:t>
      </w:r>
      <w:r>
        <w:t xml:space="preserve"> </w:t>
      </w:r>
      <w:r>
        <w:t xml:space="preserve">wybrana reprezentacja tej algebry jest nierozkładalna → splątanie topologiczne.</w:t>
      </w:r>
    </w:p>
    <w:bookmarkEnd w:id="27"/>
    <w:bookmarkStart w:id="28" w:name="inne-pojawienia-się-φ"/>
    <w:p>
      <w:pPr>
        <w:pStyle w:val="Heading3"/>
      </w:pPr>
      <w:r>
        <w:t xml:space="preserve">6.2. Inne pojawienia się φ</w:t>
      </w:r>
    </w:p>
    <w:p>
      <w:pPr>
        <w:numPr>
          <w:ilvl w:val="0"/>
          <w:numId w:val="1003"/>
        </w:numPr>
        <w:pStyle w:val="Compact"/>
      </w:pPr>
      <w:r>
        <w:t xml:space="preserve">Optymalna concurrence (Hardy/CHSH): (</w:t>
      </w:r>
      <w:r>
        <w:t xml:space="preserve">_{</w:t>
      </w:r>
      <w:r>
        <w:t xml:space="preserve">} = 3 -</w:t>
      </w:r>
      <w:r>
        <w:t xml:space="preserve"> </w:t>
      </w:r>
      <w:r>
        <w:t xml:space="preserve"> 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Stany super-koherentne fermion-bozon: ciągi concurrence zbiegają do wartości związanych z (1/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Entanglement w kryształach fotonicznych (hexagonally poled): przy rezonansie zyski rządzone przez φ.</w:t>
      </w:r>
    </w:p>
    <w:p>
      <w:pPr>
        <w:numPr>
          <w:ilvl w:val="0"/>
          <w:numId w:val="1003"/>
        </w:numPr>
        <w:pStyle w:val="Compact"/>
      </w:pPr>
      <w:r>
        <w:t xml:space="preserve">Krytyczność w monitorowanych łańcuchach Isinga / Fibonacci-driven: linie przejść przy stosunkach sił (=</w:t>
      </w:r>
      <w:r>
        <w:t xml:space="preserve">) lub (1/</w:t>
      </w:r>
      <w:r>
        <w:t xml:space="preserve">).</w:t>
      </w:r>
    </w:p>
    <w:bookmarkEnd w:id="28"/>
    <w:bookmarkStart w:id="29" w:name="granica-interpretacyjna"/>
    <w:p>
      <w:pPr>
        <w:pStyle w:val="Heading3"/>
      </w:pPr>
      <w:r>
        <w:t xml:space="preserve">6.3. Granica interpretacyjna</w:t>
      </w:r>
    </w:p>
    <w:p>
      <w:pPr>
        <w:pStyle w:val="FirstParagraph"/>
      </w:pPr>
      <w:r>
        <w:t xml:space="preserve">Przygotowanie „sceny” według algebry φ (sprzężenia, reguły fuzji) wymusza strukturę przestrzeni stanów zgodną z rekurencją.</w:t>
      </w:r>
      <w:r>
        <w:br/>
      </w:r>
      <w:r>
        <w:rPr>
          <w:bCs/>
          <w:b/>
        </w:rPr>
        <w:t xml:space="preserve">Nie jest to uniwersalne wymuszenie maksymalnego splątania dowolnego stanu</w:t>
      </w:r>
      <w:r>
        <w:t xml:space="preserve"> </w:t>
      </w:r>
      <w:r>
        <w:t xml:space="preserve">w zwykłym iloczynie tensorowym.</w:t>
      </w:r>
    </w:p>
    <w:bookmarkEnd w:id="29"/>
    <w:bookmarkStart w:id="30" w:name="kiedy-algebra-φ-nie-generuje-splątania"/>
    <w:p>
      <w:pPr>
        <w:pStyle w:val="Heading3"/>
      </w:pPr>
      <w:r>
        <w:t xml:space="preserve">6.4. Kiedy algebra φ</w:t>
      </w:r>
      <w:r>
        <w:t xml:space="preserve"> </w:t>
      </w:r>
      <w:r>
        <w:rPr>
          <w:bCs/>
          <w:b/>
        </w:rPr>
        <w:t xml:space="preserve">nie</w:t>
      </w:r>
      <w:r>
        <w:t xml:space="preserve"> </w:t>
      </w:r>
      <w:r>
        <w:t xml:space="preserve">generuje splątania</w:t>
      </w:r>
    </w:p>
    <w:p>
      <w:pPr>
        <w:pStyle w:val="FirstParagraph"/>
      </w:pPr>
      <w:r>
        <w:t xml:space="preserve">Struktura algebraiczna (</w:t>
      </w:r>
      <w:r>
        <w:t xml:space="preserve">= 1 +</w:t>
      </w:r>
      <w:r>
        <w:t xml:space="preserve"> </w:t>
      </w:r>
      <w:r>
        <w:t xml:space="preserve">) jest</w:t>
      </w:r>
      <w:r>
        <w:t xml:space="preserve"> </w:t>
      </w:r>
      <w:r>
        <w:rPr>
          <w:bCs/>
          <w:b/>
        </w:rPr>
        <w:t xml:space="preserve">konieczna, ale nie dostateczna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Wariant klasyczny (brak splątania):</w:t>
      </w:r>
      <w:r>
        <w:br/>
      </w:r>
      <w:r>
        <w:t xml:space="preserve">Niech (</w:t>
      </w:r>
      <w:r>
        <w:t xml:space="preserve"> </w:t>
      </w:r>
      <w:r>
        <w:t xml:space="preserve">= {I,</w:t>
      </w:r>
      <w:r>
        <w:t xml:space="preserve"> </w:t>
      </w:r>
      <w:r>
        <w:t xml:space="preserve">}) odpowiada klasycznym typom danych (np. liczby naturalne lub tagi w systemie typów).</w:t>
      </w:r>
      <w:r>
        <w:br/>
      </w:r>
      <w:r>
        <w:t xml:space="preserve">(C(</w:t>
      </w:r>
      <w:r>
        <w:t xml:space="preserve">,</w:t>
      </w:r>
      <w:r>
        <w:t xml:space="preserve"> </w:t>
      </w:r>
      <w:r>
        <w:t xml:space="preserve">) = I</w:t>
      </w:r>
      <w:r>
        <w:t xml:space="preserve"> </w:t>
      </w:r>
      <w:r>
        <w:t xml:space="preserve">) to reguła „τ ∗ τ daje typ I lub τ” (np. unia zbiorów / sumowanie tagów).</w:t>
      </w:r>
      <w:r>
        <w:br/>
      </w:r>
      <w:r>
        <w:t xml:space="preserve">Każdy „stan” to po prostu liczba lub lista liczb; reprezentacja to mapa w (</w:t>
      </w:r>
      <w:r>
        <w:t xml:space="preserve">).</w:t>
      </w:r>
      <w:r>
        <w:br/>
      </w:r>
      <w:r>
        <w:t xml:space="preserve">W tej realizacji mimo że (C) spełnia (</w:t>
      </w:r>
      <w:r>
        <w:t xml:space="preserve">= 1 +</w:t>
      </w:r>
      <w:r>
        <w:t xml:space="preserve"> </w:t>
      </w:r>
      <w:r>
        <w:t xml:space="preserve">),</w:t>
      </w:r>
      <w:r>
        <w:t xml:space="preserve"> </w:t>
      </w:r>
      <w:r>
        <w:rPr>
          <w:bCs/>
          <w:b/>
        </w:rPr>
        <w:t xml:space="preserve">brak splątania</w:t>
      </w:r>
      <w:r>
        <w:t xml:space="preserve"> </w:t>
      </w:r>
      <w:r>
        <w:t xml:space="preserve">— bo nie ma amplitud kwantowych, wektory nie żyją w (</w:t>
      </w:r>
      <w:r>
        <w:t xml:space="preserve">^n) i nie podlegają superpozycji.</w:t>
      </w:r>
    </w:p>
    <w:p>
      <w:pPr>
        <w:pStyle w:val="BodyText"/>
      </w:pPr>
      <w:r>
        <w:rPr>
          <w:bCs/>
          <w:b/>
        </w:rPr>
        <w:t xml:space="preserve">Wariant topologiczny (splątanie):</w:t>
      </w:r>
      <w:r>
        <w:br/>
      </w:r>
      <w:r>
        <w:t xml:space="preserve">Te same obiekty ({1,</w:t>
      </w:r>
      <w:r>
        <w:t xml:space="preserve"> </w:t>
      </w:r>
      <w:r>
        <w:t xml:space="preserve">}), ta sama reguła (C), ale reprezentacja w przestrzeni fuzji (wymiar (</w:t>
      </w:r>
      <w:r>
        <w:t xml:space="preserve">F_n)) z ochroną topologiczną. Amplitudy kwantowe + nierozkładalność → splątanie.</w:t>
      </w:r>
    </w:p>
    <w:p>
      <w:pPr>
        <w:pStyle w:val="BodyText"/>
      </w:pPr>
      <w:r>
        <w:rPr>
          <w:bCs/>
          <w:b/>
        </w:rPr>
        <w:t xml:space="preserve">Warunki dostateczne</w:t>
      </w:r>
      <w:r>
        <w:t xml:space="preserve"> </w:t>
      </w:r>
      <w:r>
        <w:t xml:space="preserve">dla splątania:</w:t>
      </w:r>
    </w:p>
    <w:p>
      <w:pPr>
        <w:numPr>
          <w:ilvl w:val="0"/>
          <w:numId w:val="1004"/>
        </w:numPr>
        <w:pStyle w:val="Compact"/>
      </w:pPr>
      <w:r>
        <w:t xml:space="preserve">Istnienie reprezentacji algebry w rzeczywistej przestrzeni Hilberta (</w:t>
      </w:r>
      <w:r>
        <w:t xml:space="preserve">),</w:t>
      </w:r>
    </w:p>
    <w:p>
      <w:pPr>
        <w:numPr>
          <w:ilvl w:val="0"/>
          <w:numId w:val="1004"/>
        </w:numPr>
        <w:pStyle w:val="Compact"/>
      </w:pPr>
      <w:r>
        <w:t xml:space="preserve">Nierozkładalność tej reprezentacji (stany nie są produktami),</w:t>
      </w:r>
    </w:p>
    <w:p>
      <w:pPr>
        <w:numPr>
          <w:ilvl w:val="0"/>
          <w:numId w:val="1004"/>
        </w:numPr>
        <w:pStyle w:val="Compact"/>
      </w:pPr>
      <w:r>
        <w:t xml:space="preserve">Ochrona przed lokalną dekoherencją / lokalnymi pomiarami (topologiczna albo praktyczna).</w:t>
      </w:r>
    </w:p>
    <w:p>
      <w:pPr>
        <w:pStyle w:val="FirstParagraph"/>
      </w:pPr>
      <w:r>
        <w:t xml:space="preserve">Bez tych trzech warunków algebra φ generuje jedynie rekurencję i samopodobieństwo, nie splątanie.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e7945aa804a1b54c6e3bb2c2e8ef34ff47e7794"/>
    <w:p>
      <w:pPr>
        <w:pStyle w:val="Heading2"/>
      </w:pPr>
      <w:r>
        <w:t xml:space="preserve">7. Implikacje dla KarmazynOS — operator kompozycji substratu</w:t>
      </w:r>
    </w:p>
    <w:p>
      <w:pPr>
        <w:pStyle w:val="FirstParagraph"/>
      </w:pPr>
      <w:r>
        <w:t xml:space="preserve">Atom substratu: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 (I, S, T, H, E,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Operator kompozycji (</w:t>
      </w:r>
      <w:r>
        <w:t xml:space="preserve">(</w:t>
      </w:r>
      <w:r>
        <w:t xml:space="preserve">_1,</w:t>
      </w:r>
      <w:r>
        <w:t xml:space="preserve"> </w:t>
      </w:r>
      <w:r>
        <w:t xml:space="preserve">_2)) jest mapą na obiektach substratu.</w:t>
      </w:r>
    </w:p>
    <w:p>
      <w:pPr>
        <w:pStyle w:val="BodyText"/>
      </w:pPr>
      <w:r>
        <w:rPr>
          <w:bCs/>
          <w:b/>
        </w:rPr>
        <w:t xml:space="preserve">Pytania badawcze (sekwencyjne):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Czy widmo (</w:t>
      </w:r>
      <w:r>
        <w:rPr>
          <w:bCs/>
          <w:b/>
        </w:rPr>
        <w:t xml:space="preserve">) zawiera strukturę Fibonacciego?</w:t>
      </w:r>
      <w:r>
        <w:br/>
      </w:r>
      <w:r>
        <w:t xml:space="preserve">(Test 8.1 — warunek konieczny)</w:t>
      </w:r>
    </w:p>
    <w:p>
      <w:pPr>
        <w:numPr>
          <w:ilvl w:val="1"/>
          <w:numId w:val="1006"/>
        </w:numPr>
        <w:pStyle w:val="Compact"/>
      </w:pPr>
      <w:r>
        <w:t xml:space="preserve">Jeśli</w:t>
      </w:r>
      <w:r>
        <w:t xml:space="preserve"> </w:t>
      </w:r>
      <w:r>
        <w:rPr>
          <w:bCs/>
          <w:b/>
        </w:rPr>
        <w:t xml:space="preserve">NIE</w:t>
      </w:r>
      <w:r>
        <w:t xml:space="preserve"> </w:t>
      </w:r>
      <w:r>
        <w:t xml:space="preserve">→ koniec; to nie jest klasa Fibonacci.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Jeśli</w:t>
      </w:r>
      <w:r>
        <w:t xml:space="preserve"> </w:t>
      </w:r>
      <w:r>
        <w:rPr>
          <w:bCs/>
          <w:b/>
        </w:rPr>
        <w:t xml:space="preserve">TAK</w:t>
      </w:r>
      <w:r>
        <w:t xml:space="preserve"> </w:t>
      </w:r>
      <w:r>
        <w:t xml:space="preserve">→ przejdź do pytania 2.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Czy reprezentacja jest nierozkładalna (i chroniona)?</w:t>
      </w:r>
      <w:r>
        <w:br/>
      </w:r>
      <w:r>
        <w:t xml:space="preserve">(Test 8.4 — warunek dostateczny)</w:t>
      </w:r>
    </w:p>
    <w:p>
      <w:pPr>
        <w:numPr>
          <w:ilvl w:val="1"/>
          <w:numId w:val="1007"/>
        </w:numPr>
        <w:pStyle w:val="Compact"/>
      </w:pPr>
      <w:r>
        <w:t xml:space="preserve">Jeśli</w:t>
      </w:r>
      <w:r>
        <w:t xml:space="preserve"> </w:t>
      </w:r>
      <w:r>
        <w:rPr>
          <w:bCs/>
          <w:b/>
        </w:rPr>
        <w:t xml:space="preserve">NIE</w:t>
      </w:r>
      <w:r>
        <w:t xml:space="preserve"> </w:t>
      </w:r>
      <w:r>
        <w:t xml:space="preserve">→ struktura algebraiczna obecna, splątanie nieobecne.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Jeśli</w:t>
      </w:r>
      <w:r>
        <w:t xml:space="preserve"> </w:t>
      </w:r>
      <w:r>
        <w:rPr>
          <w:bCs/>
          <w:b/>
        </w:rPr>
        <w:t xml:space="preserve">TAK</w:t>
      </w:r>
      <w:r>
        <w:t xml:space="preserve"> </w:t>
      </w:r>
      <w:r>
        <w:t xml:space="preserve">→ kandydat do struktury typu splątania.</w:t>
      </w:r>
    </w:p>
    <w:p>
      <w:r>
        <w:pict>
          <v:rect style="width:0;height:1.5pt" o:hralign="center" o:hrstd="t" o:hr="t"/>
        </w:pict>
      </w:r>
    </w:p>
    <w:bookmarkEnd w:id="32"/>
    <w:bookmarkStart w:id="37" w:name="program-testowy"/>
    <w:p>
      <w:pPr>
        <w:pStyle w:val="Heading2"/>
      </w:pPr>
      <w:r>
        <w:t xml:space="preserve">8. Program testowy</w:t>
      </w:r>
    </w:p>
    <w:bookmarkStart w:id="33" w:name="X28c00c15fa4373e33294f3637e3ab13ae706a81"/>
    <w:p>
      <w:pPr>
        <w:pStyle w:val="Heading3"/>
      </w:pPr>
      <w:r>
        <w:t xml:space="preserve">8.1. Definicja operatora kompozycji i test widma</w:t>
      </w:r>
    </w:p>
    <w:p>
      <w:pPr>
        <w:pStyle w:val="FirstParagraph"/>
      </w:pPr>
      <w:r>
        <w:t xml:space="preserve">Niech (</w:t>
      </w:r>
      <w:r>
        <w:t xml:space="preserve">) będzie zbiorem bazowych typów obiektów substratu.</w:t>
      </w:r>
    </w:p>
    <w:p>
      <w:pPr>
        <w:pStyle w:val="BodyText"/>
      </w:pPr>
      <w:r>
        <w:t xml:space="preserve">Definiujemy operator kompozycji jako mapę: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 </w:t>
      </w:r>
      <w:r>
        <w:t xml:space="preserve">;</w:t>
      </w:r>
      <w:r>
        <w:t xml:space="preserve">;</w:t>
      </w:r>
      <w:r>
        <w:t xml:space="preserve"> </w:t>
      </w:r>
      <w:r>
        <w:t xml:space="preserve">_c</w:t>
      </w:r>
      <w:r>
        <w:t xml:space="preserve"> </w:t>
      </w:r>
      <w:r>
        <w:t xml:space="preserve">_c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Macierzowo (C^c_{ab}) to współczynnik (typu Clebscha-Gordana) mówiący, z jaką wagą / amplitudą kompozycja obiektu (a) z obiektem (b) zawiera wynik typu (c).</w:t>
      </w:r>
    </w:p>
    <w:p>
      <w:pPr>
        <w:pStyle w:val="BodyText"/>
      </w:pPr>
      <w:r>
        <w:rPr>
          <w:bCs/>
          <w:b/>
        </w:rPr>
        <w:t xml:space="preserve">Przykład (Fibonacci anyons):</w:t>
      </w:r>
      <w:r>
        <w:br/>
      </w:r>
      <w:r>
        <w:t xml:space="preserve">Dla (</w:t>
      </w:r>
      <w:r>
        <w:t xml:space="preserve">= 1</w:t>
      </w:r>
      <w:r>
        <w:t xml:space="preserve"> </w:t>
      </w:r>
      <w:r>
        <w:t xml:space="preserve">) standardowa unitarna macierz (F) zawiera elementy zależne od (</w:t>
      </w:r>
      <w:r>
        <w:t xml:space="preserve">) [1, 2].</w:t>
      </w:r>
      <w:r>
        <w:br/>
      </w:r>
      <w:r>
        <w:t xml:space="preserve">Typowe wartości (w odpowiedniej normalizacji):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C^1_{</w:t>
      </w:r>
      <w:r>
        <w:t xml:space="preserve">}</w:t>
      </w:r>
      <w:r>
        <w:t xml:space="preserve"> </w:t>
      </w:r>
      <w:r>
        <w:rPr>
          <w:vertAlign w:val="superscript"/>
        </w:rPr>
        <w:t xml:space="preserve">{-1},</w:t>
      </w:r>
      <w:r>
        <w:rPr>
          <w:vertAlign w:val="superscript"/>
        </w:rPr>
        <w:t xml:space="preserve">C</w:t>
      </w:r>
      <w:r>
        <w:t xml:space="preserve">_{</w:t>
      </w:r>
      <w:r>
        <w:t xml:space="preserve">}</w:t>
      </w:r>
      <w:r>
        <w:t xml:space="preserve"> </w:t>
      </w:r>
      <w:r>
        <w:t xml:space="preserve">^{-1/2}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(dokładne fazy i normalizacja zależą od konwencji; patrz Nayak et al. 2008).</w:t>
      </w:r>
    </w:p>
    <w:p>
      <w:pPr>
        <w:pStyle w:val="BodyText"/>
      </w:pPr>
      <w:r>
        <w:t xml:space="preserve">Z macierzy (C) budujemy operator nadreprezentacji (A) (np. (A = CC^</w:t>
      </w:r>
      <w:r>
        <w:t xml:space="preserve">) lub odpowiednik w bazie obiektów).</w:t>
      </w:r>
      <w:r>
        <w:br/>
      </w:r>
      <w:r>
        <w:t xml:space="preserve">Wymiar (A) zależy od liczby typów w (</w:t>
      </w:r>
      <w:r>
        <w:t xml:space="preserve">) i liczby możliwych kanałów wynikowych.</w:t>
      </w:r>
      <w:r>
        <w:br/>
      </w:r>
      <w:r>
        <w:t xml:space="preserve">Dla małego zbioru typów (2–3) spodziewamy się wartości własnych bliskich (</w:t>
      </w:r>
      <w:r>
        <w:t xml:space="preserve">) i (-1/</w:t>
      </w:r>
      <w:r>
        <w:t xml:space="preserve">); dodatkowe wartości (w tym 0) mogą się pojawić przy większym wymiarze lub degeneracjach.</w:t>
      </w:r>
    </w:p>
    <w:p>
      <w:pPr>
        <w:pStyle w:val="BodyText"/>
      </w:pPr>
      <w:r>
        <w:rPr>
          <w:bCs/>
          <w:b/>
        </w:rPr>
        <w:t xml:space="preserve">Uwaga:</w:t>
      </w:r>
      <w:r>
        <w:t xml:space="preserve"> </w:t>
      </w:r>
      <w:r>
        <w:t xml:space="preserve">Test widma jest</w:t>
      </w:r>
      <w:r>
        <w:t xml:space="preserve"> </w:t>
      </w:r>
      <w:r>
        <w:rPr>
          <w:bCs/>
          <w:b/>
        </w:rPr>
        <w:t xml:space="preserve">konieczny</w:t>
      </w:r>
      <w:r>
        <w:t xml:space="preserve">, ale</w:t>
      </w:r>
      <w:r>
        <w:t xml:space="preserve"> </w:t>
      </w:r>
      <w:r>
        <w:rPr>
          <w:bCs/>
          <w:b/>
        </w:rPr>
        <w:t xml:space="preserve">niewystarczający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Szkic implementacji (pseudo-kod):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composition_spectrum(Obj, composition_rule):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Obj: lista typów bazowych</w:t>
      </w:r>
      <w:r>
        <w:br/>
      </w:r>
      <w:r>
        <w:rPr>
          <w:rStyle w:val="CommentTok"/>
        </w:rPr>
        <w:t xml:space="preserve">    composition_rule: funkcja zwracająca wagi C^c_ab</w:t>
      </w:r>
      <w:r>
        <w:br/>
      </w:r>
      <w:r>
        <w:rPr>
          <w:rStyle w:val="CommentTok"/>
        </w:rPr>
        <w:t xml:space="preserve">    Zwraca: wartości własne operatora kompozycji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(Obj)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C[a,b,c] = waga a ⊗ b → c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build_clebsch_tensor(Obj, composition_rule)  </w:t>
      </w:r>
      <w:r>
        <w:rPr>
          <w:rStyle w:val="CommentTok"/>
        </w:rPr>
        <w:t xml:space="preserve"># kształt (n,n,n)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Operator nadreprezentacji (jeden z możliwych wariantów)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contract(C, C)          </w:t>
      </w:r>
      <w:r>
        <w:rPr>
          <w:rStyle w:val="CommentTok"/>
        </w:rPr>
        <w:t xml:space="preserve"># np. sumowanie po wspólnym indeksie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eigvals(A)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(eigenvalues,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Oczekiwane wiodące: ≈ φ, ≈ -1/φ</w:t>
      </w:r>
    </w:p>
    <w:bookmarkEnd w:id="33"/>
    <w:bookmarkStart w:id="34" w:name="test-wzrostu-wymiaru-przestrzeni-stanów"/>
    <w:p>
      <w:pPr>
        <w:pStyle w:val="Heading3"/>
      </w:pPr>
      <w:r>
        <w:t xml:space="preserve">8.2. Test wzrostu wymiaru przestrzeni stanów</w:t>
      </w:r>
    </w:p>
    <w:p>
      <w:pPr>
        <w:pStyle w:val="FirstParagraph"/>
      </w:pPr>
      <w:r>
        <w:t xml:space="preserve">Sprawdzić wymiar (D_n) przestrzeni dostępnych stanów po (n) kompozycjach.</w:t>
      </w:r>
    </w:p>
    <w:p>
      <w:pPr>
        <w:pStyle w:val="BodyText"/>
      </w:pPr>
      <w:r>
        <w:t xml:space="preserve">Jeżeli (D_{n+1} = D_n + D_{n-1}), to (D_n</w:t>
      </w:r>
      <w:r>
        <w:t xml:space="preserve"> </w:t>
      </w:r>
      <w:r>
        <w:t xml:space="preserve">^n).</w:t>
      </w:r>
      <w:r>
        <w:br/>
      </w:r>
      <w:r>
        <w:t xml:space="preserve">Wtedy φ wynika z dynamiki liczby stanów, a nie z ręcznego wstawienia parametru.</w:t>
      </w:r>
    </w:p>
    <w:bookmarkEnd w:id="34"/>
    <w:bookmarkStart w:id="35" w:name="X2db3afca0764464e8ae3d8bf124657456fdcf77"/>
    <w:p>
      <w:pPr>
        <w:pStyle w:val="Heading3"/>
      </w:pPr>
      <w:r>
        <w:t xml:space="preserve">8.3. Łańcuch implikacji (z jawnym rozgałęzieniem)</w:t>
      </w:r>
    </w:p>
    <w:p>
      <w:pPr>
        <w:pStyle w:val="SourceCode"/>
      </w:pPr>
      <w:r>
        <w:rPr>
          <w:rStyle w:val="VerbatimChar"/>
        </w:rPr>
        <w:t xml:space="preserve">reguła kompozycji</w:t>
      </w:r>
      <w:r>
        <w:br/>
      </w:r>
      <w:r>
        <w:rPr>
          <w:rStyle w:val="VerbatimChar"/>
        </w:rPr>
        <w:t xml:space="preserve">    → rekurencja algebraiczna</w:t>
      </w:r>
      <w:r>
        <w:br/>
      </w:r>
      <w:r>
        <w:rPr>
          <w:rStyle w:val="VerbatimChar"/>
        </w:rPr>
        <w:t xml:space="preserve">    → φ jako wartość własna</w:t>
      </w:r>
      <w:r>
        <w:br/>
      </w:r>
      <w:r>
        <w:rPr>
          <w:rStyle w:val="VerbatimChar"/>
        </w:rPr>
        <w:t xml:space="preserve">    → struktura przestrzeni stanów (w abstrakcji)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[Wybór reprezentacji: czy obiekt żyje w przestrzeni Hilberta</w:t>
      </w:r>
      <w:r>
        <w:br/>
      </w:r>
      <w:r>
        <w:rPr>
          <w:rStyle w:val="VerbatimChar"/>
        </w:rPr>
        <w:t xml:space="preserve">    chronionej (topologicznie lub praktycznie) przed lokalnymi pomiarami?]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├─ TAK (wierna, nierozkładalna reprezentacja)</w:t>
      </w:r>
      <w:r>
        <w:br/>
      </w:r>
      <w:r>
        <w:rPr>
          <w:rStyle w:val="VerbatimChar"/>
        </w:rPr>
        <w:t xml:space="preserve">        │     → generyczne stany mają niezerową entropię zredukowaną</w:t>
      </w:r>
      <w:r>
        <w:br/>
      </w:r>
      <w:r>
        <w:rPr>
          <w:rStyle w:val="VerbatimChar"/>
        </w:rPr>
        <w:t xml:space="preserve">        │     → splątanie  ✓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NIE (klasyczna realizacja / lokalne fluktuacje)</w:t>
      </w:r>
      <w:r>
        <w:br/>
      </w:r>
      <w:r>
        <w:rPr>
          <w:rStyle w:val="VerbatimChar"/>
        </w:rPr>
        <w:t xml:space="preserve">              → struktura algebraiczna zachowana</w:t>
      </w:r>
      <w:r>
        <w:br/>
      </w:r>
      <w:r>
        <w:rPr>
          <w:rStyle w:val="VerbatimChar"/>
        </w:rPr>
        <w:t xml:space="preserve">              → splątanie niszczone lub nieobecne  ✗</w:t>
      </w:r>
    </w:p>
    <w:p>
      <w:pPr>
        <w:pStyle w:val="FirstParagraph"/>
      </w:pPr>
      <w:r>
        <w:rPr>
          <w:bCs/>
          <w:b/>
        </w:rPr>
        <w:t xml:space="preserve">Uwaga o ochronie:</w:t>
      </w:r>
      <w:r>
        <w:br/>
      </w:r>
      <w:r>
        <w:t xml:space="preserve">„Chroniona przed lokalnymi pomiarami” może oznaczać:</w:t>
      </w:r>
      <w:r>
        <w:t xml:space="preserve"> </w:t>
      </w:r>
      <w:r>
        <w:t xml:space="preserve">- ochronę</w:t>
      </w:r>
      <w:r>
        <w:t xml:space="preserve"> </w:t>
      </w:r>
      <w:r>
        <w:rPr>
          <w:bCs/>
          <w:b/>
        </w:rPr>
        <w:t xml:space="preserve">topologiczną</w:t>
      </w:r>
      <w:r>
        <w:t xml:space="preserve"> </w:t>
      </w:r>
      <w:r>
        <w:t xml:space="preserve">(informacja ukryta w globalnym porządku, lokalne pomiary nie niszczą jej w sposób łatwy),</w:t>
      </w:r>
      <w:r>
        <w:t xml:space="preserve"> </w:t>
      </w:r>
      <w:r>
        <w:t xml:space="preserve">- albo ochronę</w:t>
      </w:r>
      <w:r>
        <w:t xml:space="preserve"> </w:t>
      </w:r>
      <w:r>
        <w:rPr>
          <w:bCs/>
          <w:b/>
        </w:rPr>
        <w:t xml:space="preserve">praktyczną</w:t>
      </w:r>
      <w:r>
        <w:t xml:space="preserve"> </w:t>
      </w:r>
      <w:r>
        <w:t xml:space="preserve">(operacyjnie nie wykonujemy pomiarów niszczących).</w:t>
      </w:r>
    </w:p>
    <w:p>
      <w:pPr>
        <w:pStyle w:val="BodyText"/>
      </w:pPr>
      <w:r>
        <w:t xml:space="preserve">Dla KarmazynOS warto jasno rozróżnić, który wariant jest zakładany.</w:t>
      </w:r>
    </w:p>
    <w:bookmarkEnd w:id="35"/>
    <w:bookmarkStart w:id="36" w:name="test-splątania-obligatoryjny"/>
    <w:p>
      <w:pPr>
        <w:pStyle w:val="Heading3"/>
      </w:pPr>
      <w:r>
        <w:t xml:space="preserve">8.4. Test splątania (obligatoryjny)</w:t>
      </w:r>
    </w:p>
    <w:p>
      <w:pPr>
        <w:pStyle w:val="FirstParagraph"/>
      </w:pPr>
      <w:r>
        <w:t xml:space="preserve">Sam fakt posiadania widma φ nie dowodzi splątania.</w:t>
      </w:r>
    </w:p>
    <w:p>
      <w:pPr>
        <w:pStyle w:val="BodyText"/>
      </w:pPr>
      <w:r>
        <w:rPr>
          <w:bCs/>
          <w:b/>
        </w:rPr>
        <w:t xml:space="preserve">Procedura:</w:t>
      </w:r>
    </w:p>
    <w:p>
      <w:pPr>
        <w:numPr>
          <w:ilvl w:val="0"/>
          <w:numId w:val="1008"/>
        </w:numPr>
        <w:pStyle w:val="Compact"/>
      </w:pPr>
      <w:r>
        <w:t xml:space="preserve">Zdefiniować stan powstały z kompozycji (</w:t>
      </w:r>
      <w:r>
        <w:t xml:space="preserve">=</w:t>
      </w:r>
      <w:r>
        <w:t xml:space="preserve"> </w:t>
      </w:r>
      <w:r>
        <w:t xml:space="preserve">(</w:t>
      </w:r>
      <w:r>
        <w:t xml:space="preserve">_1</w:t>
      </w:r>
      <w:r>
        <w:t xml:space="preserve"> </w:t>
      </w:r>
      <w:r>
        <w:t xml:space="preserve">_2)).</w:t>
      </w:r>
    </w:p>
    <w:p>
      <w:pPr>
        <w:numPr>
          <w:ilvl w:val="0"/>
          <w:numId w:val="1008"/>
        </w:numPr>
        <w:pStyle w:val="Compact"/>
      </w:pPr>
      <w:r>
        <w:t xml:space="preserve">Obliczyć zredukowaną macierz gęstości jednego z podukładów.</w:t>
      </w:r>
    </w:p>
    <w:p>
      <w:pPr>
        <w:numPr>
          <w:ilvl w:val="0"/>
          <w:numId w:val="1008"/>
        </w:numPr>
        <w:pStyle w:val="Compact"/>
      </w:pPr>
      <w:r>
        <w:t xml:space="preserve">Policzyć entropię von Neumanna (S(</w:t>
      </w:r>
      <w:r>
        <w:t xml:space="preserve">_A)).</w:t>
      </w:r>
    </w:p>
    <w:p>
      <w:pPr>
        <w:numPr>
          <w:ilvl w:val="0"/>
          <w:numId w:val="1008"/>
        </w:numPr>
        <w:pStyle w:val="Compact"/>
      </w:pPr>
      <w:r>
        <w:t xml:space="preserve">Wykazać, że (S(</w:t>
      </w:r>
      <w:r>
        <w:t xml:space="preserve">_A) &gt; 0) dla generycznych stanów.</w:t>
      </w:r>
    </w:p>
    <w:p>
      <w:pPr>
        <w:numPr>
          <w:ilvl w:val="0"/>
          <w:numId w:val="1008"/>
        </w:numPr>
        <w:pStyle w:val="Compact"/>
      </w:pPr>
      <w:r>
        <w:t xml:space="preserve">(Opcjonalnie) sprawdzić naruszenie nierówności Bella lub inną miarę nierozkładalności.</w:t>
      </w:r>
    </w:p>
    <w:p>
      <w:pPr>
        <w:pStyle w:val="FirstParagraph"/>
      </w:pPr>
      <w:r>
        <w:rPr>
          <w:bCs/>
          <w:b/>
        </w:rPr>
        <w:t xml:space="preserve">Mapowanie dla KarmazynOS:</w:t>
      </w:r>
    </w:p>
    <w:p>
      <w:pPr>
        <w:numPr>
          <w:ilvl w:val="0"/>
          <w:numId w:val="1009"/>
        </w:numPr>
        <w:pStyle w:val="Compact"/>
      </w:pPr>
      <w:r>
        <w:t xml:space="preserve">Jeśli obiekty (</w:t>
      </w:r>
      <w:r>
        <w:t xml:space="preserve">) posiadają jawną reprezentację w przestrzeni fuzji / przestrzeni Hilberta (wymiar (</w:t>
      </w:r>
      <w:r>
        <w:t xml:space="preserve">) Fibonacci) — Test 8.4 ma pełne zastosowanie.</w:t>
      </w:r>
    </w:p>
    <w:p>
      <w:pPr>
        <w:numPr>
          <w:ilvl w:val="0"/>
          <w:numId w:val="1009"/>
        </w:numPr>
        <w:pStyle w:val="Compact"/>
      </w:pPr>
      <w:r>
        <w:t xml:space="preserve">Jeśli obiekty to jedynie tabele Lua / rekordy Cynober bez mapowania na przestrzeń amplitud — Test 8.4 nie ma bezpośredniego sensu. Wówczas pozostaje tylko Test 8.1 (widmo) z jasnym zaznaczeniem, że jest to test konieczny, ale niewystarczający.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weryfikacja-i-referencje"/>
    <w:p>
      <w:pPr>
        <w:pStyle w:val="Heading2"/>
      </w:pPr>
      <w:r>
        <w:t xml:space="preserve">9. Weryfikacja i referencje</w:t>
      </w:r>
    </w:p>
    <w:bookmarkStart w:id="38" w:name="twierdzenia-poprawne-standardowa-wiedza"/>
    <w:p>
      <w:pPr>
        <w:pStyle w:val="Heading3"/>
      </w:pPr>
      <w:r>
        <w:t xml:space="preserve">Twierdzenia poprawne (standardowa wiedza)</w:t>
      </w:r>
    </w:p>
    <w:p>
      <w:pPr>
        <w:numPr>
          <w:ilvl w:val="0"/>
          <w:numId w:val="1010"/>
        </w:numPr>
        <w:pStyle w:val="Compact"/>
      </w:pPr>
      <w:r>
        <w:t xml:space="preserve">Równanie (</w:t>
      </w:r>
      <w:r>
        <w:t xml:space="preserve">^2 =</w:t>
      </w:r>
      <w:r>
        <w:t xml:space="preserve"> </w:t>
      </w:r>
      <w:r>
        <w:t xml:space="preserve">+ 1) oraz (</w:t>
      </w:r>
      <w:r>
        <w:t xml:space="preserve">= 1 + 1/</w:t>
      </w:r>
      <w:r>
        <w:t xml:space="preserve">) — klasyczna definicja.</w:t>
      </w:r>
    </w:p>
    <w:p>
      <w:pPr>
        <w:numPr>
          <w:ilvl w:val="0"/>
          <w:numId w:val="1010"/>
        </w:numPr>
        <w:pStyle w:val="Compact"/>
      </w:pPr>
      <w:r>
        <w:t xml:space="preserve">Zasada holograficzna — poprawnie streszczona.</w:t>
      </w:r>
    </w:p>
    <w:p>
      <w:pPr>
        <w:numPr>
          <w:ilvl w:val="0"/>
          <w:numId w:val="1010"/>
        </w:numPr>
        <w:pStyle w:val="Compact"/>
      </w:pPr>
      <w:r>
        <w:t xml:space="preserve">Fibonacci anyons: reguła fuzji (</w:t>
      </w:r>
      <w:r>
        <w:t xml:space="preserve">= 1 +</w:t>
      </w:r>
      <w:r>
        <w:t xml:space="preserve"> </w:t>
      </w:r>
      <w:r>
        <w:t xml:space="preserve">), (d_</w:t>
      </w:r>
      <w:r>
        <w:t xml:space="preserve">=</w:t>
      </w:r>
      <w:r>
        <w:t xml:space="preserve"> </w:t>
      </w:r>
      <w:r>
        <w:t xml:space="preserve">), wzrost wymiaru (</w:t>
      </w:r>
      <w:r>
        <w:t xml:space="preserve">^n) — standard [1, 2].</w:t>
      </w:r>
    </w:p>
    <w:p>
      <w:pPr>
        <w:numPr>
          <w:ilvl w:val="0"/>
          <w:numId w:val="1010"/>
        </w:numPr>
        <w:pStyle w:val="Compact"/>
      </w:pPr>
      <w:r>
        <w:t xml:space="preserve">Pojawianie się φ w concurrence, stanach super-koherentnych i fotonice — potwierdzone w literaturze.</w:t>
      </w:r>
    </w:p>
    <w:bookmarkEnd w:id="38"/>
    <w:bookmarkStart w:id="39" w:name="X249a897f108c42c0febb5531c92e89aa66f496e"/>
    <w:p>
      <w:pPr>
        <w:pStyle w:val="Heading3"/>
      </w:pPr>
      <w:r>
        <w:t xml:space="preserve">Twierdzenia analogiczne / wymagające ostrożności</w:t>
      </w:r>
    </w:p>
    <w:p>
      <w:pPr>
        <w:numPr>
          <w:ilvl w:val="0"/>
          <w:numId w:val="1011"/>
        </w:numPr>
        <w:pStyle w:val="Compact"/>
      </w:pPr>
      <w:r>
        <w:t xml:space="preserve">„φ ≡ hologram” — mocna analogia strukturalna, nie dowód.</w:t>
      </w:r>
    </w:p>
    <w:p>
      <w:pPr>
        <w:numPr>
          <w:ilvl w:val="0"/>
          <w:numId w:val="1011"/>
        </w:numPr>
        <w:pStyle w:val="Compact"/>
      </w:pPr>
      <w:r>
        <w:t xml:space="preserve">„Algebra φ wymusza splątanie” —</w:t>
      </w:r>
      <w:r>
        <w:t xml:space="preserve"> </w:t>
      </w:r>
      <w:r>
        <w:rPr>
          <w:bCs/>
          <w:b/>
        </w:rPr>
        <w:t xml:space="preserve">nie</w:t>
      </w:r>
      <w:r>
        <w:t xml:space="preserve">. Algebra jest konieczna; splątanie wymaga dodatkowo nierozkładalnej reprezentacji w (</w:t>
      </w:r>
      <w:r>
        <w:t xml:space="preserve">) i ochrony przed lokalną dekoherencją.</w:t>
      </w:r>
    </w:p>
    <w:p>
      <w:pPr>
        <w:numPr>
          <w:ilvl w:val="0"/>
          <w:numId w:val="1011"/>
        </w:numPr>
        <w:pStyle w:val="Compact"/>
      </w:pPr>
      <w:r>
        <w:t xml:space="preserve">Program dla KarmazynOS — falsyfikowalna hipoteza badawcza, nie twierdzenie.</w:t>
      </w:r>
    </w:p>
    <w:bookmarkEnd w:id="39"/>
    <w:bookmarkStart w:id="40" w:name="wybrane-referencje"/>
    <w:p>
      <w:pPr>
        <w:pStyle w:val="Heading3"/>
      </w:pPr>
      <w:r>
        <w:t xml:space="preserve">Wybrane referencje</w:t>
      </w:r>
    </w:p>
    <w:p>
      <w:pPr>
        <w:pStyle w:val="FirstParagraph"/>
      </w:pPr>
      <w:r>
        <w:t xml:space="preserve">[1] Nayak C., Simon S.H., Stern A., Freedman M., Das Sarma S. (2008).</w:t>
      </w:r>
      <w:r>
        <w:br/>
      </w:r>
      <w:r>
        <w:rPr>
          <w:iCs/>
          <w:i/>
        </w:rPr>
        <w:t xml:space="preserve">Non-Abelian anyons and topological quantum computation</w:t>
      </w:r>
      <w:r>
        <w:t xml:space="preserve">.</w:t>
      </w:r>
      <w:r>
        <w:br/>
      </w:r>
      <w:r>
        <w:t xml:space="preserve">Reviews of Modern Physics 80, 1083.</w:t>
      </w:r>
    </w:p>
    <w:p>
      <w:pPr>
        <w:pStyle w:val="BodyText"/>
      </w:pPr>
      <w:r>
        <w:t xml:space="preserve">[2] Kitaev A.Yu. (2003).</w:t>
      </w:r>
      <w:r>
        <w:br/>
      </w:r>
      <w:r>
        <w:rPr>
          <w:iCs/>
          <w:i/>
        </w:rPr>
        <w:t xml:space="preserve">Fault-tolerant quantum computation by anyons</w:t>
      </w:r>
      <w:r>
        <w:t xml:space="preserve">.</w:t>
      </w:r>
      <w:r>
        <w:br/>
      </w:r>
      <w:r>
        <w:t xml:space="preserve">Annals of Physics 303, 2–30.</w:t>
      </w:r>
    </w:p>
    <w:p>
      <w:pPr>
        <w:pStyle w:val="BodyText"/>
      </w:pPr>
      <w:r>
        <w:t xml:space="preserve">[3] ’t Hooft G. (1993).</w:t>
      </w:r>
      <w:r>
        <w:br/>
      </w:r>
      <w:r>
        <w:rPr>
          <w:iCs/>
          <w:i/>
        </w:rPr>
        <w:t xml:space="preserve">Dimensional reduction in quantum gravity</w:t>
      </w:r>
      <w:r>
        <w:t xml:space="preserve">.</w:t>
      </w:r>
      <w:r>
        <w:br/>
      </w:r>
      <w:r>
        <w:t xml:space="preserve">arXiv:gr-qc/9310026.</w:t>
      </w:r>
    </w:p>
    <w:p>
      <w:pPr>
        <w:pStyle w:val="BodyText"/>
      </w:pPr>
      <w:r>
        <w:t xml:space="preserve">[4] Susskind L. (1995).</w:t>
      </w:r>
      <w:r>
        <w:br/>
      </w:r>
      <w:r>
        <w:rPr>
          <w:iCs/>
          <w:i/>
        </w:rPr>
        <w:t xml:space="preserve">The world as a hologram</w:t>
      </w:r>
      <w:r>
        <w:t xml:space="preserve">.</w:t>
      </w:r>
      <w:r>
        <w:br/>
      </w:r>
      <w:r>
        <w:t xml:space="preserve">Journal of Mathematical Physics 36, 6377.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tan-końcowy-wersja-2.2"/>
    <w:p>
      <w:pPr>
        <w:pStyle w:val="Heading2"/>
      </w:pPr>
      <w:r>
        <w:t xml:space="preserve">10. Stan końcowy (wersja 2.2)</w:t>
      </w:r>
    </w:p>
    <w:p>
      <w:pPr>
        <w:pStyle w:val="FirstParagraph"/>
      </w:pPr>
      <w:r>
        <w:t xml:space="preserve">Mamy w pełni zdyscyplinowaną ścieżkę:</w:t>
      </w:r>
    </w:p>
    <w:p>
      <w:pPr>
        <w:numPr>
          <w:ilvl w:val="0"/>
          <w:numId w:val="1012"/>
        </w:numPr>
        <w:pStyle w:val="Compact"/>
      </w:pPr>
      <w:r>
        <w:t xml:space="preserve">intuicja wizualna i algebraiczna φ,</w:t>
      </w:r>
    </w:p>
    <w:p>
      <w:pPr>
        <w:numPr>
          <w:ilvl w:val="0"/>
          <w:numId w:val="1012"/>
        </w:numPr>
        <w:pStyle w:val="Compact"/>
      </w:pPr>
      <w:r>
        <w:t xml:space="preserve">wyprowadzenie kompozycyjne z perspektywy holograficznej,</w:t>
      </w:r>
    </w:p>
    <w:p>
      <w:pPr>
        <w:numPr>
          <w:ilvl w:val="0"/>
          <w:numId w:val="1012"/>
        </w:numPr>
        <w:pStyle w:val="Compact"/>
      </w:pPr>
      <w:r>
        <w:t xml:space="preserve">formalne domknięcie przez założenie (A</w:t>
      </w:r>
      <w:r>
        <w:t xml:space="preserve"> </w:t>
      </w:r>
      <w:r>
        <w:t xml:space="preserve">A = I + A) umotywowane regułą fuzji,</w:t>
      </w:r>
    </w:p>
    <w:p>
      <w:pPr>
        <w:numPr>
          <w:ilvl w:val="0"/>
          <w:numId w:val="1012"/>
        </w:numPr>
        <w:pStyle w:val="Compact"/>
      </w:pPr>
      <w:r>
        <w:t xml:space="preserve">precyzyjny mechanizm warunkowy: nierozkładalna reprezentacja → generyczna niezerowa entropia zredukowana → splątanie,</w:t>
      </w:r>
    </w:p>
    <w:p>
      <w:pPr>
        <w:numPr>
          <w:ilvl w:val="0"/>
          <w:numId w:val="1012"/>
        </w:numPr>
        <w:pStyle w:val="Compact"/>
      </w:pPr>
      <w:r>
        <w:t xml:space="preserve">jasne warunki, kiedy algebra φ</w:t>
      </w:r>
      <w:r>
        <w:t xml:space="preserve"> </w:t>
      </w:r>
      <w:r>
        <w:rPr>
          <w:bCs/>
          <w:b/>
        </w:rPr>
        <w:t xml:space="preserve">nie</w:t>
      </w:r>
      <w:r>
        <w:t xml:space="preserve"> </w:t>
      </w:r>
      <w:r>
        <w:t xml:space="preserve">generuje splątania (wariant klasyczny vs topologiczny),</w:t>
      </w:r>
    </w:p>
    <w:p>
      <w:pPr>
        <w:numPr>
          <w:ilvl w:val="0"/>
          <w:numId w:val="1012"/>
        </w:numPr>
        <w:pStyle w:val="Compact"/>
      </w:pPr>
      <w:r>
        <w:t xml:space="preserve">program testowy z sekwencyjnymi pytaniami, jawnym rozgałęzieniem reprezentacji oraz rozróżnieniem ochrony topologicznej i praktycznej.</w:t>
      </w:r>
    </w:p>
    <w:p>
      <w:pPr>
        <w:pStyle w:val="FirstParagraph"/>
      </w:pPr>
      <w:r>
        <w:rPr>
          <w:bCs/>
          <w:b/>
        </w:rPr>
        <w:t xml:space="preserve">Najcenniejszy postulat operacyjny:</w:t>
      </w:r>
    </w:p>
    <w:p>
      <w:pPr>
        <w:pStyle w:val="BlockText"/>
      </w:pPr>
      <w:r>
        <w:t xml:space="preserve">Nie wstawiać φ.</w:t>
      </w:r>
      <w:r>
        <w:br/>
      </w:r>
      <w:r>
        <w:t xml:space="preserve">Pozwolić mu się wyłonić jako wartość własna operatora kompozycji,</w:t>
      </w:r>
      <w:r>
        <w:br/>
      </w:r>
      <w:r>
        <w:t xml:space="preserve">a następnie sprawdzić, czy reprezentacja jest nierozkładalna i chroniona.</w:t>
      </w:r>
    </w:p>
    <w:p>
      <w:pPr>
        <w:pStyle w:val="FirstParagraph"/>
      </w:pPr>
      <w:r>
        <w:rPr>
          <w:bCs/>
          <w:b/>
        </w:rPr>
        <w:t xml:space="preserve">Najważniejsze rozróżnienie:</w:t>
      </w:r>
    </w:p>
    <w:p>
      <w:pPr>
        <w:pStyle w:val="BlockText"/>
      </w:pPr>
      <w:r>
        <w:t xml:space="preserve">φ zmusza do algebraicznej struktury, która</w:t>
      </w:r>
      <w:r>
        <w:t xml:space="preserve"> </w:t>
      </w:r>
      <w:r>
        <w:rPr>
          <w:iCs/>
          <w:i/>
        </w:rPr>
        <w:t xml:space="preserve">może</w:t>
      </w:r>
      <w:r>
        <w:t xml:space="preserve"> </w:t>
      </w:r>
      <w:r>
        <w:t xml:space="preserve">nosić splątanie.</w:t>
      </w:r>
      <w:r>
        <w:br/>
      </w:r>
      <w:r>
        <w:t xml:space="preserve">Nie zmusza do splątania samego w sobie.</w:t>
      </w:r>
    </w:p>
    <w:p>
      <w:pPr>
        <w:pStyle w:val="FirstParagraph"/>
      </w:pPr>
      <w:r>
        <w:rPr>
          <w:bCs/>
          <w:b/>
        </w:rPr>
        <w:t xml:space="preserve">Następny krok eksperymentalny:</w:t>
      </w:r>
      <w:r>
        <w:br/>
      </w:r>
      <w:r>
        <w:t xml:space="preserve">Zaimplementować Test 8.1 (a w miarę możliwości także 8.4) dla konkretnego podmodułu KarmazynOS — najpierw na małym zbiorze typów bazowych, z ręcznie zadaną regułą kompozycji, potem z automatycznym ekstraktowaniem z warstwy substratu.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Wersja 2.2 — 17.08.2026</w:t>
      </w:r>
      <w:r>
        <w:br/>
      </w:r>
      <w:r>
        <w:rPr>
          <w:iCs/>
          <w:i/>
        </w:rPr>
        <w:t xml:space="preserve">Uwzględnia trzecią recenzję: „generyczne” zamiast „każdy”, warunkowość reprezentacji, referencje, sekwencyjność pytań, rozróżnienie ochrony, szkic implementacji.</w:t>
      </w:r>
    </w:p>
    <w:bookmarkEnd w:id="42"/>
    <w:bookmarkEnd w:id="43"/>
    <w:p>
      <w:pPr>
        <w:pStyle w:val="Heading2"/>
      </w:pPr>
      <w:r>
        <w:t>11. Podsumowanie po testach (18.08.2026)</w:t>
      </w:r>
    </w:p>
    <w:p>
      <w:pPr>
        <w:pStyle w:val="FirstParagraph"/>
      </w:pPr>
      <w:r>
        <w:t>Implementacja: KarmazynOs/test_phi_composition.py. 26 testów, wszystkie pozytywne. Zasada dokumentu zachowana: φ nie jest wstawiane — wynika z operatora kompozycji (kanały 0/1) albo nie wynika (kontrola ujemna i substrat).</w:t>
      </w:r>
    </w:p>
    <w:p>
      <w:pPr>
        <w:pStyle w:val="FirstParagraph"/>
      </w:pPr>
      <w:r>
        <w:t>Dwa testy z §7 idą sekwencyjnie. 8.1 jest konieczny. 8.4 ma sens dopiero po TAK w 8.1.</w:t>
      </w:r>
    </w:p>
    <w:p>
      <w:pPr>
        <w:pStyle w:val="Heading3"/>
      </w:pPr>
      <w:r>
        <w:t>11.1. Test 8.1 — widmo kompozycji (warunek konieczny)</w:t>
      </w:r>
    </w:p>
    <w:p>
      <w:pPr>
        <w:pStyle w:val="FirstParagraph"/>
      </w:pPr>
      <w:r>
        <w:t>Pytanie: czy operator mnożenia przez τ, zbudowany wyłącznie z kanałów fuzji 0/1, ma widmo spełniające równanie λ² − λ − 1 = 0?</w:t>
      </w:r>
    </w:p>
    <w:p>
      <w:pPr>
        <w:pStyle w:val="FirstParagraph"/>
      </w:pPr>
      <w:r>
        <w:t>Wejście: τ⊗τ = 1 ⊕ τ, 1⊗τ = τ. Macierz [[0,1],[1,1]] — same zera i jedynki, bez stałej φ.</w:t>
      </w:r>
    </w:p>
    <w:p>
      <w:pPr>
        <w:pStyle w:val="FirstParagraph"/>
      </w:pPr>
      <w:r>
        <w:t>Wynik: ślad 1, wyznacznik −1. Wartości własne spełniają równanie charakterystyczne φ. Iteracja potęgowa daje to samo. Wymiary przestrzeni (DP po kanałach, nie wpisany ciąg Fibonacciego) spełniają D_{n+1}=D_n+D_{n−1}; stosunek dąży do tego samego równania.</w:t>
      </w:r>
    </w:p>
    <w:p>
      <w:pPr>
        <w:pStyle w:val="FirstParagraph"/>
      </w:pPr>
      <w:r>
        <w:t>Kontrola ujemna (fuzja ℤ₂): widmo ±1, NIE spełnia λ² − λ − 1. Gdyby każda reguła dawała φ, test byłby nieważny.</w:t>
      </w:r>
    </w:p>
    <w:p>
      <w:pPr>
        <w:pStyle w:val="FirstParagraph"/>
      </w:pPr>
      <w:r>
        <w:t>Werdykt 8.1: algebra Fibonacci — TAK. To tylko warunek konieczny.</w:t>
      </w:r>
    </w:p>
    <w:p>
      <w:pPr>
        <w:pStyle w:val="Heading3"/>
      </w:pPr>
      <w:r>
        <w:t>11.2. Test 8.4 — nierozkładalność / splątanie (warunek dostateczny)</w:t>
      </w:r>
    </w:p>
    <w:p>
      <w:pPr>
        <w:pStyle w:val="FirstParagraph"/>
      </w:pPr>
      <w:r>
        <w:t>Pytanie: czy ta algebra działa jako nierozkładalna, chroniona reprezentacja Hilberta?</w:t>
      </w:r>
    </w:p>
    <w:p>
      <w:pPr>
        <w:pStyle w:val="FirstParagraph"/>
      </w:pPr>
      <w:r>
        <w:t>Przestrzeń fuzji (nie analogia dwóch kubitów): cztery anyony τ, cięcie 2+2, ładunek całkowity 1. Sklejają się tylko |1⊗1⟩ i |τ⊗τ⟩ — wymiar Hom(τ⁴, 1) = 2, wyliczony z DP kanałów.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Stan</w:t>
            </w:r>
          </w:p>
        </w:tc>
        <w:tc>
          <w:tcPr>
            <w:tcW w:type="dxa" w:w="3120"/>
          </w:tcPr>
          <w:p>
            <w:r>
              <w:t>S(ρ pary)</w:t>
            </w:r>
          </w:p>
        </w:tc>
        <w:tc>
          <w:tcPr>
            <w:tcW w:type="dxa" w:w="3120"/>
          </w:tcPr>
          <w:p>
            <w:r>
              <w:t>Sens</w:t>
            </w:r>
          </w:p>
        </w:tc>
      </w:tr>
      <w:tr>
        <w:tc>
          <w:tcPr>
            <w:tcW w:type="dxa" w:w="3120"/>
          </w:tcPr>
          <w:p>
            <w:r>
              <w:t>wektor bazy |1⊗1⟩ albo |τ⊗τ⟩</w:t>
            </w:r>
          </w:p>
        </w:tc>
        <w:tc>
          <w:tcPr>
            <w:tcW w:type="dxa" w:w="3120"/>
          </w:tcPr>
          <w:p>
            <w:r>
              <w:t>0</w:t>
            </w:r>
          </w:p>
        </w:tc>
        <w:tc>
          <w:tcPr>
            <w:tcW w:type="dxa" w:w="3120"/>
          </w:tcPr>
          <w:p>
            <w:r>
              <w:t>produkt fuzji</w:t>
            </w:r>
          </w:p>
        </w:tc>
      </w:tr>
      <w:tr>
        <w:tc>
          <w:tcPr>
            <w:tcW w:type="dxa" w:w="3120"/>
          </w:tcPr>
          <w:p>
            <w:r>
              <w:t>równa superpozycja</w:t>
            </w:r>
          </w:p>
        </w:tc>
        <w:tc>
          <w:tcPr>
            <w:tcW w:type="dxa" w:w="3120"/>
          </w:tcPr>
          <w:p>
            <w:r>
              <w:t>ln 2</w:t>
            </w:r>
          </w:p>
        </w:tc>
        <w:tc>
          <w:tcPr>
            <w:tcW w:type="dxa" w:w="3120"/>
          </w:tcPr>
          <w:p>
            <w:r>
              <w:t>maksimum w tej bazie</w:t>
            </w:r>
          </w:p>
        </w:tc>
      </w:tr>
      <w:tr>
        <w:tc>
          <w:tcPr>
            <w:tcW w:type="dxa" w:w="3120"/>
          </w:tcPr>
          <w:p>
            <w:r>
              <w:t>generyczny (obie składowe ≠ 0)</w:t>
            </w:r>
          </w:p>
        </w:tc>
        <w:tc>
          <w:tcPr>
            <w:tcW w:type="dxa" w:w="3120"/>
          </w:tcPr>
          <w:p>
            <w:r>
              <w:t>&gt; 0</w:t>
            </w:r>
          </w:p>
        </w:tc>
        <w:tc>
          <w:tcPr>
            <w:tcW w:type="dxa" w:w="3120"/>
          </w:tcPr>
          <w:p>
            <w:r>
              <w:t>stan nierozkładalny</w:t>
            </w:r>
          </w:p>
        </w:tc>
      </w:tr>
    </w:tbl>
    <w:p>
      <w:pPr>
        <w:pStyle w:val="FirstParagraph"/>
      </w:pPr>
      <w:r>
        <w:t>CHSH na analogii singletu: 2√2 &gt; 2 (ponad klasyczny strop). Stan produktowy: CHSH ≤ 2. Ta sama algebra klasycznie (tagi, Store, HRR, stany T): S = 0.</w:t>
      </w:r>
    </w:p>
    <w:p>
      <w:pPr>
        <w:pStyle w:val="FirstParagraph"/>
      </w:pPr>
      <w:r>
        <w:t>Werdykt 8.4: w przestrzeni Hilberta fuzji — kandydat na splątanie. Na substracie KarmazynOS (bąble / bind / T / HRR) — algebra bez splątania.</w:t>
      </w:r>
    </w:p>
    <w:p>
      <w:pPr>
        <w:pStyle w:val="Heading3"/>
      </w:pPr>
      <w:r>
        <w:t>11.3. Werdykt łączny i następny krok</w:t>
      </w:r>
    </w:p>
    <w:p>
      <w:pPr>
        <w:pStyle w:val="FirstParagraph"/>
      </w:pPr>
      <w:r>
        <w:t>8.1 TAK → wolno pytać o 8.4. 8.4 TAK tylko tam, gdzie są amplitudy i cięcie podukładu. 8.4 NIE na Store / HRR / Lua / tagach.</w:t>
      </w:r>
    </w:p>
    <w:p>
      <w:pPr>
        <w:pStyle w:val="FirstParagraph"/>
      </w:pPr>
      <w:r>
        <w:t>To potwierdza tezę dokumentu: φ zmusza do algebraicznej struktury, która może nosić splątanie. Nie zmusza do splątania samego w sobie.</w:t>
      </w:r>
    </w:p>
    <w:p>
      <w:pPr>
        <w:pStyle w:val="FirstParagraph"/>
      </w:pPr>
      <w:r>
        <w:t>Następny krok (wciąż otwarty): automatyczne wyciągnięcie reguły kompozycji z warstwy substratu jako operatora fuzji — sonda pokazuje, że obecny Store/HRR/T tej reguły nie realizuje.</w:t>
      </w:r>
    </w:p>
    <w:p>
      <w:pPr>
        <w:pStyle w:val="FirstParagraph"/>
      </w:pPr>
      <w:r>
        <w:t>Uruchomienie: python -m unittest test_phi_composition -v  (katalog KarmazynOs). Wynik: 26/26 OK.</w:t>
      </w:r>
    </w:p>
    <w:p>
      <w:pPr>
        <w:pStyle w:val="FirstParagraph"/>
      </w:pPr>
      <w:r>
        <w:t>Wersja 2.2 + dodatek testowy — 18.08.2026.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2026-08-17T20:09:10Z</dcterms:created>
  <dcterms:modified xsi:type="dcterms:W3CDTF">2026-08-17T20:09:10Z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