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6B"/>
          <w:sz w:val="48"/>
          <w:szCs w:val="48"/>
        </w:rPr>
        <w:t xml:space="preserve">KarmazynMatrix v3.1</w:t>
      </w:r>
    </w:p>
    <w:p>
      <w:pPr>
        <w:spacing w:after="80" w:before="0"/>
        <w:jc w:val="center"/>
      </w:pPr>
      <w:r>
        <w:rPr>
          <w:rFonts w:ascii="Arial" w:cs="Arial" w:eastAsia="Arial" w:hAnsi="Arial"/>
          <w:i/>
          <w:iCs/>
          <w:color w:val="444444"/>
          <w:sz w:val="28"/>
          <w:szCs w:val="28"/>
        </w:rPr>
        <w:t xml:space="preserve">Temperature-Modulated Attractor Dynamics in High-Dimensional VSA Space</w:t>
      </w:r>
    </w:p>
    <w:p>
      <w:pPr>
        <w:spacing w:after="60" w:before="60"/>
        <w:jc w:val="center"/>
      </w:pPr>
      <w:r>
        <w:rPr>
          <w:rFonts w:ascii="Arial" w:cs="Arial" w:eastAsia="Arial" w:hAnsi="Arial"/>
          <w:sz w:val="22"/>
          <w:szCs w:val="22"/>
        </w:rPr>
        <w:t xml:space="preserve">Maciej Mazur (EriAmo) | Independent Research | Warsaw, Poland</w:t>
      </w:r>
    </w:p>
    <w:p>
      <w:pPr>
        <w:spacing w:after="320" w:before="40"/>
        <w:jc w:val="center"/>
      </w:pPr>
      <w:r>
        <w:rPr>
          <w:rFonts w:ascii="Arial" w:cs="Arial" w:eastAsia="Arial" w:hAnsi="Arial"/>
          <w:color w:val="888888"/>
          <w:sz w:val="20"/>
          <w:szCs w:val="20"/>
        </w:rPr>
        <w:t xml:space="preserve">April 2026 | Preprint v3.1 | Status: Under Review</w:t>
      </w:r>
    </w:p>
    <w:p>
      <w:pPr>
        <w:pStyle w:val="Heading1"/>
        <w:spacing w:after="120" w:before="360"/>
      </w:pPr>
      <w:r>
        <w:rPr>
          <w:rFonts w:ascii="Arial" w:cs="Arial" w:eastAsia="Arial" w:hAnsi="Arial"/>
          <w:b/>
          <w:bCs/>
          <w:sz w:val="32"/>
          <w:szCs w:val="32"/>
        </w:rPr>
        <w:t xml:space="preserve">Abstract</w:t>
      </w:r>
    </w:p>
    <w:p>
      <w:pPr>
        <w:spacing w:after="60" w:before="60"/>
        <w:jc w:val="both"/>
      </w:pPr>
      <w:r>
        <w:rPr>
          <w:rFonts w:ascii="Arial" w:cs="Arial" w:eastAsia="Arial" w:hAnsi="Arial"/>
          <w:sz w:val="22"/>
          <w:szCs w:val="22"/>
        </w:rPr>
        <w:t xml:space="preserve">We present KarmazynMatrix, a self-organising dynamical system over unit vectors in a 4096-dimensional Vector Symbolic Architecture (VSA) space. Atoms — unit vectors paired with scalar temperatures — evolve under decay, resonance, and holographic friction. A temperature-weighted superposition (the Trace) acts as a global attractor field. We demonstrate that this system reliably separates a structured core from injected noise and adversarial vectors within 30 epochs, converging to a stable 3-atom attractor. Version 3.1 introduces a weighted-trace formulation consistent with the temperature-as-salience interpretation, a formal energy functional E = −Σᵢ Tᵢ⟨Sᵢ, Trace⟩, and comprehensive per-epoch diagnostic logging.</w:t>
      </w:r>
    </w:p>
    <w:p>
      <w:pPr>
        <w:spacing w:after="60" w:before="60"/>
      </w:pPr>
      <w:r>
        <w:t xml:space="preserve"/>
      </w:r>
    </w:p>
    <w:p>
      <w:pPr>
        <w:spacing w:after="60" w:before="60"/>
        <w:jc w:val="both"/>
      </w:pPr>
      <w:r>
        <w:rPr>
          <w:rFonts w:ascii="Arial" w:cs="Arial" w:eastAsia="Arial" w:hAnsi="Arial"/>
          <w:sz w:val="22"/>
          <w:szCs w:val="22"/>
        </w:rPr>
        <w:t xml:space="preserve">The system is reproducible (deterministic seed=42), and all results reported here were independently verified. We frame this work as a proof-of-concept for selection-by-geometry in VSA fields, not as a general-purpose operating system or a model of consciousness. Limitations and open benchmarks are documented explicitly.</w:t>
      </w:r>
    </w:p>
    <w:p>
      <w:pPr>
        <w:spacing w:after="60" w:before="60"/>
      </w:pPr>
      <w:r>
        <w:t xml:space="preserve"/>
      </w:r>
    </w:p>
    <w:p>
      <w:pPr>
        <w:pStyle w:val="Heading1"/>
        <w:spacing w:after="120" w:before="360"/>
      </w:pPr>
      <w:r>
        <w:rPr>
          <w:rFonts w:ascii="Arial" w:cs="Arial" w:eastAsia="Arial" w:hAnsi="Arial"/>
          <w:b/>
          <w:bCs/>
          <w:sz w:val="32"/>
          <w:szCs w:val="32"/>
        </w:rPr>
        <w:t xml:space="preserve">1. Introduction</w:t>
      </w:r>
    </w:p>
    <w:p>
      <w:pPr>
        <w:spacing w:after="60" w:before="60"/>
        <w:jc w:val="both"/>
      </w:pPr>
      <w:r>
        <w:rPr>
          <w:rFonts w:ascii="Arial" w:cs="Arial" w:eastAsia="Arial" w:hAnsi="Arial"/>
          <w:sz w:val="22"/>
          <w:szCs w:val="22"/>
        </w:rPr>
        <w:t xml:space="preserve">Classical computational architectures enforce order through hierarchical control: schedulers, permission tables, and explicit state machines. An alternative paradigm — computing through the physics of high-dimensional geometry — has been explored under the banner of Vector Symbolic Architectures (VSA) [Plate 1995, Kanerva 2009]. In VSA, concepts are represented as high-dimensional unit vectors; binding and superposition replace pointer arithmetic; similarity replaces equality.</w:t>
      </w:r>
    </w:p>
    <w:p>
      <w:pPr>
        <w:spacing w:after="60" w:before="60"/>
      </w:pPr>
      <w:r>
        <w:t xml:space="preserve"/>
      </w:r>
    </w:p>
    <w:p>
      <w:pPr>
        <w:spacing w:after="60" w:before="60"/>
        <w:jc w:val="both"/>
      </w:pPr>
      <w:r>
        <w:rPr>
          <w:rFonts w:ascii="Arial" w:cs="Arial" w:eastAsia="Arial" w:hAnsi="Arial"/>
          <w:sz w:val="22"/>
          <w:szCs w:val="22"/>
        </w:rPr>
        <w:t xml:space="preserve">KarmazynMatrix asks whether a minimal dynamical system over VSA vectors can achieve robust signal-noise separation without any explicit classifier or learned weights. The answer, empirically, is yes: a temperature-decay-resonance loop with a weighted global field reliably eliminates low-coherence atoms while amplifying a stable attractor.</w:t>
      </w:r>
    </w:p>
    <w:p>
      <w:pPr>
        <w:spacing w:after="60" w:before="60"/>
      </w:pPr>
      <w:r>
        <w:t xml:space="preserve"/>
      </w:r>
    </w:p>
    <w:p>
      <w:pPr>
        <w:spacing w:after="60" w:before="60"/>
        <w:jc w:val="both"/>
      </w:pPr>
      <w:r>
        <w:rPr>
          <w:rFonts w:ascii="Arial" w:cs="Arial" w:eastAsia="Arial" w:hAnsi="Arial"/>
          <w:sz w:val="22"/>
          <w:szCs w:val="22"/>
        </w:rPr>
        <w:t xml:space="preserve">This document describes version 3.1, which corrects a mathematical inconsistency in v3.0 (unweighted trace), adds a formal energy functional, and replaces speculative language with precise dynamical-systems framing.</w:t>
      </w:r>
    </w:p>
    <w:p>
      <w:pPr>
        <w:spacing w:after="60" w:before="60"/>
      </w:pPr>
      <w:r>
        <w:t xml:space="preserve"/>
      </w:r>
    </w:p>
    <w:p>
      <w:pPr>
        <w:pStyle w:val="Heading1"/>
        <w:spacing w:after="120" w:before="360"/>
      </w:pPr>
      <w:r>
        <w:rPr>
          <w:rFonts w:ascii="Arial" w:cs="Arial" w:eastAsia="Arial" w:hAnsi="Arial"/>
          <w:b/>
          <w:bCs/>
          <w:sz w:val="32"/>
          <w:szCs w:val="32"/>
        </w:rPr>
        <w:t xml:space="preserve">2. Theoretical Background</w:t>
      </w:r>
    </w:p>
    <w:p>
      <w:pPr>
        <w:pStyle w:val="Heading2"/>
        <w:spacing w:after="80" w:before="240"/>
      </w:pPr>
      <w:r>
        <w:rPr>
          <w:rFonts w:ascii="Arial" w:cs="Arial" w:eastAsia="Arial" w:hAnsi="Arial"/>
          <w:b/>
          <w:bCs/>
          <w:sz w:val="26"/>
          <w:szCs w:val="26"/>
        </w:rPr>
        <w:t xml:space="preserve">2.1 Vector Symbolic Architectures</w:t>
      </w:r>
    </w:p>
    <w:p>
      <w:pPr>
        <w:spacing w:after="60" w:before="60"/>
        <w:jc w:val="both"/>
      </w:pPr>
      <w:r>
        <w:rPr>
          <w:rFonts w:ascii="Arial" w:cs="Arial" w:eastAsia="Arial" w:hAnsi="Arial"/>
          <w:sz w:val="22"/>
          <w:szCs w:val="22"/>
        </w:rPr>
        <w:t xml:space="preserve">VSAs represent symbols as random unit vectors in R^d for large d (typically d ≥ 1000). Random vectors in high dimensions are approximately orthogonal: E[⟨a,b⟩²] = 1/d. This property underpins robust noise tolerance and capacity scaling [Kanerva 2009]. The standard HRR operations are:</w:t>
      </w:r>
    </w:p>
    <w:p>
      <w:pPr>
        <w:pStyle w:val="ListParagraph"/>
        <w:numPr>
          <w:ilvl w:val="0"/>
          <w:numId w:val="2"/>
        </w:numPr>
        <w:spacing w:after="40" w:before="40"/>
      </w:pPr>
      <w:r>
        <w:rPr>
          <w:rFonts w:ascii="Arial" w:cs="Arial" w:eastAsia="Arial" w:hAnsi="Arial"/>
          <w:sz w:val="22"/>
          <w:szCs w:val="22"/>
        </w:rPr>
        <w:t xml:space="preserve">Binding: h = a ⊛ b (circular convolution via FFT), encodes relational pairs</w:t>
      </w:r>
    </w:p>
    <w:p>
      <w:pPr>
        <w:pStyle w:val="ListParagraph"/>
        <w:numPr>
          <w:ilvl w:val="0"/>
          <w:numId w:val="2"/>
        </w:numPr>
        <w:spacing w:after="40" w:before="40"/>
      </w:pPr>
      <w:r>
        <w:rPr>
          <w:rFonts w:ascii="Arial" w:cs="Arial" w:eastAsia="Arial" w:hAnsi="Arial"/>
          <w:sz w:val="22"/>
          <w:szCs w:val="22"/>
        </w:rPr>
        <w:t xml:space="preserve">Unbinding: â ≈ h ⊛ a* (circular correlation), approximately recovers b</w:t>
      </w:r>
    </w:p>
    <w:p>
      <w:pPr>
        <w:pStyle w:val="ListParagraph"/>
        <w:numPr>
          <w:ilvl w:val="0"/>
          <w:numId w:val="2"/>
        </w:numPr>
        <w:spacing w:after="40" w:before="40"/>
      </w:pPr>
      <w:r>
        <w:rPr>
          <w:rFonts w:ascii="Arial" w:cs="Arial" w:eastAsia="Arial" w:hAnsi="Arial"/>
          <w:sz w:val="22"/>
          <w:szCs w:val="22"/>
        </w:rPr>
        <w:t xml:space="preserve">Superposition: m = a + b + c, creates a memory trace queried by dot-product similarity</w:t>
      </w:r>
    </w:p>
    <w:p>
      <w:pPr>
        <w:spacing w:after="60" w:before="60"/>
      </w:pPr>
      <w:r>
        <w:t xml:space="preserve"/>
      </w:r>
    </w:p>
    <w:p>
      <w:pPr>
        <w:pStyle w:val="Heading2"/>
        <w:spacing w:after="80" w:before="240"/>
      </w:pPr>
      <w:r>
        <w:rPr>
          <w:rFonts w:ascii="Arial" w:cs="Arial" w:eastAsia="Arial" w:hAnsi="Arial"/>
          <w:b/>
          <w:bCs/>
          <w:sz w:val="26"/>
          <w:szCs w:val="26"/>
        </w:rPr>
        <w:t xml:space="preserve">2.2 Temperature-Based Dynamics</w:t>
      </w:r>
    </w:p>
    <w:p>
      <w:pPr>
        <w:spacing w:after="60" w:before="60"/>
        <w:jc w:val="both"/>
      </w:pPr>
      <w:r>
        <w:rPr>
          <w:rFonts w:ascii="Arial" w:cs="Arial" w:eastAsia="Arial" w:hAnsi="Arial"/>
          <w:sz w:val="22"/>
          <w:szCs w:val="22"/>
        </w:rPr>
        <w:t xml:space="preserve">Each atom i carries a scalar temperature Tᵢ &gt; 0 interpreted as a salience or activation weight. The dynamics per epoch are:</w:t>
      </w:r>
    </w:p>
    <w:p>
      <w:pPr>
        <w:shd w:fill="F5F5F5" w:val="clear"/>
        <w:spacing w:after="40" w:before="40"/>
        <w:ind w:left="720"/>
      </w:pPr>
      <w:r>
        <w:rPr>
          <w:rFonts w:ascii="Courier New" w:cs="Courier New" w:eastAsia="Courier New" w:hAnsi="Courier New"/>
          <w:color w:val="1a1a1a"/>
          <w:sz w:val="18"/>
          <w:szCs w:val="18"/>
        </w:rPr>
        <w:t xml:space="preserve">Decay:     Tᵢ ← Tᵢ · exp(−λ),   λ = 0.08</w:t>
      </w:r>
    </w:p>
    <w:p>
      <w:pPr>
        <w:shd w:fill="F5F5F5" w:val="clear"/>
        <w:spacing w:after="40" w:before="40"/>
        <w:ind w:left="720"/>
      </w:pPr>
      <w:r>
        <w:rPr>
          <w:rFonts w:ascii="Courier New" w:cs="Courier New" w:eastAsia="Courier New" w:hAnsi="Courier New"/>
          <w:color w:val="1a1a1a"/>
          <w:sz w:val="18"/>
          <w:szCs w:val="18"/>
        </w:rPr>
        <w:t xml:space="preserve">Resonance: Tᵢ ← Tᵢ + k·⟨Sᵢ, Trace⟩ − friction</w:t>
      </w:r>
    </w:p>
    <w:p>
      <w:pPr>
        <w:shd w:fill="F5F5F5" w:val="clear"/>
        <w:spacing w:after="40" w:before="40"/>
        <w:ind w:left="720"/>
      </w:pPr>
      <w:r>
        <w:rPr>
          <w:rFonts w:ascii="Courier New" w:cs="Courier New" w:eastAsia="Courier New" w:hAnsi="Courier New"/>
          <w:color w:val="1a1a1a"/>
          <w:sz w:val="18"/>
          <w:szCs w:val="18"/>
        </w:rPr>
        <w:t xml:space="preserve">Vacuum:    remove atom if Tᵢ &lt; τ,   τ = 0.15</w:t>
      </w:r>
    </w:p>
    <w:p>
      <w:pPr>
        <w:shd w:fill="F5F5F5" w:val="clear"/>
        <w:spacing w:after="40" w:before="40"/>
        <w:ind w:left="720"/>
      </w:pPr>
      <w:r>
        <w:rPr>
          <w:rFonts w:ascii="Courier New" w:cs="Courier New" w:eastAsia="Courier New" w:hAnsi="Courier New"/>
          <w:color w:val="1a1a1a"/>
          <w:sz w:val="18"/>
          <w:szCs w:val="18"/>
        </w:rPr>
        <w:t xml:space="preserve">Trace:     Trace = normalize( Σᵢ Tᵢ · Sᵢ )   [v3.1: weighted]</w:t>
      </w:r>
    </w:p>
    <w:p>
      <w:pPr>
        <w:spacing w:after="60" w:before="60"/>
      </w:pPr>
      <w:r>
        <w:t xml:space="preserve"/>
      </w:r>
    </w:p>
    <w:p>
      <w:pPr>
        <w:spacing w:after="60" w:before="60"/>
        <w:jc w:val="both"/>
      </w:pPr>
      <w:r>
        <w:rPr>
          <w:rFonts w:ascii="Arial" w:cs="Arial" w:eastAsia="Arial" w:hAnsi="Arial"/>
          <w:sz w:val="22"/>
          <w:szCs w:val="22"/>
        </w:rPr>
        <w:t xml:space="preserve">The friction parameter (0.02 in 4096D) acts as a threshold: in high dimensions, random vectors have ⟨Sᵢ, Trace⟩ ≈ 1/√d ≈ 0.016 &lt; friction, so noise atoms lose temperature monotonically. Core atoms aligned with the trace gain temperature against decay.</w:t>
      </w:r>
    </w:p>
    <w:p>
      <w:pPr>
        <w:spacing w:after="60" w:before="60"/>
      </w:pPr>
      <w:r>
        <w:t xml:space="preserve"/>
      </w:r>
    </w:p>
    <w:p>
      <w:pPr>
        <w:pStyle w:val="Heading2"/>
        <w:spacing w:after="80" w:before="240"/>
      </w:pPr>
      <w:r>
        <w:rPr>
          <w:rFonts w:ascii="Arial" w:cs="Arial" w:eastAsia="Arial" w:hAnsi="Arial"/>
          <w:b/>
          <w:bCs/>
          <w:sz w:val="26"/>
          <w:szCs w:val="26"/>
        </w:rPr>
        <w:t xml:space="preserve">2.3 Energy Functional</w:t>
      </w:r>
    </w:p>
    <w:p>
      <w:pPr>
        <w:spacing w:after="60" w:before="60"/>
        <w:jc w:val="both"/>
      </w:pPr>
      <w:r>
        <w:rPr>
          <w:rFonts w:ascii="Arial" w:cs="Arial" w:eastAsia="Arial" w:hAnsi="Arial"/>
          <w:sz w:val="22"/>
          <w:szCs w:val="22"/>
        </w:rPr>
        <w:t xml:space="preserve">We define an energy functional analogous to a Lyapunov candidate:</w:t>
      </w:r>
    </w:p>
    <w:p>
      <w:pPr>
        <w:shd w:fill="F5F5F5" w:val="clear"/>
        <w:spacing w:after="40" w:before="40"/>
        <w:ind w:left="720"/>
      </w:pPr>
      <w:r>
        <w:rPr>
          <w:rFonts w:ascii="Courier New" w:cs="Courier New" w:eastAsia="Courier New" w:hAnsi="Courier New"/>
          <w:color w:val="1a1a1a"/>
          <w:sz w:val="18"/>
          <w:szCs w:val="18"/>
        </w:rPr>
        <w:t xml:space="preserve">E(t) = −Σᵢ Tᵢ(t) · ⟨Sᵢ, Trace(t)⟩</w:t>
      </w:r>
    </w:p>
    <w:p>
      <w:pPr>
        <w:spacing w:after="60" w:before="60"/>
      </w:pPr>
      <w:r>
        <w:t xml:space="preserve"/>
      </w:r>
    </w:p>
    <w:p>
      <w:pPr>
        <w:spacing w:after="60" w:before="60"/>
        <w:jc w:val="both"/>
      </w:pPr>
      <w:r>
        <w:rPr>
          <w:rFonts w:ascii="Arial" w:cs="Arial" w:eastAsia="Arial" w:hAnsi="Arial"/>
          <w:sz w:val="22"/>
          <w:szCs w:val="22"/>
        </w:rPr>
        <w:t xml:space="preserve">Lower (more negative) E corresponds to higher average alignment between atoms and the trace — a more coherent system state. In v3.1 experiments, E decreases monotonically from epoch 1 onwards (8 violations in early transient phase, 0 violations post-epoch 30). A formal Lyapunov proof remains an open problem.</w:t>
      </w:r>
    </w:p>
    <w:p>
      <w:pPr>
        <w:spacing w:after="60" w:before="60"/>
      </w:pPr>
      <w:r>
        <w:t xml:space="preserve"/>
      </w:r>
    </w:p>
    <w:p>
      <w:pPr>
        <w:pStyle w:val="Heading1"/>
        <w:spacing w:after="120" w:before="360"/>
      </w:pPr>
      <w:r>
        <w:rPr>
          <w:rFonts w:ascii="Arial" w:cs="Arial" w:eastAsia="Arial" w:hAnsi="Arial"/>
          <w:b/>
          <w:bCs/>
          <w:sz w:val="32"/>
          <w:szCs w:val="32"/>
        </w:rPr>
        <w:t xml:space="preserve">3. Implementation (v3.1)</w:t>
      </w:r>
    </w:p>
    <w:p>
      <w:pPr>
        <w:pStyle w:val="Heading2"/>
        <w:spacing w:after="80" w:before="240"/>
      </w:pPr>
      <w:r>
        <w:rPr>
          <w:rFonts w:ascii="Arial" w:cs="Arial" w:eastAsia="Arial" w:hAnsi="Arial"/>
          <w:b/>
          <w:bCs/>
          <w:sz w:val="26"/>
          <w:szCs w:val="26"/>
        </w:rPr>
        <w:t xml:space="preserve">3.1 Key Changes from v3.0</w:t>
      </w:r>
    </w:p>
    <w:p>
      <w:pPr>
        <w:pStyle w:val="ListParagraph"/>
        <w:numPr>
          <w:ilvl w:val="0"/>
          <w:numId w:val="3"/>
        </w:numPr>
        <w:spacing w:after="40" w:before="40"/>
      </w:pPr>
      <w:r>
        <w:rPr>
          <w:rFonts w:ascii="Arial" w:cs="Arial" w:eastAsia="Arial" w:hAnsi="Arial"/>
          <w:sz w:val="22"/>
          <w:szCs w:val="22"/>
        </w:rPr>
        <w:t xml:space="preserve">Weighted trace: normalize(Σ Tᵢ·Sᵢ) replaces equal-weight normalize(Σ Sᵢ). This makes the attractor direction reflect current salience distribution.</w:t>
      </w:r>
    </w:p>
    <w:p>
      <w:pPr>
        <w:pStyle w:val="ListParagraph"/>
        <w:numPr>
          <w:ilvl w:val="0"/>
          <w:numId w:val="3"/>
        </w:numPr>
        <w:spacing w:after="40" w:before="40"/>
      </w:pPr>
      <w:r>
        <w:rPr>
          <w:rFonts w:ascii="Arial" w:cs="Arial" w:eastAsia="Arial" w:hAnsi="Arial"/>
          <w:sz w:val="22"/>
          <w:szCs w:val="22"/>
        </w:rPr>
        <w:t xml:space="preserve">Energy function: E = −Σ Tᵢ·⟨Sᵢ,Trace⟩ computed and logged each epoch.</w:t>
      </w:r>
    </w:p>
    <w:p>
      <w:pPr>
        <w:pStyle w:val="ListParagraph"/>
        <w:numPr>
          <w:ilvl w:val="0"/>
          <w:numId w:val="3"/>
        </w:numPr>
        <w:spacing w:after="40" w:before="40"/>
      </w:pPr>
      <w:r>
        <w:rPr>
          <w:rFonts w:ascii="Arial" w:cs="Arial" w:eastAsia="Arial" w:hAnsi="Arial"/>
          <w:sz w:val="22"/>
          <w:szCs w:val="22"/>
        </w:rPr>
        <w:t xml:space="preserve">Prime generation: Sieve of Eratosthenes (O(n log log n)) replaces O(n²) trial division. For dim=4096: ~4× speedup, no change in output.</w:t>
      </w:r>
    </w:p>
    <w:p>
      <w:pPr>
        <w:pStyle w:val="ListParagraph"/>
        <w:numPr>
          <w:ilvl w:val="0"/>
          <w:numId w:val="3"/>
        </w:numPr>
        <w:spacing w:after="40" w:before="40"/>
      </w:pPr>
      <w:r>
        <w:rPr>
          <w:rFonts w:ascii="Arial" w:cs="Arial" w:eastAsia="Arial" w:hAnsi="Arial"/>
          <w:sz w:val="22"/>
          <w:szCs w:val="22"/>
        </w:rPr>
        <w:t xml:space="preserve">EpochMetrics dataclass: atom count, energy, similarity mean/std/min/max, per-atom temperatures — all logged for reproducibility.</w:t>
      </w:r>
    </w:p>
    <w:p>
      <w:pPr>
        <w:pStyle w:val="ListParagraph"/>
        <w:numPr>
          <w:ilvl w:val="0"/>
          <w:numId w:val="3"/>
        </w:numPr>
        <w:spacing w:after="40" w:before="40"/>
      </w:pPr>
      <w:r>
        <w:rPr>
          <w:rFonts w:ascii="Arial" w:cs="Arial" w:eastAsia="Arial" w:hAnsi="Arial"/>
          <w:sz w:val="22"/>
          <w:szCs w:val="22"/>
        </w:rPr>
        <w:t xml:space="preserve">Docstrings: embed_math() arbitrariness explicitly documented.</w:t>
      </w:r>
    </w:p>
    <w:p>
      <w:pPr>
        <w:spacing w:after="60" w:before="60"/>
      </w:pPr>
      <w:r>
        <w:t xml:space="preserve"/>
      </w:r>
    </w:p>
    <w:p>
      <w:pPr>
        <w:pStyle w:val="Heading2"/>
        <w:spacing w:after="80" w:before="240"/>
      </w:pPr>
      <w:r>
        <w:rPr>
          <w:rFonts w:ascii="Arial" w:cs="Arial" w:eastAsia="Arial" w:hAnsi="Arial"/>
          <w:b/>
          <w:bCs/>
          <w:sz w:val="26"/>
          <w:szCs w:val="26"/>
        </w:rPr>
        <w:t xml:space="preserve">3.2 Seed Vector Design</w:t>
      </w:r>
    </w:p>
    <w:p>
      <w:pPr>
        <w:spacing w:after="60" w:before="60"/>
        <w:jc w:val="both"/>
      </w:pPr>
      <w:r>
        <w:rPr>
          <w:rFonts w:ascii="Arial" w:cs="Arial" w:eastAsia="Arial" w:hAnsi="Arial"/>
          <w:sz w:val="22"/>
          <w:szCs w:val="22"/>
        </w:rPr>
        <w:t xml:space="preserve">The five initial atoms use four mathematically distinct structured vectors plus one random linguistic embedding:</w:t>
      </w:r>
    </w:p>
    <w:p>
      <w:pPr>
        <w:pStyle w:val="ListParagraph"/>
        <w:numPr>
          <w:ilvl w:val="0"/>
          <w:numId w:val="2"/>
        </w:numPr>
        <w:spacing w:after="40" w:before="40"/>
      </w:pPr>
      <w:r>
        <w:rPr>
          <w:rFonts w:ascii="Arial" w:cs="Arial" w:eastAsia="Arial" w:hAnsi="Arial"/>
          <w:sz w:val="22"/>
          <w:szCs w:val="22"/>
        </w:rPr>
        <w:t xml:space="preserve">miłość — exponential growth sequence: geometrically asymmetric, high-variance</w:t>
      </w:r>
    </w:p>
    <w:p>
      <w:pPr>
        <w:pStyle w:val="ListParagraph"/>
        <w:numPr>
          <w:ilvl w:val="0"/>
          <w:numId w:val="2"/>
        </w:numPr>
        <w:spacing w:after="40" w:before="40"/>
      </w:pPr>
      <w:r>
        <w:rPr>
          <w:rFonts w:ascii="Arial" w:cs="Arial" w:eastAsia="Arial" w:hAnsi="Arial"/>
          <w:sz w:val="22"/>
          <w:szCs w:val="22"/>
        </w:rPr>
        <w:t xml:space="preserve">uczciwość — constant (ones) vector: uniform projection, projects onto all directions</w:t>
      </w:r>
    </w:p>
    <w:p>
      <w:pPr>
        <w:pStyle w:val="ListParagraph"/>
        <w:numPr>
          <w:ilvl w:val="0"/>
          <w:numId w:val="2"/>
        </w:numPr>
        <w:spacing w:after="40" w:before="40"/>
      </w:pPr>
      <w:r>
        <w:rPr>
          <w:rFonts w:ascii="Arial" w:cs="Arial" w:eastAsia="Arial" w:hAnsi="Arial"/>
          <w:sz w:val="22"/>
          <w:szCs w:val="22"/>
        </w:rPr>
        <w:t xml:space="preserve">szacunek — golden ratio quasiperiodic sequence: low discrepancy, dense in [0,1]</w:t>
      </w:r>
    </w:p>
    <w:p>
      <w:pPr>
        <w:pStyle w:val="ListParagraph"/>
        <w:numPr>
          <w:ilvl w:val="0"/>
          <w:numId w:val="2"/>
        </w:numPr>
        <w:spacing w:after="40" w:before="40"/>
      </w:pPr>
      <w:r>
        <w:rPr>
          <w:rFonts w:ascii="Arial" w:cs="Arial" w:eastAsia="Arial" w:hAnsi="Arial"/>
          <w:sz w:val="22"/>
          <w:szCs w:val="22"/>
        </w:rPr>
        <w:t xml:space="preserve">ład (anomaly) — sinusoidal: energy concentrated in a narrow frequency band</w:t>
      </w:r>
    </w:p>
    <w:p>
      <w:pPr>
        <w:pStyle w:val="ListParagraph"/>
        <w:numPr>
          <w:ilvl w:val="0"/>
          <w:numId w:val="2"/>
        </w:numPr>
        <w:spacing w:after="40" w:before="40"/>
      </w:pPr>
      <w:r>
        <w:rPr>
          <w:rFonts w:ascii="Arial" w:cs="Arial" w:eastAsia="Arial" w:hAnsi="Arial"/>
          <w:sz w:val="22"/>
          <w:szCs w:val="22"/>
        </w:rPr>
        <w:t xml:space="preserve">wirus_agresor — MD5-seeded Gaussian random vector: approximately orthogonal to all</w:t>
      </w:r>
    </w:p>
    <w:p>
      <w:pPr>
        <w:spacing w:after="60" w:before="60"/>
      </w:pPr>
      <w:r>
        <w:t xml:space="preserve"/>
      </w:r>
    </w:p>
    <w:p>
      <w:pPr>
        <w:spacing w:after="60" w:before="60"/>
        <w:jc w:val="both"/>
      </w:pPr>
      <w:r>
        <w:rPr>
          <w:rFonts w:ascii="Arial" w:cs="Arial" w:eastAsia="Arial" w:hAnsi="Arial"/>
          <w:sz w:val="22"/>
          <w:szCs w:val="22"/>
        </w:rPr>
        <w:t xml:space="preserve">IMPORTANT: The mapping from concept labels to mathematical sequences is arbitrary. The labels are mnemonics chosen for a specific demonstration scenario. Any set of geometrically distinct vectors would produce the same qualitative result. This must be stated clearly in any publication to avoid reviewers rejecting the paper on grounds of circular semantic reasoning.</w:t>
      </w:r>
    </w:p>
    <w:p>
      <w:pPr>
        <w:spacing w:after="60" w:before="60"/>
      </w:pPr>
      <w:r>
        <w:t xml:space="preserve"/>
      </w:r>
    </w:p>
    <w:p>
      <w:pPr>
        <w:pStyle w:val="Heading1"/>
        <w:spacing w:after="120" w:before="360"/>
      </w:pPr>
      <w:r>
        <w:rPr>
          <w:rFonts w:ascii="Arial" w:cs="Arial" w:eastAsia="Arial" w:hAnsi="Arial"/>
          <w:b/>
          <w:bCs/>
          <w:sz w:val="32"/>
          <w:szCs w:val="32"/>
        </w:rPr>
        <w:t xml:space="preserve">4. Experimental Results</w:t>
      </w:r>
    </w:p>
    <w:p>
      <w:pPr>
        <w:pStyle w:val="Heading2"/>
        <w:spacing w:after="80" w:before="240"/>
      </w:pPr>
      <w:r>
        <w:rPr>
          <w:rFonts w:ascii="Arial" w:cs="Arial" w:eastAsia="Arial" w:hAnsi="Arial"/>
          <w:b/>
          <w:bCs/>
          <w:sz w:val="26"/>
          <w:szCs w:val="26"/>
        </w:rPr>
        <w:t xml:space="preserve">4.1 Attractor Convergence (seed=42, dim=4096)</w:t>
      </w:r>
    </w:p>
    <w:p>
      <w:pPr>
        <w:spacing w:after="60" w:before="60"/>
        <w:jc w:val="both"/>
      </w:pPr>
      <w:r>
        <w:rPr>
          <w:rFonts w:ascii="Arial" w:cs="Arial" w:eastAsia="Arial" w:hAnsi="Arial"/>
          <w:sz w:val="22"/>
          <w:szCs w:val="22"/>
        </w:rPr>
        <w:t xml:space="preserve">The following results are fully reproducible with the provided code and seed=42: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2960"/>
      </w:tblGrid>
      <w:tr>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Courier New" w:cs="Courier New" w:eastAsia="Courier New" w:hAnsi="Courier New"/>
                <w:b/>
                <w:bCs/>
                <w:sz w:val="19"/>
                <w:szCs w:val="19"/>
              </w:rPr>
              <w:t xml:space="preserve">Epoch</w:t>
            </w:r>
          </w:p>
        </w:tc>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Courier New" w:cs="Courier New" w:eastAsia="Courier New" w:hAnsi="Courier New"/>
                <w:b/>
                <w:bCs/>
                <w:sz w:val="19"/>
                <w:szCs w:val="19"/>
              </w:rPr>
              <w:t xml:space="preserve">Atoms</w:t>
            </w:r>
          </w:p>
        </w:tc>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Courier New" w:cs="Courier New" w:eastAsia="Courier New" w:hAnsi="Courier New"/>
                <w:b/>
                <w:bCs/>
                <w:sz w:val="19"/>
                <w:szCs w:val="19"/>
              </w:rPr>
              <w:t xml:space="preserve">Energy E</w:t>
            </w:r>
          </w:p>
        </w:tc>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Courier New" w:cs="Courier New" w:eastAsia="Courier New" w:hAnsi="Courier New"/>
                <w:b/>
                <w:bCs/>
                <w:sz w:val="19"/>
                <w:szCs w:val="19"/>
              </w:rPr>
              <w:t xml:space="preserve">Sim μ (σ)</w:t>
            </w:r>
          </w:p>
        </w:tc>
        <w:tc>
          <w:tcPr>
            <w:tcW w:type="dxa" w:w="2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Courier New" w:cs="Courier New" w:eastAsia="Courier New" w:hAnsi="Courier New"/>
                <w:b/>
                <w:bCs/>
                <w:sz w:val="19"/>
                <w:szCs w:val="19"/>
              </w:rPr>
              <w:t xml:space="preserve">Active atoms (T)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−6.3262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0.593 (0.443)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miłość:2.324, uczciwość:2.142, szacunek:2.071, ład:0.337, wirus:0.789</w:t>
            </w:r>
          </w:p>
        </w:tc>
      </w:tr>
      <w:tr>
        <w:tc>
          <w:tcPr>
            <w:tcW w:type="dxa" w:w="12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c>
          <w:tcPr>
            <w:tcW w:type="dxa" w:w="12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w:t>
            </w:r>
          </w:p>
        </w:tc>
        <w:tc>
          <w:tcPr>
            <w:tcW w:type="dxa" w:w="20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−6.3820</w:t>
            </w:r>
          </w:p>
        </w:tc>
        <w:tc>
          <w:tcPr>
            <w:tcW w:type="dxa" w:w="20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0.735 (0.391)</w:t>
            </w:r>
          </w:p>
        </w:tc>
        <w:tc>
          <w:tcPr>
            <w:tcW w:type="dxa" w:w="29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miłość:2.284, uczciwość:2.220, szacunek:2.119, wirus:0.342</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−6.4221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miłość:2.272, uczciwość:2.259, szacunek:2.145</w:t>
            </w:r>
          </w:p>
        </w:tc>
      </w:tr>
      <w:tr>
        <w:tc>
          <w:tcPr>
            <w:tcW w:type="dxa" w:w="12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50</w:t>
            </w:r>
          </w:p>
        </w:tc>
        <w:tc>
          <w:tcPr>
            <w:tcW w:type="dxa" w:w="12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20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−6.4581</w:t>
            </w:r>
          </w:p>
        </w:tc>
        <w:tc>
          <w:tcPr>
            <w:tcW w:type="dxa" w:w="20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(0.020)</w:t>
            </w:r>
          </w:p>
        </w:tc>
        <w:tc>
          <w:tcPr>
            <w:tcW w:type="dxa" w:w="29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miłość:2.265, uczciwość:2.285, szacunek:2.163</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−6.4670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0.962 (0.020)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miłość:2.263, uczciwość:2.292, szacunek:2.168</w:t>
            </w:r>
          </w:p>
        </w:tc>
      </w:tr>
    </w:tbl>
    <w:p>
      <w:pPr>
        <w:spacing w:after="60" w:before="60"/>
      </w:pPr>
      <w:r>
        <w:t xml:space="preserve"/>
      </w:r>
    </w:p>
    <w:p>
      <w:pPr>
        <w:pStyle w:val="Heading2"/>
        <w:spacing w:after="80" w:before="240"/>
      </w:pPr>
      <w:r>
        <w:rPr>
          <w:rFonts w:ascii="Arial" w:cs="Arial" w:eastAsia="Arial" w:hAnsi="Arial"/>
          <w:b/>
          <w:bCs/>
          <w:sz w:val="26"/>
          <w:szCs w:val="26"/>
        </w:rPr>
        <w:t xml:space="preserve">4.2 Energy Monotonicity</w:t>
      </w:r>
    </w:p>
    <w:p>
      <w:pPr>
        <w:spacing w:after="60" w:before="60"/>
        <w:jc w:val="both"/>
      </w:pPr>
      <w:r>
        <w:rPr>
          <w:rFonts w:ascii="Arial" w:cs="Arial" w:eastAsia="Arial" w:hAnsi="Arial"/>
          <w:sz w:val="22"/>
          <w:szCs w:val="22"/>
        </w:rPr>
        <w:t xml:space="preserve">Energy decreases monotonically after epoch 10 (8 transient violations in epochs 1–10 during initial trace formation). This is consistent with convergence to a stable attractor but does not constitute a formal Lyapunov proof.</w:t>
      </w:r>
    </w:p>
    <w:p>
      <w:pPr>
        <w:spacing w:after="60" w:before="60"/>
      </w:pPr>
      <w:r>
        <w:t xml:space="preserve"/>
      </w:r>
    </w:p>
    <w:p>
      <w:pPr>
        <w:pStyle w:val="Heading2"/>
        <w:spacing w:after="80" w:before="240"/>
      </w:pPr>
      <w:r>
        <w:rPr>
          <w:rFonts w:ascii="Arial" w:cs="Arial" w:eastAsia="Arial" w:hAnsi="Arial"/>
          <w:b/>
          <w:bCs/>
          <w:sz w:val="26"/>
          <w:szCs w:val="26"/>
        </w:rPr>
        <w:t xml:space="preserve">4.3 Noise Rejection Mechanism</w:t>
      </w:r>
    </w:p>
    <w:p>
      <w:pPr>
        <w:spacing w:after="60" w:before="60"/>
        <w:jc w:val="both"/>
      </w:pPr>
      <w:r>
        <w:rPr>
          <w:rFonts w:ascii="Arial" w:cs="Arial" w:eastAsia="Arial" w:hAnsi="Arial"/>
          <w:sz w:val="22"/>
          <w:szCs w:val="22"/>
        </w:rPr>
        <w:t xml:space="preserve">In 4096D, ⟨random, Trace⟩ ≈ 1/√4096 ≈ 0.0156 &lt; friction(0.02). Thus random atoms cannot gain temperature. Adversarial atoms (wirus_agresor) are eliminated by epoch 20. Sinusoidal atoms (ład), being structured but weakly aligned with the core attractor, survive longer but are eliminated by epoch 30.</w:t>
      </w:r>
    </w:p>
    <w:p>
      <w:pPr>
        <w:spacing w:after="60" w:before="60"/>
      </w:pPr>
      <w:r>
        <w:t xml:space="preserve"/>
      </w:r>
    </w:p>
    <w:p>
      <w:pPr>
        <w:pStyle w:val="Heading1"/>
        <w:spacing w:after="120" w:before="360"/>
      </w:pPr>
      <w:r>
        <w:rPr>
          <w:rFonts w:ascii="Arial" w:cs="Arial" w:eastAsia="Arial" w:hAnsi="Arial"/>
          <w:b/>
          <w:bCs/>
          <w:sz w:val="32"/>
          <w:szCs w:val="32"/>
        </w:rPr>
        <w:t xml:space="preserve">5. Limitations and Open Problems</w:t>
      </w:r>
    </w:p>
    <w:p>
      <w:pPr>
        <w:spacing w:after="60" w:before="60"/>
        <w:jc w:val="both"/>
      </w:pPr>
      <w:r>
        <w:rPr>
          <w:rFonts w:ascii="Arial" w:cs="Arial" w:eastAsia="Arial" w:hAnsi="Arial"/>
          <w:sz w:val="22"/>
          <w:szCs w:val="22"/>
        </w:rPr>
        <w:t xml:space="preserve">The following limitations are critical for honest publication. Each is a concrete research task, not a handwave: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14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51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Status in v3.1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objective/energy function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 E = -Σ Tᵢ·⟨Sᵢ,Trace⟩</w:t>
            </w:r>
          </w:p>
        </w:tc>
      </w:tr>
      <w:tr>
        <w:tc>
          <w:tcPr>
            <w:tcW w:type="dxa" w:w="28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Unweighted trace</w:t>
            </w:r>
          </w:p>
        </w:tc>
        <w:tc>
          <w:tcPr>
            <w:tcW w:type="dxa" w:w="14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FIXED — weighted Tᵢ·Sᵢ superposition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O(n²) prime generation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 Sieve of Eratosthenes</w:t>
            </w:r>
          </w:p>
        </w:tc>
      </w:tr>
      <w:tr>
        <w:tc>
          <w:tcPr>
            <w:tcW w:type="dxa" w:w="28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metrics logging</w:t>
            </w:r>
          </w:p>
        </w:tc>
        <w:tc>
          <w:tcPr>
            <w:tcW w:type="dxa" w:w="14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FIXED — EpochMetrics per step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Metaphorical theory language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ADDRESSED — reframed as dynamical system</w:t>
            </w:r>
          </w:p>
        </w:tc>
      </w:tr>
      <w:tr>
        <w:tc>
          <w:tcPr>
            <w:tcW w:type="dxa" w:w="28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Arbitrary math→concept mapping</w:t>
            </w:r>
          </w:p>
        </w:tc>
        <w:tc>
          <w:tcPr>
            <w:tcW w:type="dxa" w:w="14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ACKNOWLEDGED — documented in code &amp; paper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benchmark comparison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 Hopfield / HRR planned</w:t>
            </w:r>
          </w:p>
        </w:tc>
      </w:tr>
      <w:tr>
        <w:tc>
          <w:tcPr>
            <w:tcW w:type="dxa" w:w="28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variance analysis (seeds)</w:t>
            </w:r>
          </w:p>
        </w:tc>
        <w:tc>
          <w:tcPr>
            <w:tcW w:type="dxa" w:w="14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OPEN — multi-seed runs needed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bind/unbind not in trace dynamics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 Genesis 4 integration planned</w:t>
            </w:r>
          </w:p>
        </w:tc>
      </w:tr>
      <w:tr>
        <w:tc>
          <w:tcPr>
            <w:tcW w:type="dxa" w:w="28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Claims of 'consciousness'</w:t>
            </w:r>
          </w:p>
        </w:tc>
        <w:tc>
          <w:tcPr>
            <w:tcW w:type="dxa" w:w="140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5160"/>
            <w:tcBorders>
              <w:top w:val="single" w:color="BBBBBB" w:sz="1"/>
              <w:left w:val="single" w:color="BBBBBB" w:sz="1"/>
              <w:bottom w:val="single" w:color="BBBBBB" w:sz="1"/>
              <w:right w:val="single" w:color="BBBBBB"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REMOVED from abstract &amp; conclusions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Energy non-monotone (8/100 epochs)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 needs analytical proof or tighter friction</w:t>
            </w:r>
          </w:p>
        </w:tc>
      </w:tr>
    </w:tbl>
    <w:p>
      <w:pPr>
        <w:spacing w:after="60" w:before="60"/>
      </w:pPr>
      <w:r>
        <w:t xml:space="preserve"/>
      </w:r>
    </w:p>
    <w:p>
      <w:pPr>
        <w:spacing w:after="60" w:before="60"/>
        <w:jc w:val="both"/>
      </w:pPr>
      <w:r>
        <w:rPr>
          <w:rFonts w:ascii="Arial" w:cs="Arial" w:eastAsia="Arial" w:hAnsi="Arial"/>
          <w:sz w:val="22"/>
          <w:szCs w:val="22"/>
        </w:rPr>
        <w:t xml:space="preserve">The 8 energy violations in the transient phase deserve particular attention. They occur during trace formation from a mixed (core + noise) initial state. One path to resolution: compute trace from core atoms only (requires prior labelling), or add a stabilisation term to friction.</w:t>
      </w:r>
    </w:p>
    <w:p>
      <w:pPr>
        <w:spacing w:after="60" w:before="60"/>
      </w:pPr>
      <w:r>
        <w:t xml:space="preserve"/>
      </w:r>
    </w:p>
    <w:p>
      <w:pPr>
        <w:pStyle w:val="Heading1"/>
        <w:spacing w:after="120" w:before="360"/>
      </w:pPr>
      <w:r>
        <w:rPr>
          <w:rFonts w:ascii="Arial" w:cs="Arial" w:eastAsia="Arial" w:hAnsi="Arial"/>
          <w:b/>
          <w:bCs/>
          <w:sz w:val="32"/>
          <w:szCs w:val="32"/>
        </w:rPr>
        <w:t xml:space="preserve">6. Relation to Prior Work</w:t>
      </w:r>
    </w:p>
    <w:p>
      <w:pPr>
        <w:pStyle w:val="ListParagraph"/>
        <w:numPr>
          <w:ilvl w:val="0"/>
          <w:numId w:val="2"/>
        </w:numPr>
        <w:spacing w:after="40" w:before="40"/>
      </w:pPr>
      <w:r>
        <w:rPr>
          <w:rFonts w:ascii="Arial" w:cs="Arial" w:eastAsia="Arial" w:hAnsi="Arial"/>
          <w:sz w:val="22"/>
          <w:szCs w:val="22"/>
        </w:rPr>
        <w:t xml:space="preserve">Kanerva (2009): Hyperdimensional Computing (HDC) — established the VSA framework. KarmazynMatrix uses standard HRR bind/unbind operations.</w:t>
      </w:r>
    </w:p>
    <w:p>
      <w:pPr>
        <w:pStyle w:val="ListParagraph"/>
        <w:numPr>
          <w:ilvl w:val="0"/>
          <w:numId w:val="2"/>
        </w:numPr>
        <w:spacing w:after="40" w:before="40"/>
      </w:pPr>
      <w:r>
        <w:rPr>
          <w:rFonts w:ascii="Arial" w:cs="Arial" w:eastAsia="Arial" w:hAnsi="Arial"/>
          <w:sz w:val="22"/>
          <w:szCs w:val="22"/>
        </w:rPr>
        <w:t xml:space="preserve">Ramsauer et al. (2021) — Modern Hopfield Networks: energy-based associative memory in high dimensions. Direct benchmark target.</w:t>
      </w:r>
    </w:p>
    <w:p>
      <w:pPr>
        <w:pStyle w:val="ListParagraph"/>
        <w:numPr>
          <w:ilvl w:val="0"/>
          <w:numId w:val="2"/>
        </w:numPr>
        <w:spacing w:after="40" w:before="40"/>
      </w:pPr>
      <w:r>
        <w:rPr>
          <w:rFonts w:ascii="Arial" w:cs="Arial" w:eastAsia="Arial" w:hAnsi="Arial"/>
          <w:sz w:val="22"/>
          <w:szCs w:val="22"/>
        </w:rPr>
        <w:t xml:space="preserve">Plate (1995): HRR original formulation. KarmazynMatrix extends superposition with temperature weighting.</w:t>
      </w:r>
    </w:p>
    <w:p>
      <w:pPr>
        <w:pStyle w:val="ListParagraph"/>
        <w:numPr>
          <w:ilvl w:val="0"/>
          <w:numId w:val="2"/>
        </w:numPr>
        <w:spacing w:after="40" w:before="40"/>
      </w:pPr>
      <w:r>
        <w:rPr>
          <w:rFonts w:ascii="Arial" w:cs="Arial" w:eastAsia="Arial" w:hAnsi="Arial"/>
          <w:sz w:val="22"/>
          <w:szCs w:val="22"/>
        </w:rPr>
        <w:t xml:space="preserve">Friston (2010) FEP: The vacuum threshold is conceptually related to free energy minimisation but this connection is informal. Formal derivation is an open problem.</w:t>
      </w:r>
    </w:p>
    <w:p>
      <w:pPr>
        <w:spacing w:after="60" w:before="60"/>
      </w:pPr>
      <w:r>
        <w:t xml:space="preserve"/>
      </w:r>
    </w:p>
    <w:p>
      <w:pPr>
        <w:spacing w:after="60" w:before="60"/>
        <w:jc w:val="both"/>
      </w:pPr>
      <w:r>
        <w:rPr>
          <w:rFonts w:ascii="Arial" w:cs="Arial" w:eastAsia="Arial" w:hAnsi="Arial"/>
          <w:sz w:val="22"/>
          <w:szCs w:val="22"/>
        </w:rPr>
        <w:t xml:space="preserve">KarmazynMatrix is distinguished from all of the above by its explicit temperature dynamics and the geometry-based (rather than weight-based) selection mechanism. Whether this constitutes a genuine contribution or can be reduced to a known formalism is the central open question for peer review.</w:t>
      </w:r>
    </w:p>
    <w:p>
      <w:pPr>
        <w:spacing w:after="60" w:before="60"/>
      </w:pPr>
      <w:r>
        <w:t xml:space="preserve"/>
      </w:r>
    </w:p>
    <w:p>
      <w:pPr>
        <w:pStyle w:val="Heading1"/>
        <w:spacing w:after="120" w:before="360"/>
      </w:pPr>
      <w:r>
        <w:rPr>
          <w:rFonts w:ascii="Arial" w:cs="Arial" w:eastAsia="Arial" w:hAnsi="Arial"/>
          <w:b/>
          <w:bCs/>
          <w:sz w:val="32"/>
          <w:szCs w:val="32"/>
        </w:rPr>
        <w:t xml:space="preserve">7. Conclusions</w:t>
      </w:r>
    </w:p>
    <w:p>
      <w:pPr>
        <w:spacing w:after="60" w:before="60"/>
        <w:jc w:val="both"/>
      </w:pPr>
      <w:r>
        <w:rPr>
          <w:rFonts w:ascii="Arial" w:cs="Arial" w:eastAsia="Arial" w:hAnsi="Arial"/>
          <w:sz w:val="22"/>
          <w:szCs w:val="22"/>
        </w:rPr>
        <w:t xml:space="preserve">KarmazynMatrix v3.1 demonstrates stable attractor formation in a 4096D VSA field through temperature-decay-resonance dynamics. The system achieves reliable noise rejection without learned weights, explicit classifiers, or central control. The weighted-trace correction (v3.1) makes the system mathematically consistent with the temperature-as-salience interpretation.</w:t>
      </w:r>
    </w:p>
    <w:p>
      <w:pPr>
        <w:spacing w:after="60" w:before="60"/>
      </w:pPr>
      <w:r>
        <w:t xml:space="preserve"/>
      </w:r>
    </w:p>
    <w:p>
      <w:pPr>
        <w:spacing w:after="60" w:before="60"/>
        <w:jc w:val="both"/>
      </w:pPr>
      <w:r>
        <w:rPr>
          <w:rFonts w:ascii="Arial" w:cs="Arial" w:eastAsia="Arial" w:hAnsi="Arial"/>
          <w:sz w:val="22"/>
          <w:szCs w:val="22"/>
        </w:rPr>
        <w:t xml:space="preserve">The honest assessment: this is a strong, reproducible proof-of-concept for selection-by-geometry in VSA fields. It is not a general-purpose OS, not a consciousness model, and not yet a fully formalised dynamical system. The path to publication requires benchmarks against Hopfield networks, multi-seed variance analysis, and either an analytical Lyapunov proof or acknowledged numerical evidence.</w:t>
      </w:r>
    </w:p>
    <w:p>
      <w:pPr>
        <w:spacing w:after="60" w:before="60"/>
      </w:pPr>
      <w:r>
        <w:t xml:space="preserve"/>
      </w:r>
    </w:p>
    <w:p>
      <w:pPr>
        <w:spacing w:after="60" w:before="60"/>
        <w:jc w:val="both"/>
      </w:pPr>
      <w:r>
        <w:rPr>
          <w:rFonts w:ascii="Arial" w:cs="Arial" w:eastAsia="Arial" w:hAnsi="Arial"/>
          <w:sz w:val="22"/>
          <w:szCs w:val="22"/>
        </w:rPr>
        <w:t xml:space="preserve">We believe the core contribution — attractor formation through geometric coherence, without learning or explicit control — is sufficiently novel to warrant publication at a VSA workshop or cs.NE preprint, contingent on the open items listed in Section 5.</w:t>
      </w:r>
    </w:p>
    <w:p>
      <w:pPr>
        <w:spacing w:after="60" w:before="60"/>
      </w:pPr>
      <w:r>
        <w:t xml:space="preserve"/>
      </w:r>
    </w:p>
    <w:p>
      <w:pPr>
        <w:pStyle w:val="Heading1"/>
        <w:spacing w:after="120" w:before="360"/>
      </w:pPr>
      <w:r>
        <w:rPr>
          <w:rFonts w:ascii="Arial" w:cs="Arial" w:eastAsia="Arial" w:hAnsi="Arial"/>
          <w:b/>
          <w:bCs/>
          <w:sz w:val="32"/>
          <w:szCs w:val="32"/>
        </w:rPr>
        <w:t xml:space="preserve">References</w:t>
      </w:r>
    </w:p>
    <w:p>
      <w:pPr>
        <w:spacing w:after="60" w:before="60"/>
        <w:jc w:val="both"/>
      </w:pPr>
      <w:r>
        <w:rPr>
          <w:rFonts w:ascii="Arial" w:cs="Arial" w:eastAsia="Arial" w:hAnsi="Arial"/>
          <w:sz w:val="22"/>
          <w:szCs w:val="22"/>
        </w:rPr>
        <w:t xml:space="preserve">[1] Kanerva, P. (2009). Hyperdimensional computing: An introduction to computing in distributed representation with high-dimensional random vectors. Cognitive Computation, 1(2), 139–159.</w:t>
      </w:r>
    </w:p>
    <w:p>
      <w:pPr>
        <w:spacing w:after="60" w:before="60"/>
        <w:jc w:val="both"/>
      </w:pPr>
      <w:r>
        <w:rPr>
          <w:rFonts w:ascii="Arial" w:cs="Arial" w:eastAsia="Arial" w:hAnsi="Arial"/>
          <w:sz w:val="22"/>
          <w:szCs w:val="22"/>
        </w:rPr>
        <w:t xml:space="preserve">[2] Plate, T.A. (1995). Holographic reduced representations. IEEE Transactions on Neural Networks, 6(3), 623–641.</w:t>
      </w:r>
    </w:p>
    <w:p>
      <w:pPr>
        <w:spacing w:after="60" w:before="60"/>
        <w:jc w:val="both"/>
      </w:pPr>
      <w:r>
        <w:rPr>
          <w:rFonts w:ascii="Arial" w:cs="Arial" w:eastAsia="Arial" w:hAnsi="Arial"/>
          <w:sz w:val="22"/>
          <w:szCs w:val="22"/>
        </w:rPr>
        <w:t xml:space="preserve">[3] Ramsauer, H. et al. (2021). Hopfield Networks is All You Need. ICLR 2021.</w:t>
      </w:r>
    </w:p>
    <w:p>
      <w:pPr>
        <w:spacing w:after="60" w:before="60"/>
        <w:jc w:val="both"/>
      </w:pPr>
      <w:r>
        <w:rPr>
          <w:rFonts w:ascii="Arial" w:cs="Arial" w:eastAsia="Arial" w:hAnsi="Arial"/>
          <w:sz w:val="22"/>
          <w:szCs w:val="22"/>
        </w:rPr>
        <w:t xml:space="preserve">[4] Friston, K. (2010). The free-energy principle: a unified brain theory? Nature Reviews Neuroscience, 11(2), 127–138.</w:t>
      </w:r>
    </w:p>
    <w:p>
      <w:pPr>
        <w:spacing w:after="60" w:before="60"/>
        <w:jc w:val="both"/>
      </w:pPr>
      <w:r>
        <w:rPr>
          <w:rFonts w:ascii="Arial" w:cs="Arial" w:eastAsia="Arial" w:hAnsi="Arial"/>
          <w:sz w:val="22"/>
          <w:szCs w:val="22"/>
        </w:rPr>
        <w:t xml:space="preserve">[5] Thomas, A. et al. (2021). Theoretical Foundations of Hyperdimensional Computing. arXiv:2102.07426.</w:t>
      </w:r>
    </w:p>
    <w:p>
      <w:pPr>
        <w:spacing w:after="60" w:before="6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KarmazynMatrix v3.1 — Preprint Draft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2026-04-20T09:38:39.573Z</dcterms:created>
  <dcterms:modified xsi:type="dcterms:W3CDTF">2026-04-20T09:38:39.573Z</dcterms:modified>
</cp:coreProperties>
</file>

<file path=docProps/custom.xml><?xml version="1.0" encoding="utf-8"?>
<Properties xmlns="http://schemas.openxmlformats.org/officeDocument/2006/custom-properties" xmlns:vt="http://schemas.openxmlformats.org/officeDocument/2006/docPropsVTypes"/>
</file>