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A3A6B"/>
          <w:sz w:val="52"/>
          <w:szCs w:val="52"/>
        </w:rPr>
        <w:t xml:space="preserve">KarmazynMatrix v3.3</w:t>
      </w:r>
    </w:p>
    <w:p>
      <w:pPr>
        <w:spacing w:after="80" w:before="0"/>
        <w:jc w:val="center"/>
      </w:pPr>
      <w:r>
        <w:rPr>
          <w:rFonts w:ascii="Arial" w:cs="Arial" w:eastAsia="Arial" w:hAnsi="Arial"/>
          <w:i/>
          <w:iCs/>
          <w:color w:val="333333"/>
          <w:sz w:val="27"/>
          <w:szCs w:val="27"/>
        </w:rPr>
        <w:t xml:space="preserve">Temperature-Modulated Attractor Dynamics for Noise Filtering in High-Dimensional VSA Spaces</w:t>
      </w:r>
    </w:p>
    <w:p>
      <w:pPr>
        <w:spacing w:after="40" w:before="60"/>
        <w:jc w:val="center"/>
      </w:pPr>
      <w:r>
        <w:rPr>
          <w:rFonts w:ascii="Arial" w:cs="Arial" w:eastAsia="Arial" w:hAnsi="Arial"/>
          <w:sz w:val="22"/>
          <w:szCs w:val="22"/>
        </w:rPr>
        <w:t xml:space="preserve">Maciej Mazur (EriAmo)  ·  Independent Research  ·  Warsaw, Poland</w:t>
      </w:r>
    </w:p>
    <w:p>
      <w:pPr>
        <w:spacing w:after="360" w:before="20"/>
        <w:jc w:val="center"/>
      </w:pPr>
      <w:r>
        <w:rPr>
          <w:rFonts w:ascii="Arial" w:cs="Arial" w:eastAsia="Arial" w:hAnsi="Arial"/>
          <w:color w:val="888888"/>
          <w:sz w:val="19"/>
          <w:szCs w:val="19"/>
        </w:rPr>
        <w:t xml:space="preserve">April 2026  ·  Preprint v3.3  ·  Code: deterministic seed=42, fully reproducible</w:t>
      </w:r>
    </w:p>
    <w:p>
      <w:pPr>
        <w:pStyle w:val="Heading1"/>
        <w:spacing w:after="120" w:before="360"/>
      </w:pPr>
      <w:r>
        <w:rPr>
          <w:rFonts w:ascii="Arial" w:cs="Arial" w:eastAsia="Arial" w:hAnsi="Arial"/>
          <w:b/>
          <w:bCs/>
          <w:color w:val="1A3A6B"/>
          <w:sz w:val="32"/>
          <w:szCs w:val="32"/>
        </w:rPr>
        <w:t xml:space="preserve">Abstract</w:t>
      </w:r>
    </w:p>
    <w:p>
      <w:pPr>
        <w:spacing w:after="60" w:before="60"/>
        <w:jc w:val="both"/>
      </w:pPr>
      <w:r>
        <w:rPr>
          <w:rFonts w:ascii="Arial" w:cs="Arial" w:eastAsia="Arial" w:hAnsi="Arial"/>
          <w:b w:val="false"/>
          <w:bCs w:val="false"/>
          <w:color w:val="111111"/>
          <w:sz w:val="22"/>
          <w:szCs w:val="22"/>
        </w:rPr>
        <w:t xml:space="preserve">We present KarmazynMatrix, a dynamical system over unit vectors in a 4096-dimensional Vector Symbolic Architecture (VSA) space. Atoms — unit vectors paired with scalar temperatures — evolve under exponential decay, resonance with a global attractor field (Trace), and holographic friction. A temperature-weighted Trace acts as a global coupling field, giving high-salience atoms disproportionate influence over the attractor direction.</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We report four main contributions. (1) Adaptive friction: f = c/√d with geometric derivation — the threshold is set just above expected random-vector similarity, eliminating a hidden dimension-dependent hyperparameter and guaranteeing correct behaviour at any dimensionality. (2) Momentum trace: exponential moving average over weighted superpositions, providing attractor inertia against transient noise. (3) Empirical coherence functional C(t) = −Σᵢ Tᵢ⟨Sᵢ,Trace⟩, which decreases monotonically after epoch 20 in 100% of 50 tested seeds; this is an empirical coherence proxy, not a Lyapunov function. (4) Geometric alignment criterion for relational survival: relations encoded from core-subspace vectors survive and remain recoverable from the Trace; orthogonal relations decay regardless of initial temperature.</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Comparison against two baselines (static HRR superposition, random-walk temperatures) shows KarmazynMatrix achieves 20–150× higher signal-to-noise ratio. An embedding ablation confirms that performance is driven by cluster geometry, not specific mathematical sequences: aligned-random clusters (mutual similarity matched to structured cores) achieve equivalent results (0.9425 vs 0.9615). All results are fully reproducible.</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1. Introduction</w:t>
      </w:r>
    </w:p>
    <w:p>
      <w:pPr>
        <w:spacing w:after="60" w:before="60"/>
        <w:jc w:val="both"/>
      </w:pPr>
      <w:r>
        <w:rPr>
          <w:rFonts w:ascii="Arial" w:cs="Arial" w:eastAsia="Arial" w:hAnsi="Arial"/>
          <w:b w:val="false"/>
          <w:bCs w:val="false"/>
          <w:color w:val="111111"/>
          <w:sz w:val="22"/>
          <w:szCs w:val="22"/>
        </w:rPr>
        <w:t xml:space="preserve">Vector Symbolic Architectures (VSA) represent symbols as random unit vectors in high-dimensional spaces, leveraging near-orthogonality for robust noise tolerance and compositional structure [Kanerva 2009, Plate 1995]. KarmazynMatrix asks a focused question: can a temperature-decay-resonance dynamical system achieve reliable signal-noise separation without learned weights, classifiers, or centralised control?</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The answer, established across multiple seeds and baselines, is yes — and the mechanism is geometric. Atoms whose vectors align with the global attractor field gain temperature; those orthogonal to it decay. The friction gate, calibrated to expected random-vector similarity, ensures this selection is both automatic and dimension-independent.</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This paper presents version 3.3, which adds a rigorous baseline comparison, a corrected embedding ablation, re-frames the energy functional honestly as a coherence proxy rather than a Lyapunov function, and restates the noise tolerance test in terms that do not conflict with classical VSA capacity theory. An unexpected finding — that relational survival is purely geometric — is documented as a concrete, reproducible result.</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2. Background</w:t>
      </w:r>
    </w:p>
    <w:p>
      <w:pPr>
        <w:pStyle w:val="Heading2"/>
        <w:spacing w:after="80" w:before="240"/>
      </w:pPr>
      <w:r>
        <w:rPr>
          <w:rFonts w:ascii="Arial" w:cs="Arial" w:eastAsia="Arial" w:hAnsi="Arial"/>
          <w:b/>
          <w:bCs/>
          <w:color w:val="1A3A6B"/>
          <w:sz w:val="26"/>
          <w:szCs w:val="26"/>
        </w:rPr>
        <w:t xml:space="preserve">2.1 Holographic Reduced Representations</w:t>
      </w:r>
    </w:p>
    <w:p>
      <w:pPr>
        <w:spacing w:after="60" w:before="60"/>
        <w:jc w:val="both"/>
      </w:pPr>
      <w:r>
        <w:rPr>
          <w:rFonts w:ascii="Arial" w:cs="Arial" w:eastAsia="Arial" w:hAnsi="Arial"/>
          <w:b w:val="false"/>
          <w:bCs w:val="false"/>
          <w:color w:val="111111"/>
          <w:sz w:val="22"/>
          <w:szCs w:val="22"/>
        </w:rPr>
        <w:t xml:space="preserve">In HRR [Plate 1995], symbols are d-dimensional real vectors. Operations:</w:t>
      </w:r>
    </w:p>
    <w:p>
      <w:pPr>
        <w:pStyle w:val="ListParagraph"/>
        <w:numPr>
          <w:ilvl w:val="0"/>
          <w:numId w:val="2"/>
        </w:numPr>
        <w:spacing w:after="40" w:before="40"/>
      </w:pPr>
      <w:r>
        <w:rPr>
          <w:rFonts w:ascii="Arial" w:cs="Arial" w:eastAsia="Arial" w:hAnsi="Arial"/>
          <w:sz w:val="22"/>
          <w:szCs w:val="22"/>
        </w:rPr>
        <w:t xml:space="preserve">Binding: h = a ⊛ b (circular convolution via FFT). Encodes ordered pairs; dim(h) = dim(a).</w:t>
      </w:r>
    </w:p>
    <w:p>
      <w:pPr>
        <w:pStyle w:val="ListParagraph"/>
        <w:numPr>
          <w:ilvl w:val="0"/>
          <w:numId w:val="2"/>
        </w:numPr>
        <w:spacing w:after="40" w:before="40"/>
      </w:pPr>
      <w:r>
        <w:rPr>
          <w:rFonts w:ascii="Arial" w:cs="Arial" w:eastAsia="Arial" w:hAnsi="Arial"/>
          <w:sz w:val="22"/>
          <w:szCs w:val="22"/>
        </w:rPr>
        <w:t xml:space="preserve">Unbinding: â ≈ h ⊛ a* (circular correlation). Approximately recovers b from bind(a,b) given a.</w:t>
      </w:r>
    </w:p>
    <w:p>
      <w:pPr>
        <w:pStyle w:val="ListParagraph"/>
        <w:numPr>
          <w:ilvl w:val="0"/>
          <w:numId w:val="2"/>
        </w:numPr>
        <w:spacing w:after="40" w:before="40"/>
      </w:pPr>
      <w:r>
        <w:rPr>
          <w:rFonts w:ascii="Arial" w:cs="Arial" w:eastAsia="Arial" w:hAnsi="Arial"/>
          <w:sz w:val="22"/>
          <w:szCs w:val="22"/>
        </w:rPr>
        <w:t xml:space="preserve">Superposition: m = Σᵢ aᵢ. Composite memory; components retrieved by dot-product query.</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For d = 4096, random unit vectors satisfy E[⟨a,b⟩] = 0, Var[⟨a,b⟩] = 1/d ≈ 2.4×10⁻⁴, giving strong concentration around zero similarity.</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2.2 Attractor Dynamics</w:t>
      </w:r>
    </w:p>
    <w:p>
      <w:pPr>
        <w:spacing w:after="60" w:before="60"/>
        <w:jc w:val="both"/>
      </w:pPr>
      <w:r>
        <w:rPr>
          <w:rFonts w:ascii="Arial" w:cs="Arial" w:eastAsia="Arial" w:hAnsi="Arial"/>
          <w:b w:val="false"/>
          <w:bCs w:val="false"/>
          <w:color w:val="111111"/>
          <w:sz w:val="22"/>
          <w:szCs w:val="22"/>
        </w:rPr>
        <w:t xml:space="preserve">Per-epoch update equations (all parameters listed in Table 1):</w:t>
      </w:r>
    </w:p>
    <w:p>
      <w:pPr>
        <w:spacing w:after="28" w:before="28"/>
        <w:ind w:left="720"/>
      </w:pPr>
      <w:r>
        <w:rPr>
          <w:rFonts w:ascii="Courier New" w:cs="Courier New" w:eastAsia="Courier New" w:hAnsi="Courier New"/>
          <w:color w:val="1a1a1a"/>
          <w:sz w:val="18"/>
          <w:szCs w:val="18"/>
        </w:rPr>
        <w:t xml:space="preserve">Decay:     T_i  ←  T_i · exp(−λ)</w:t>
      </w:r>
    </w:p>
    <w:p>
      <w:pPr>
        <w:spacing w:after="28" w:before="28"/>
        <w:ind w:left="720"/>
      </w:pPr>
      <w:r>
        <w:rPr>
          <w:rFonts w:ascii="Courier New" w:cs="Courier New" w:eastAsia="Courier New" w:hAnsi="Courier New"/>
          <w:color w:val="1a1a1a"/>
          <w:sz w:val="18"/>
          <w:szCs w:val="18"/>
        </w:rPr>
        <w:t xml:space="preserve">Resonance: T_i  ←  T_i + k·⟨S_i, Trace⟩ − f</w:t>
      </w:r>
    </w:p>
    <w:p>
      <w:pPr>
        <w:spacing w:after="28" w:before="28"/>
        <w:ind w:left="720"/>
      </w:pPr>
      <w:r>
        <w:rPr>
          <w:rFonts w:ascii="Courier New" w:cs="Courier New" w:eastAsia="Courier New" w:hAnsi="Courier New"/>
          <w:color w:val="1a1a1a"/>
          <w:sz w:val="18"/>
          <w:szCs w:val="18"/>
        </w:rPr>
        <w:t xml:space="preserve">Vacuum:    remove atom if T_i &lt; τ</w:t>
      </w:r>
    </w:p>
    <w:p>
      <w:pPr>
        <w:spacing w:after="28" w:before="28"/>
        <w:ind w:left="720"/>
      </w:pPr>
      <w:r>
        <w:rPr>
          <w:rFonts w:ascii="Courier New" w:cs="Courier New" w:eastAsia="Courier New" w:hAnsi="Courier New"/>
          <w:color w:val="1a1a1a"/>
          <w:sz w:val="18"/>
          <w:szCs w:val="18"/>
        </w:rPr>
        <w:t xml:space="preserve">Trace:     Trace_t = normalize(α·Σ_i T_i·S_i + (1−α)·Trace_{t−1})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5060"/>
      </w:tblGrid>
      <w:tr>
        <w:tc>
          <w:tcPr>
            <w:tcW w:type="dxa" w:w="2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9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1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50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Decay rate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λ</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Exponential temperature decay per epoch</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Resonance gain</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k</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0.20</w:t>
            </w:r>
          </w:p>
        </w:tc>
        <w:tc>
          <w:tcPr>
            <w:tcW w:type="dxa" w:w="50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Temperature gain per unit alignment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Friction margin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1.20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Multiplier above random similarity threshold</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Vacuum threshold</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τ</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0.15</w:t>
            </w:r>
          </w:p>
        </w:tc>
        <w:tc>
          <w:tcPr>
            <w:tcW w:type="dxa" w:w="50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Minimum temperature for atom survival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Trace momentum</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0.30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Weight of current epoch in trace update</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Dimension</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4096</w:t>
            </w:r>
          </w:p>
        </w:tc>
        <w:tc>
          <w:tcPr>
            <w:tcW w:type="dxa" w:w="50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VSA vector space dimensionality</w:t>
            </w:r>
          </w:p>
        </w:tc>
      </w:tr>
    </w:tbl>
    <w:p>
      <w:pPr>
        <w:spacing w:after="60" w:before="60"/>
        <w:jc w:val="both"/>
      </w:pPr>
      <w:r>
        <w:rPr>
          <w:rFonts w:ascii="Arial" w:cs="Arial" w:eastAsia="Arial" w:hAnsi="Arial"/>
          <w:b w:val="false"/>
          <w:bCs w:val="false"/>
          <w:color w:val="666666"/>
          <w:sz w:val="19"/>
          <w:szCs w:val="19"/>
        </w:rPr>
        <w:t xml:space="preserve">Table 1. System parameters.</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2.3 Adaptive Friction</w:t>
      </w:r>
    </w:p>
    <w:p>
      <w:pPr>
        <w:spacing w:after="60" w:before="60"/>
        <w:jc w:val="both"/>
      </w:pPr>
      <w:r>
        <w:rPr>
          <w:rFonts w:ascii="Arial" w:cs="Arial" w:eastAsia="Arial" w:hAnsi="Arial"/>
          <w:b w:val="false"/>
          <w:bCs w:val="false"/>
          <w:color w:val="111111"/>
          <w:sz w:val="22"/>
          <w:szCs w:val="22"/>
        </w:rPr>
        <w:t xml:space="preserve">The key design decision: friction is not a fixed scalar but is derived from the geometry of the space:</w:t>
      </w:r>
    </w:p>
    <w:p>
      <w:pPr>
        <w:spacing w:after="28" w:before="28"/>
        <w:ind w:left="720"/>
      </w:pPr>
      <w:r>
        <w:rPr>
          <w:rFonts w:ascii="Courier New" w:cs="Courier New" w:eastAsia="Courier New" w:hAnsi="Courier New"/>
          <w:color w:val="1a1a1a"/>
          <w:sz w:val="18"/>
          <w:szCs w:val="18"/>
        </w:rPr>
        <w:t xml:space="preserve">f = c / sqrt(d),    c = 1.20 (friction_margin)</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For a random unit vector r and any fixed unit trace t, E[⟨r,t⟩] ≈ 0 and the standard deviation is 1/√d. Setting f = 1.2/√d places the threshold 1.2 standard deviations above the expected random similarity, ensuring noise atoms cannot sustain temperature at any dimensionality. Table 2 shows the resulting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d</w:t>
            </w:r>
          </w:p>
        </w:tc>
        <w:tc>
          <w:tcPr>
            <w:tcW w:type="dxa" w:w="2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E[⟨r,t⟩] ≈ 1/√d</w:t>
            </w:r>
          </w:p>
        </w:tc>
        <w:tc>
          <w:tcPr>
            <w:tcW w:type="dxa" w:w="25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f = 1.2/√d</w:t>
            </w:r>
          </w:p>
        </w:tc>
        <w:tc>
          <w:tcPr>
            <w:tcW w:type="dxa" w:w="2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Margin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256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0.06250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0.07500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1024</w:t>
            </w:r>
          </w:p>
        </w:tc>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0.03125</w:t>
            </w:r>
          </w:p>
        </w:tc>
        <w:tc>
          <w:tcPr>
            <w:tcW w:type="dxa" w:w="2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0.03750</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4096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0.01563</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0.01875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16384</w:t>
            </w:r>
          </w:p>
        </w:tc>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0.00781</w:t>
            </w:r>
          </w:p>
        </w:tc>
        <w:tc>
          <w:tcPr>
            <w:tcW w:type="dxa" w:w="2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0.00938</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r>
    </w:tbl>
    <w:p>
      <w:pPr>
        <w:spacing w:after="60" w:before="60"/>
        <w:jc w:val="both"/>
      </w:pPr>
      <w:r>
        <w:rPr>
          <w:rFonts w:ascii="Arial" w:cs="Arial" w:eastAsia="Arial" w:hAnsi="Arial"/>
          <w:b w:val="false"/>
          <w:bCs w:val="false"/>
          <w:color w:val="666666"/>
          <w:sz w:val="19"/>
          <w:szCs w:val="19"/>
        </w:rPr>
        <w:t xml:space="preserve">Table 2. Adaptive friction values across dimensionalities.</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2.4 Empirical Coherence Functional</w:t>
      </w:r>
    </w:p>
    <w:p>
      <w:pPr>
        <w:spacing w:after="60" w:before="60"/>
        <w:jc w:val="both"/>
      </w:pPr>
      <w:r>
        <w:rPr>
          <w:rFonts w:ascii="Arial" w:cs="Arial" w:eastAsia="Arial" w:hAnsi="Arial"/>
          <w:b w:val="false"/>
          <w:bCs w:val="false"/>
          <w:color w:val="111111"/>
          <w:sz w:val="22"/>
          <w:szCs w:val="22"/>
        </w:rPr>
        <w:t xml:space="preserve">We define:</w:t>
      </w:r>
    </w:p>
    <w:p>
      <w:pPr>
        <w:spacing w:after="28" w:before="28"/>
        <w:ind w:left="720"/>
      </w:pPr>
      <w:r>
        <w:rPr>
          <w:rFonts w:ascii="Courier New" w:cs="Courier New" w:eastAsia="Courier New" w:hAnsi="Courier New"/>
          <w:color w:val="1a1a1a"/>
          <w:sz w:val="18"/>
          <w:szCs w:val="18"/>
        </w:rPr>
        <w:t xml:space="preserve">C(t) = −Σ_i T_i(t) · ⟨S_i, Trace(t)⟩</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Lower (more negative) C corresponds to higher average alignment. We use the term 'empirical coherence functional' rather than energy or Lyapunov function for a precise reason: Trace depends on T_i, so C is not an independent state function. A decrease in C does not follow from a potential-function argument. The empirical monotonicity observed post-epoch 20 is a reproducible property of the dynamics, not a consequence of a formal stability theorem. The analytical proof remains open.</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3. Methods</w:t>
      </w:r>
    </w:p>
    <w:p>
      <w:pPr>
        <w:pStyle w:val="Heading2"/>
        <w:spacing w:after="80" w:before="240"/>
      </w:pPr>
      <w:r>
        <w:rPr>
          <w:rFonts w:ascii="Arial" w:cs="Arial" w:eastAsia="Arial" w:hAnsi="Arial"/>
          <w:b/>
          <w:bCs/>
          <w:color w:val="1A3A6B"/>
          <w:sz w:val="26"/>
          <w:szCs w:val="26"/>
        </w:rPr>
        <w:t xml:space="preserve">3.1 Seed Vector Design</w:t>
      </w:r>
    </w:p>
    <w:p>
      <w:pPr>
        <w:spacing w:after="60" w:before="60"/>
        <w:jc w:val="both"/>
      </w:pPr>
      <w:r>
        <w:rPr>
          <w:rFonts w:ascii="Arial" w:cs="Arial" w:eastAsia="Arial" w:hAnsi="Arial"/>
          <w:b w:val="false"/>
          <w:bCs w:val="false"/>
          <w:color w:val="111111"/>
          <w:sz w:val="22"/>
          <w:szCs w:val="22"/>
        </w:rPr>
        <w:t xml:space="preserve">Five initial atoms use deterministic mathematical sequences chosen for geometric diversity. The mapping concept-label → sequence is arbitrary: the labels are mnemonics for a specific demonstration, and substituting any other labels would not affect system behaviour. The sequences are:</w:t>
      </w:r>
    </w:p>
    <w:p>
      <w:pPr>
        <w:pStyle w:val="ListParagraph"/>
        <w:numPr>
          <w:ilvl w:val="0"/>
          <w:numId w:val="2"/>
        </w:numPr>
        <w:spacing w:after="40" w:before="40"/>
      </w:pPr>
      <w:r>
        <w:rPr>
          <w:rFonts w:ascii="Arial" w:cs="Arial" w:eastAsia="Arial" w:hAnsi="Arial"/>
          <w:sz w:val="22"/>
          <w:szCs w:val="22"/>
        </w:rPr>
        <w:t xml:space="preserve">miłość: exponential growth — geometrically asymmetric, high variance across components</w:t>
      </w:r>
    </w:p>
    <w:p>
      <w:pPr>
        <w:pStyle w:val="ListParagraph"/>
        <w:numPr>
          <w:ilvl w:val="0"/>
          <w:numId w:val="2"/>
        </w:numPr>
        <w:spacing w:after="40" w:before="40"/>
      </w:pPr>
      <w:r>
        <w:rPr>
          <w:rFonts w:ascii="Arial" w:cs="Arial" w:eastAsia="Arial" w:hAnsi="Arial"/>
          <w:sz w:val="22"/>
          <w:szCs w:val="22"/>
        </w:rPr>
        <w:t xml:space="preserve">uczciwość: constant vector — uniform projection, projects equally onto all directions</w:t>
      </w:r>
    </w:p>
    <w:p>
      <w:pPr>
        <w:pStyle w:val="ListParagraph"/>
        <w:numPr>
          <w:ilvl w:val="0"/>
          <w:numId w:val="2"/>
        </w:numPr>
        <w:spacing w:after="40" w:before="40"/>
      </w:pPr>
      <w:r>
        <w:rPr>
          <w:rFonts w:ascii="Arial" w:cs="Arial" w:eastAsia="Arial" w:hAnsi="Arial"/>
          <w:sz w:val="22"/>
          <w:szCs w:val="22"/>
        </w:rPr>
        <w:t xml:space="preserve">szacunek: golden-ratio quasiperiodic — low discrepancy, dense in [0,1]</w:t>
      </w:r>
    </w:p>
    <w:p>
      <w:pPr>
        <w:pStyle w:val="ListParagraph"/>
        <w:numPr>
          <w:ilvl w:val="0"/>
          <w:numId w:val="2"/>
        </w:numPr>
        <w:spacing w:after="40" w:before="40"/>
      </w:pPr>
      <w:r>
        <w:rPr>
          <w:rFonts w:ascii="Arial" w:cs="Arial" w:eastAsia="Arial" w:hAnsi="Arial"/>
          <w:sz w:val="22"/>
          <w:szCs w:val="22"/>
        </w:rPr>
        <w:t xml:space="preserve">ład (anomaly): sinusoidal — energy concentrated in a narrow frequency band</w:t>
      </w:r>
    </w:p>
    <w:p>
      <w:pPr>
        <w:pStyle w:val="ListParagraph"/>
        <w:numPr>
          <w:ilvl w:val="0"/>
          <w:numId w:val="2"/>
        </w:numPr>
        <w:spacing w:after="40" w:before="40"/>
      </w:pPr>
      <w:r>
        <w:rPr>
          <w:rFonts w:ascii="Arial" w:cs="Arial" w:eastAsia="Arial" w:hAnsi="Arial"/>
          <w:sz w:val="22"/>
          <w:szCs w:val="22"/>
        </w:rPr>
        <w:t xml:space="preserve">wirus_agresor (adversary): MD5-seeded Gaussian — approximately orthogonal to all above</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Important: mutual cosine similarity between the three core vectors is 0.83–0.96 (mean 0.89). They form a coherent cluster, not an orthogonal basis. Section 4.4 shows this cluster structure, not the specific sequences, drives system performance.</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3.2 Baseline Conditions</w:t>
      </w:r>
    </w:p>
    <w:p>
      <w:pPr>
        <w:spacing w:after="60" w:before="60"/>
        <w:jc w:val="both"/>
      </w:pPr>
      <w:r>
        <w:rPr>
          <w:rFonts w:ascii="Arial" w:cs="Arial" w:eastAsia="Arial" w:hAnsi="Arial"/>
          <w:b w:val="false"/>
          <w:bCs w:val="false"/>
          <w:color w:val="111111"/>
          <w:sz w:val="22"/>
          <w:szCs w:val="22"/>
        </w:rPr>
        <w:t xml:space="preserve">Three conditions are compared across noise loads (n ∈ {1,5,10,20,50,100,200}):</w:t>
      </w:r>
    </w:p>
    <w:p>
      <w:pPr>
        <w:pStyle w:val="ListParagraph"/>
        <w:numPr>
          <w:ilvl w:val="0"/>
          <w:numId w:val="2"/>
        </w:numPr>
        <w:spacing w:after="40" w:before="40"/>
      </w:pPr>
      <w:r>
        <w:rPr>
          <w:rFonts w:ascii="Arial" w:cs="Arial" w:eastAsia="Arial" w:hAnsi="Arial"/>
          <w:sz w:val="22"/>
          <w:szCs w:val="22"/>
        </w:rPr>
        <w:t xml:space="preserve">Static HRR: Trace = normalize(Σᵢ Sᵢ), no dynamics. Pure superposition, no temperature selection. Represents the default VSA retrieval mechanism.</w:t>
      </w:r>
    </w:p>
    <w:p>
      <w:pPr>
        <w:pStyle w:val="ListParagraph"/>
        <w:numPr>
          <w:ilvl w:val="0"/>
          <w:numId w:val="2"/>
        </w:numPr>
        <w:spacing w:after="40" w:before="40"/>
      </w:pPr>
      <w:r>
        <w:rPr>
          <w:rFonts w:ascii="Arial" w:cs="Arial" w:eastAsia="Arial" w:hAnsi="Arial"/>
          <w:sz w:val="22"/>
          <w:szCs w:val="22"/>
        </w:rPr>
        <w:t xml:space="preserve">Random Walk: temperatures updated with Gaussian noise (σ=0.05/epoch), no geometric criterion. Controls for the effect of temperature variation independent of alignment.</w:t>
      </w:r>
    </w:p>
    <w:p>
      <w:pPr>
        <w:pStyle w:val="ListParagraph"/>
        <w:numPr>
          <w:ilvl w:val="0"/>
          <w:numId w:val="2"/>
        </w:numPr>
        <w:spacing w:after="40" w:before="40"/>
      </w:pPr>
      <w:r>
        <w:rPr>
          <w:rFonts w:ascii="Arial" w:cs="Arial" w:eastAsia="Arial" w:hAnsi="Arial"/>
          <w:sz w:val="22"/>
          <w:szCs w:val="22"/>
        </w:rPr>
        <w:t xml:space="preserve">KarmazynMatrix: full dynamics with adaptive friction and momentum trace.</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Metric: SNR = mean_core_similarity / mean_noise_similarity, where similarity = dot product with Trace. Core atoms: 3 structured vectors. Noise atoms: n random Gaussian unit vectors, T_init = 2.0 (equal to or above some core atoms).</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3.3 Noise Tolerance vs Memory Capacity</w:t>
      </w:r>
    </w:p>
    <w:p>
      <w:pPr>
        <w:spacing w:after="60" w:before="60"/>
        <w:jc w:val="both"/>
      </w:pPr>
      <w:r>
        <w:rPr>
          <w:rFonts w:ascii="Arial" w:cs="Arial" w:eastAsia="Arial" w:hAnsi="Arial"/>
          <w:b w:val="false"/>
          <w:bCs w:val="false"/>
          <w:color w:val="111111"/>
          <w:sz w:val="22"/>
          <w:szCs w:val="22"/>
        </w:rPr>
        <w:t xml:space="preserve">We explicitly distinguish two metrics that are often conflated:</w:t>
      </w:r>
    </w:p>
    <w:p>
      <w:pPr>
        <w:pStyle w:val="ListParagraph"/>
        <w:numPr>
          <w:ilvl w:val="0"/>
          <w:numId w:val="2"/>
        </w:numPr>
        <w:spacing w:after="40" w:before="40"/>
      </w:pPr>
      <w:r>
        <w:rPr>
          <w:rFonts w:ascii="Arial" w:cs="Arial" w:eastAsia="Arial" w:hAnsi="Arial"/>
          <w:sz w:val="22"/>
          <w:szCs w:val="22"/>
        </w:rPr>
        <w:t xml:space="preserve">Memory capacity (Kanerva 2009): maximum number of distinct items storable and retrievable from superposition — approximately 0.1·d ≈ 410 for d = 4096. This is a retrieval accuracy metric for static superposition.</w:t>
      </w:r>
    </w:p>
    <w:p>
      <w:pPr>
        <w:pStyle w:val="ListParagraph"/>
        <w:numPr>
          <w:ilvl w:val="0"/>
          <w:numId w:val="2"/>
        </w:numPr>
        <w:spacing w:after="40" w:before="40"/>
      </w:pPr>
      <w:r>
        <w:rPr>
          <w:rFonts w:ascii="Arial" w:cs="Arial" w:eastAsia="Arial" w:hAnsi="Arial"/>
          <w:sz w:val="22"/>
          <w:szCs w:val="22"/>
        </w:rPr>
        <w:t xml:space="preserve">Noise tolerance threshold (this work): maximum number of simultaneously present noise atoms such that a core atom survives temperature dynamics with ≥80% probability over 100 epochs. Measured value: ~25 atoms.</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These measure different things. The lower empirical threshold reflects the additional constraint imposed by the temperature gate: noise atoms with T_init = 2.0 (well above vacuum threshold) temporarily dilute the Trace before being eliminated, which can destabilise low-temperature core atoms. A core with T_init = 2.5 survives against 25 noise atoms at T = 2.0, but this is not a statement about retrieval accuracy.</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4. Results</w:t>
      </w:r>
    </w:p>
    <w:p>
      <w:pPr>
        <w:pStyle w:val="Heading2"/>
        <w:spacing w:after="80" w:before="240"/>
      </w:pPr>
      <w:r>
        <w:rPr>
          <w:rFonts w:ascii="Arial" w:cs="Arial" w:eastAsia="Arial" w:hAnsi="Arial"/>
          <w:b/>
          <w:bCs/>
          <w:color w:val="1A3A6B"/>
          <w:sz w:val="26"/>
          <w:szCs w:val="26"/>
        </w:rPr>
        <w:t xml:space="preserve">4.1 Standard Attractor Convergence</w:t>
      </w:r>
    </w:p>
    <w:p>
      <w:pPr>
        <w:spacing w:after="60" w:before="60"/>
        <w:jc w:val="both"/>
      </w:pPr>
      <w:r>
        <w:rPr>
          <w:rFonts w:ascii="Arial" w:cs="Arial" w:eastAsia="Arial" w:hAnsi="Arial"/>
          <w:b w:val="false"/>
          <w:bCs w:val="false"/>
          <w:color w:val="111111"/>
          <w:sz w:val="22"/>
          <w:szCs w:val="22"/>
        </w:rPr>
        <w:t xml:space="preserve">Deterministic run, seed=42, d=4096, standard configuration (3 core + 1 anomaly + 1 adversary):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400"/>
        <w:gridCol w:w="1600"/>
        <w:gridCol w:w="4760"/>
      </w:tblGrid>
      <w:tr>
        <w:tc>
          <w:tcPr>
            <w:tcW w:type="dxa" w:w="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Atoms</w:t>
            </w:r>
          </w:p>
        </w:tc>
        <w:tc>
          <w:tcPr>
            <w:tcW w:type="dxa" w:w="14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C(t)</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Sim μ (σ)</w:t>
            </w:r>
          </w:p>
        </w:tc>
        <w:tc>
          <w:tcPr>
            <w:tcW w:type="dxa" w:w="47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Temperatures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−6.3545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0.595 (0.441)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miłość:2.334  uczciwość:2.152  szacunek:2.081  ład:0.350  wirus:0.793</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−6.4197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0.736 (0.389)</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miłość:2.295  uczciwość:2.234  szacunek:2.132  wirus:0.358</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−6.4639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0.962 (0.021)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miłość:2.286  uczciwość:2.274  szacunek:2.159</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50</w:t>
            </w:r>
          </w:p>
        </w:tc>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−6.5040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0.962 (0.020)</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miłość:2.280  uczciwość:2.301  szacunek:2.179</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−6.5139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0.962 (0.020)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miłość:2.279  uczciwość:2.308  szacunek:2.184</w:t>
            </w:r>
          </w:p>
        </w:tc>
      </w:tr>
    </w:tbl>
    <w:p>
      <w:pPr>
        <w:spacing w:after="60" w:before="60"/>
        <w:jc w:val="both"/>
      </w:pPr>
      <w:r>
        <w:rPr>
          <w:rFonts w:ascii="Arial" w:cs="Arial" w:eastAsia="Arial" w:hAnsi="Arial"/>
          <w:b w:val="false"/>
          <w:bCs w:val="false"/>
          <w:color w:val="666666"/>
          <w:sz w:val="19"/>
          <w:szCs w:val="19"/>
        </w:rPr>
        <w:t xml:space="preserve">Table 3. Convergence to stable 3-atom attractor. C(t) decreases monotonically after epoch 20.</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Noise atoms are eliminated in order of geometric misalignment: wirus_agresor (random vector, ⟨S,Trace⟩ ≈ 0) eliminated by epoch 20; ład (sinusoidal, partial alignment) by epoch 30. Core similarity stabilises at 0.962 and remains constant through epoch 100.</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4.2 Empirical Coherence Monotonicity</w:t>
      </w:r>
    </w:p>
    <w:p>
      <w:pPr>
        <w:spacing w:after="60" w:before="60"/>
        <w:jc w:val="both"/>
      </w:pPr>
      <w:r>
        <w:rPr>
          <w:rFonts w:ascii="Arial" w:cs="Arial" w:eastAsia="Arial" w:hAnsi="Arial"/>
          <w:b w:val="false"/>
          <w:bCs w:val="false"/>
          <w:color w:val="111111"/>
          <w:sz w:val="22"/>
          <w:szCs w:val="22"/>
        </w:rPr>
        <w:t xml:space="preserve">Multi-seed analysis, n=50 seeds, identical atom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1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Total violations (epochs 1–100)</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μ = 7.00 ± 0.00 across 50 seeds</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Violations post epoch 20</w:t>
            </w:r>
          </w:p>
        </w:tc>
        <w:tc>
          <w:tcPr>
            <w:tcW w:type="dxa" w:w="5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μ = 0.00 ± 0.00 across 50 seeds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Runs with zero post-20 violations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50 / 50 = 100%</w:t>
            </w:r>
          </w:p>
        </w:tc>
      </w:tr>
    </w:tbl>
    <w:p>
      <w:pPr>
        <w:spacing w:after="60" w:before="60"/>
        <w:jc w:val="both"/>
      </w:pPr>
      <w:r>
        <w:rPr>
          <w:rFonts w:ascii="Arial" w:cs="Arial" w:eastAsia="Arial" w:hAnsi="Arial"/>
          <w:b w:val="false"/>
          <w:bCs w:val="false"/>
          <w:color w:val="666666"/>
          <w:sz w:val="19"/>
          <w:szCs w:val="19"/>
        </w:rPr>
        <w:t xml:space="preserve">Table 4. Coherence functional C(t) is monotonically non-increasing after epoch 20 in all 50 seeds.</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The 7 transient violations in epochs 1–20 coincide with the phase during which noise atoms are still present and the Trace is forming. Once noise atoms are eliminated (by epoch 20 in all seeds), C decreases strictly. This is consistent with the system entering a noise-free fixed-point regime, but a formal proof is not provided.</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4.3 Baseline Comparison</w:t>
      </w:r>
    </w:p>
    <w:p>
      <w:pPr>
        <w:spacing w:after="60" w:before="60"/>
        <w:jc w:val="both"/>
      </w:pPr>
      <w:r>
        <w:rPr>
          <w:rFonts w:ascii="Arial" w:cs="Arial" w:eastAsia="Arial" w:hAnsi="Arial"/>
          <w:b w:val="false"/>
          <w:bCs w:val="false"/>
          <w:color w:val="111111"/>
          <w:sz w:val="22"/>
          <w:szCs w:val="22"/>
        </w:rPr>
        <w:t xml:space="preserve">SNR = mean_core_similarity / mean_noise_similarity. Higher SNR indicates cleaner separation of core signal from noise in the Trace.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260"/>
        <w:gridCol w:w="1800"/>
      </w:tblGrid>
      <w:tr>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Noise atoms</w:t>
            </w:r>
          </w:p>
        </w:tc>
        <w:tc>
          <w:tcPr>
            <w:tcW w:type="dxa" w:w="1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Static HRR SNR</w:t>
            </w:r>
          </w:p>
        </w:tc>
        <w:tc>
          <w:tcPr>
            <w:tcW w:type="dxa" w:w="19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Random Walk SNR</w:t>
            </w:r>
          </w:p>
        </w:tc>
        <w:tc>
          <w:tcPr>
            <w:tcW w:type="dxa" w:w="22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KarmazynMatrix SNR</w:t>
            </w:r>
          </w:p>
        </w:tc>
        <w:tc>
          <w:tcPr>
            <w:tcW w:type="dxa" w:w="1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KM core sim</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2.79</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3.36</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415.81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2.59</w:t>
            </w:r>
          </w:p>
        </w:tc>
        <w:tc>
          <w:tcPr>
            <w:tcW w:type="dxa" w:w="1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2.50</w:t>
            </w:r>
          </w:p>
        </w:tc>
        <w:tc>
          <w:tcPr>
            <w:tcW w:type="dxa" w:w="2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47.74</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2.75</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2.65</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56.19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2.75</w:t>
            </w:r>
          </w:p>
        </w:tc>
        <w:tc>
          <w:tcPr>
            <w:tcW w:type="dxa" w:w="1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2.26</w:t>
            </w:r>
          </w:p>
        </w:tc>
        <w:tc>
          <w:tcPr>
            <w:tcW w:type="dxa" w:w="2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75.13</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2.89</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2.70</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75.51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2.93</w:t>
            </w:r>
          </w:p>
        </w:tc>
        <w:tc>
          <w:tcPr>
            <w:tcW w:type="dxa" w:w="1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2.76</w:t>
            </w:r>
          </w:p>
        </w:tc>
        <w:tc>
          <w:tcPr>
            <w:tcW w:type="dxa" w:w="2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75.19</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2.91</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2.97</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73.08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bl>
    <w:p>
      <w:pPr>
        <w:spacing w:after="60" w:before="60"/>
        <w:jc w:val="both"/>
      </w:pPr>
      <w:r>
        <w:rPr>
          <w:rFonts w:ascii="Arial" w:cs="Arial" w:eastAsia="Arial" w:hAnsi="Arial"/>
          <w:b w:val="false"/>
          <w:bCs w:val="false"/>
          <w:color w:val="666666"/>
          <w:sz w:val="19"/>
          <w:szCs w:val="19"/>
        </w:rPr>
        <w:t xml:space="preserve">Table 5. SNR comparison across noise loads. KarmazynMatrix maintains constant core similarity (0.9615) at all noise levels; static HRR degrades from 0.91 to 0.20.</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Key observations: (1) Static HRR and Random Walk SNR are approximately constant at ~2.7–3.0, with no dependence on noise load — because both baselines mix core and noise vectors in the Trace without filtering. (2) KarmazynMatrix SNR is 20–150× higher and core similarity is independent of noise load, demonstrating that temperature dynamics provide genuine separation, not available from superposition alone. (3) Random Walk performance is indistinguishable from Static HRR, confirming that temperature variation alone (without geometric selection) provides no benefit.</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4.4 Embedding Ablation</w:t>
      </w:r>
    </w:p>
    <w:p>
      <w:pPr>
        <w:spacing w:after="60" w:before="60"/>
        <w:jc w:val="both"/>
      </w:pPr>
      <w:r>
        <w:rPr>
          <w:rFonts w:ascii="Arial" w:cs="Arial" w:eastAsia="Arial" w:hAnsi="Arial"/>
          <w:b w:val="false"/>
          <w:bCs w:val="false"/>
          <w:color w:val="111111"/>
          <w:sz w:val="22"/>
          <w:szCs w:val="22"/>
        </w:rPr>
        <w:t xml:space="preserve">The three structured core vectors (exponential, constant, golden-ratio) have mutual cosine similarity 0.83–0.96, mean 0.89. They form a coherent cluster, not an orthogonal basis. To isolate whether performance depends on the specific mathematical sequences or the cluster geometry, we construct aligned-random clusters: three random unit vectors with controlled mutual similarity (target = 0.87, matched to structured cores).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Noise atoms</w:t>
            </w:r>
          </w:p>
        </w:tc>
        <w:tc>
          <w:tcPr>
            <w:tcW w:type="dxa" w:w="2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Structured core sim</w:t>
            </w:r>
          </w:p>
        </w:tc>
        <w:tc>
          <w:tcPr>
            <w:tcW w:type="dxa" w:w="2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Aligned-random sim</w:t>
            </w:r>
          </w:p>
        </w:tc>
        <w:tc>
          <w:tcPr>
            <w:tcW w:type="dxa" w:w="23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Difference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 ± 0.0000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0.9425 ± 0.0005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−0.019</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 ± 0.0000</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0.9425 ± 0.0005</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−0.019</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 ± 0.0000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0.9425 ± 0.0005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−0.019</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 ± 0.0000</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0.9425 ± 0.0005</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−0.019</w:t>
            </w:r>
          </w:p>
        </w:tc>
      </w:tr>
    </w:tbl>
    <w:p>
      <w:pPr>
        <w:spacing w:after="60" w:before="60"/>
        <w:jc w:val="both"/>
      </w:pPr>
      <w:r>
        <w:rPr>
          <w:rFonts w:ascii="Arial" w:cs="Arial" w:eastAsia="Arial" w:hAnsi="Arial"/>
          <w:b w:val="false"/>
          <w:bCs w:val="false"/>
          <w:color w:val="666666"/>
          <w:sz w:val="19"/>
          <w:szCs w:val="19"/>
        </w:rPr>
        <w:t xml:space="preserve">Table 6. Structured vs aligned-random core vectors across noise loads (n=10 seeds each).</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The 0.019 difference is consistent and small. Both conditions achieve high core similarity across all noise loads. The performance gap is attributable to the slightly higher mean mutual similarity of the structured vectors (0.886) vs the aligned-random target (0.870), not to any property of the specific sequences. This confirms the arbitrary mapping claim: the system selects coherent subspaces, not specific mathematical patterns.</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4.5 Noise Tolerance Threshold</w:t>
      </w:r>
    </w:p>
    <w:p>
      <w:pPr>
        <w:spacing w:after="60" w:before="60"/>
        <w:jc w:val="both"/>
      </w:pPr>
      <w:r>
        <w:rPr>
          <w:rFonts w:ascii="Arial" w:cs="Arial" w:eastAsia="Arial" w:hAnsi="Arial"/>
          <w:b w:val="false"/>
          <w:bCs w:val="false"/>
          <w:color w:val="111111"/>
          <w:sz w:val="22"/>
          <w:szCs w:val="22"/>
        </w:rPr>
        <w:t xml:space="preserve">Single core atom (miłość, T=2.5) vs n noise atoms (T=2.0 each), 5 seeds per data point: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Noise atoms</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Survival rate</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Seeds passed</w:t>
            </w:r>
          </w:p>
        </w:tc>
        <w:tc>
          <w:tcPr>
            <w:tcW w:type="dxa" w:w="43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stable</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5/5</w:t>
            </w:r>
          </w:p>
        </w:tc>
        <w:tc>
          <w:tcPr>
            <w:tcW w:type="dxa" w:w="4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stable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stable — threshold boundary</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60%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3/5</w:t>
            </w:r>
          </w:p>
        </w:tc>
        <w:tc>
          <w:tcPr>
            <w:tcW w:type="dxa" w:w="4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degraded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80%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variable</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60%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3/5</w:t>
            </w:r>
          </w:p>
        </w:tc>
        <w:tc>
          <w:tcPr>
            <w:tcW w:type="dxa" w:w="4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degraded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40%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degraded</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800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20%</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1/5</w:t>
            </w:r>
          </w:p>
        </w:tc>
        <w:tc>
          <w:tcPr>
            <w:tcW w:type="dxa" w:w="4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near-failure</w:t>
            </w:r>
          </w:p>
        </w:tc>
      </w:tr>
    </w:tbl>
    <w:p>
      <w:pPr>
        <w:spacing w:after="60" w:before="60"/>
        <w:jc w:val="both"/>
      </w:pPr>
      <w:r>
        <w:rPr>
          <w:rFonts w:ascii="Arial" w:cs="Arial" w:eastAsia="Arial" w:hAnsi="Arial"/>
          <w:b w:val="false"/>
          <w:bCs w:val="false"/>
          <w:color w:val="666666"/>
          <w:sz w:val="19"/>
          <w:szCs w:val="19"/>
        </w:rPr>
        <w:t xml:space="preserve">Table 7. Noise tolerance threshold. Metric: core atom survival after 100 epochs. This is distinct from VSA memory capacity (Kanerva ~0.1·d ≈ 410 for d=4096).</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Empirical noise tolerance threshold: ≤25 simultaneously present noise atoms at T=2.0. The non-monotone behaviour at n=100 (80%) vs n=50 (60%) reflects seed variance with only 5 seeds per point; increasing to 30 seeds would stabilise the curve. The threshold is not a memory capacity limit — it measures the maximum noise load under which the temperature gate reliably protects a core atom.</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4.6 Geometric Alignment and Relational Survival</w:t>
      </w:r>
    </w:p>
    <w:p>
      <w:pPr>
        <w:spacing w:after="60" w:before="60"/>
        <w:jc w:val="both"/>
      </w:pPr>
      <w:r>
        <w:rPr>
          <w:rFonts w:ascii="Arial" w:cs="Arial" w:eastAsia="Arial" w:hAnsi="Arial"/>
          <w:b w:val="false"/>
          <w:bCs w:val="false"/>
          <w:color w:val="111111"/>
          <w:sz w:val="22"/>
          <w:szCs w:val="22"/>
        </w:rPr>
        <w:t xml:space="preserve">Two experiments test HRR bind/unbind within active attractor dynamics. The question: does a relational atom survive, and is the relation recoverable from the Trace post-convergence?</w:t>
      </w:r>
    </w:p>
    <w:p>
      <w:pPr>
        <w:spacing w:after="60" w:before="60"/>
      </w:pPr>
      <w:r>
        <w:t xml:space="preserve"/>
      </w:r>
    </w:p>
    <w:p>
      <w:pPr>
        <w:spacing w:after="60" w:before="180"/>
      </w:pPr>
      <w:r>
        <w:rPr>
          <w:rFonts w:ascii="Arial" w:cs="Arial" w:eastAsia="Arial" w:hAnsi="Arial"/>
          <w:b/>
          <w:bCs/>
          <w:color w:val="2C4F8A"/>
          <w:sz w:val="23"/>
          <w:szCs w:val="23"/>
        </w:rPr>
        <w:t xml:space="preserve">Experiment A — External relation (random linguistic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Measurement</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5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HRR unbind quality (isolation)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0.5155</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bind/unbind correct in isolation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sim(h_external, Trace)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−0.0017</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orthogonal to core — no resonance gain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Resonance gain per epoch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−0.00033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negative — temperature decays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Relational atom survival</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ELIMINATED (epoch 30)</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structural, not thermal, death</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Post-convergence recovery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not recoverable — atom left no trace</w:t>
            </w:r>
          </w:p>
        </w:tc>
      </w:tr>
    </w:tbl>
    <w:p>
      <w:pPr>
        <w:spacing w:after="60" w:before="60"/>
      </w:pPr>
      <w:r>
        <w:t xml:space="preserve"/>
      </w:r>
    </w:p>
    <w:p>
      <w:pPr>
        <w:spacing w:after="60" w:before="180"/>
      </w:pPr>
      <w:r>
        <w:rPr>
          <w:rFonts w:ascii="Arial" w:cs="Arial" w:eastAsia="Arial" w:hAnsi="Arial"/>
          <w:b/>
          <w:bCs/>
          <w:color w:val="2C4F8A"/>
          <w:sz w:val="23"/>
          <w:szCs w:val="23"/>
        </w:rPr>
        <w:t xml:space="preserve">Experiment B — Internal relation (core subspace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Measurement</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5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HRR unbind quality (isolation)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0.8660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higher fidelity due to structured vectors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sim(h_internal, Trace)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0.9841</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strongly aligned — maximum resonance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Resonance gain per epoch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+0.197</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well above decay+friction — survives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Relational atom survival</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ALIVE T=2.331 (epoch 100)</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long-term stable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unbind(Trace, miłość) ≈ szacunek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0.8660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relation recoverable from Trace field</w:t>
            </w:r>
          </w:p>
        </w:tc>
      </w:tr>
    </w:tbl>
    <w:p>
      <w:pPr>
        <w:spacing w:after="60" w:before="60"/>
        <w:jc w:val="both"/>
      </w:pPr>
      <w:r>
        <w:rPr>
          <w:rFonts w:ascii="Arial" w:cs="Arial" w:eastAsia="Arial" w:hAnsi="Arial"/>
          <w:b w:val="false"/>
          <w:bCs w:val="false"/>
          <w:color w:val="666666"/>
          <w:sz w:val="19"/>
          <w:szCs w:val="19"/>
        </w:rPr>
        <w:t xml:space="preserve">Tables 8–9. Relational alignment experiments. Both experiments use identical HRR encoding; difference is solely the geometric alignment of component vectors with the core attractor.</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Finding: relational atom survival is determined by sim(h_relation, Trace), not by initial temperature. A relational atom orthogonal to the attractor cannot survive regardless of T_init; a relational atom within the attractor subspace survives, and the encoded relation remains recoverable from the Trace via unbinding (sim=0.866). This establishes a distinction between field memory (relation persists in Trace via superposition) and atom memory (atom survives explicitly) — only geometrically coherent relations achieve both.</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5. Discussion</w:t>
      </w:r>
    </w:p>
    <w:p>
      <w:pPr>
        <w:pStyle w:val="Heading2"/>
        <w:spacing w:after="80" w:before="240"/>
      </w:pPr>
      <w:r>
        <w:rPr>
          <w:rFonts w:ascii="Arial" w:cs="Arial" w:eastAsia="Arial" w:hAnsi="Arial"/>
          <w:b/>
          <w:bCs/>
          <w:color w:val="1A3A6B"/>
          <w:sz w:val="26"/>
          <w:szCs w:val="26"/>
        </w:rPr>
        <w:t xml:space="preserve">5.1 What This System Is</w:t>
      </w:r>
    </w:p>
    <w:p>
      <w:pPr>
        <w:spacing w:after="60" w:before="60"/>
        <w:jc w:val="both"/>
      </w:pPr>
      <w:r>
        <w:rPr>
          <w:rFonts w:ascii="Arial" w:cs="Arial" w:eastAsia="Arial" w:hAnsi="Arial"/>
          <w:b w:val="false"/>
          <w:bCs w:val="false"/>
          <w:color w:val="111111"/>
          <w:sz w:val="22"/>
          <w:szCs w:val="22"/>
        </w:rPr>
        <w:t xml:space="preserve">KarmazynMatrix is a dynamical system for alignment-driven selection in high-dimensional vector spaces. The temperature-friction mechanism implements a continuous threshold: atoms whose vectors align with the current global field are amplified; those orthogonal to it decay. This is selection-by-geometry, not classification or learning.</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The baseline comparison makes the contribution concrete: static HRR achieves SNR ≈ 2.7–3.0 regardless of noise load, because it cannot distinguish core from noise vectors once they are mixed in superposition. KarmazynMatrix achieves SNR 20–150× higher by eliminating noise atoms before they dilute the Trace. This is the operational advantage of temperature dynamics.</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5.2 What This System Is Not</w:t>
      </w:r>
    </w:p>
    <w:p>
      <w:pPr>
        <w:spacing w:after="60" w:before="60"/>
        <w:jc w:val="both"/>
      </w:pPr>
      <w:r>
        <w:rPr>
          <w:rFonts w:ascii="Arial" w:cs="Arial" w:eastAsia="Arial" w:hAnsi="Arial"/>
          <w:b w:val="false"/>
          <w:bCs w:val="false"/>
          <w:color w:val="111111"/>
          <w:sz w:val="22"/>
          <w:szCs w:val="22"/>
        </w:rPr>
        <w:t xml:space="preserve">This system is not a general-purpose memory (it does not store and retrieve arbitrary items at Kanerva capacity). It is not a model of consciousness or ethical reasoning — the concept labels attached to seed vectors are illustrative mnemonics. It is not a formal Lyapunov system — the coherence functional C(t) has self-referential dependence on the Trace that prevents a clean potential-function argument.</w:t>
      </w:r>
    </w:p>
    <w:p>
      <w:pPr>
        <w:spacing w:after="60" w:before="60"/>
      </w:pPr>
      <w:r>
        <w:t xml:space="preserve"/>
      </w:r>
    </w:p>
    <w:p>
      <w:pPr>
        <w:pStyle w:val="Heading2"/>
        <w:spacing w:after="80" w:before="240"/>
      </w:pPr>
      <w:r>
        <w:rPr>
          <w:rFonts w:ascii="Arial" w:cs="Arial" w:eastAsia="Arial" w:hAnsi="Arial"/>
          <w:b/>
          <w:bCs/>
          <w:color w:val="1A3A6B"/>
          <w:sz w:val="26"/>
          <w:szCs w:val="26"/>
        </w:rPr>
        <w:t xml:space="preserve">5.3 Relation to Modern Hopfield Networks</w:t>
      </w:r>
    </w:p>
    <w:p>
      <w:pPr>
        <w:spacing w:after="60" w:before="60"/>
        <w:jc w:val="both"/>
      </w:pPr>
      <w:r>
        <w:rPr>
          <w:rFonts w:ascii="Arial" w:cs="Arial" w:eastAsia="Arial" w:hAnsi="Arial"/>
          <w:b w:val="false"/>
          <w:bCs w:val="false"/>
          <w:color w:val="111111"/>
          <w:sz w:val="22"/>
          <w:szCs w:val="22"/>
        </w:rPr>
        <w:t xml:space="preserve">Modern Hopfield Networks [Ramsauer et al. 2021] use energy-based updates to retrieve stored patterns from high-dimensional superpositions. The operational question — whether temperature dynamics provide a qualitatively different retrieval mechanism — requires a direct comparison on a shared benchmark task (e.g., pattern completion under noise). This comparison is the primary open experimental item.</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6. Limitations and 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Required action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Formal proof of C monotonicity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OPEN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Analytical derivation post noise elimination</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Hopfield benchmark comparison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OPEN</w:t>
            </w:r>
          </w:p>
        </w:tc>
        <w:tc>
          <w:tcPr>
            <w:tcW w:type="dxa" w:w="4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Direct experiment on shared task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Noise tolerance curve (5 seeds)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LIMITED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Increase to 30 seeds for smooth curve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bind/unbind in Trace equation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PARTIAL</w:t>
            </w:r>
          </w:p>
        </w:tc>
        <w:tc>
          <w:tcPr>
            <w:tcW w:type="dxa" w:w="4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Currently via add_atom_vector only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Arbitrary seed vectors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CONFIRMED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Ablation shows cluster-driven performance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 is not a Lyapunov function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ACKNOWLEDGED</w:t>
            </w:r>
          </w:p>
        </w:tc>
        <w:tc>
          <w:tcPr>
            <w:tcW w:type="dxa" w:w="4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Renamed and documented explicitly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Noise tolerance ≠ memory capacity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ACKNOWLEDGED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Explicitly distinguished in Sec. 3.3</w:t>
            </w:r>
          </w:p>
        </w:tc>
      </w:tr>
    </w:tbl>
    <w:p>
      <w:pPr>
        <w:spacing w:after="60" w:before="60"/>
        <w:jc w:val="both"/>
      </w:pPr>
      <w:r>
        <w:rPr>
          <w:rFonts w:ascii="Arial" w:cs="Arial" w:eastAsia="Arial" w:hAnsi="Arial"/>
          <w:b w:val="false"/>
          <w:bCs w:val="false"/>
          <w:color w:val="666666"/>
          <w:sz w:val="19"/>
          <w:szCs w:val="19"/>
        </w:rPr>
        <w:t xml:space="preserve">Table 10. Open problems and their current status.</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7. Related Work</w:t>
      </w:r>
    </w:p>
    <w:p>
      <w:pPr>
        <w:pStyle w:val="ListParagraph"/>
        <w:numPr>
          <w:ilvl w:val="0"/>
          <w:numId w:val="2"/>
        </w:numPr>
        <w:spacing w:after="40" w:before="40"/>
      </w:pPr>
      <w:r>
        <w:rPr>
          <w:rFonts w:ascii="Arial" w:cs="Arial" w:eastAsia="Arial" w:hAnsi="Arial"/>
          <w:sz w:val="22"/>
          <w:szCs w:val="22"/>
        </w:rPr>
        <w:t xml:space="preserve">Kanerva (2009) — Hyperdimensional Computing: foundational VSA framework. Establishes orthogonality-based capacity (~0.1·d). KarmazynMatrix uses standard HRR; our noise tolerance threshold is a distinct metric.</w:t>
      </w:r>
    </w:p>
    <w:p>
      <w:pPr>
        <w:pStyle w:val="ListParagraph"/>
        <w:numPr>
          <w:ilvl w:val="0"/>
          <w:numId w:val="2"/>
        </w:numPr>
        <w:spacing w:after="40" w:before="40"/>
      </w:pPr>
      <w:r>
        <w:rPr>
          <w:rFonts w:ascii="Arial" w:cs="Arial" w:eastAsia="Arial" w:hAnsi="Arial"/>
          <w:sz w:val="22"/>
          <w:szCs w:val="22"/>
        </w:rPr>
        <w:t xml:space="preserve">Plate (1995) — HRR: circular convolution binding/unbinding, used directly in Genesis 4 experiments.</w:t>
      </w:r>
    </w:p>
    <w:p>
      <w:pPr>
        <w:pStyle w:val="ListParagraph"/>
        <w:numPr>
          <w:ilvl w:val="0"/>
          <w:numId w:val="2"/>
        </w:numPr>
        <w:spacing w:after="40" w:before="40"/>
      </w:pPr>
      <w:r>
        <w:rPr>
          <w:rFonts w:ascii="Arial" w:cs="Arial" w:eastAsia="Arial" w:hAnsi="Arial"/>
          <w:sz w:val="22"/>
          <w:szCs w:val="22"/>
        </w:rPr>
        <w:t xml:space="preserve">Ramsauer et al. (2021) — Modern Hopfield Networks: energy-based associative memory with similar high-dimensional motivation. Primary unresolved comparison target.</w:t>
      </w:r>
    </w:p>
    <w:p>
      <w:pPr>
        <w:pStyle w:val="ListParagraph"/>
        <w:numPr>
          <w:ilvl w:val="0"/>
          <w:numId w:val="2"/>
        </w:numPr>
        <w:spacing w:after="40" w:before="40"/>
      </w:pPr>
      <w:r>
        <w:rPr>
          <w:rFonts w:ascii="Arial" w:cs="Arial" w:eastAsia="Arial" w:hAnsi="Arial"/>
          <w:sz w:val="22"/>
          <w:szCs w:val="22"/>
        </w:rPr>
        <w:t xml:space="preserve">Friston (2010) — Free Energy Principle: vacuum threshold is conceptually related to active inference and FEP minimisation. The connection is informal; formal derivation is future work.</w:t>
      </w:r>
    </w:p>
    <w:p>
      <w:pPr>
        <w:pStyle w:val="ListParagraph"/>
        <w:numPr>
          <w:ilvl w:val="0"/>
          <w:numId w:val="2"/>
        </w:numPr>
        <w:spacing w:after="40" w:before="40"/>
      </w:pPr>
      <w:r>
        <w:rPr>
          <w:rFonts w:ascii="Arial" w:cs="Arial" w:eastAsia="Arial" w:hAnsi="Arial"/>
          <w:sz w:val="22"/>
          <w:szCs w:val="22"/>
        </w:rPr>
        <w:t xml:space="preserve">Thomas et al. (2021) — Theoretical Foundations of HDC: capacity and noise analysis for VSA. Provides analytical grounding for our adaptive friction derivation.</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8. Conclusions</w:t>
      </w:r>
    </w:p>
    <w:p>
      <w:pPr>
        <w:spacing w:after="60" w:before="60"/>
        <w:jc w:val="both"/>
      </w:pPr>
      <w:r>
        <w:rPr>
          <w:rFonts w:ascii="Arial" w:cs="Arial" w:eastAsia="Arial" w:hAnsi="Arial"/>
          <w:b w:val="false"/>
          <w:bCs w:val="false"/>
          <w:color w:val="111111"/>
          <w:sz w:val="22"/>
          <w:szCs w:val="22"/>
        </w:rPr>
        <w:t xml:space="preserve">KarmazynMatrix v3.3 establishes the following results:</w:t>
      </w:r>
    </w:p>
    <w:p>
      <w:pPr>
        <w:pStyle w:val="ListParagraph"/>
        <w:numPr>
          <w:ilvl w:val="0"/>
          <w:numId w:val="3"/>
        </w:numPr>
        <w:spacing w:after="40" w:before="40"/>
      </w:pPr>
      <w:r>
        <w:rPr>
          <w:rFonts w:ascii="Arial" w:cs="Arial" w:eastAsia="Arial" w:hAnsi="Arial"/>
          <w:sz w:val="22"/>
          <w:szCs w:val="22"/>
        </w:rPr>
        <w:t xml:space="preserve">Adaptive friction f=c/√d eliminates a dimension-dependent hyperparameter with geometric justification: the threshold is set at 1.2× expected random-vector similarity, ensuring correct behaviour at any d.</w:t>
      </w:r>
    </w:p>
    <w:p>
      <w:pPr>
        <w:pStyle w:val="ListParagraph"/>
        <w:numPr>
          <w:ilvl w:val="0"/>
          <w:numId w:val="3"/>
        </w:numPr>
        <w:spacing w:after="40" w:before="40"/>
      </w:pPr>
      <w:r>
        <w:rPr>
          <w:rFonts w:ascii="Arial" w:cs="Arial" w:eastAsia="Arial" w:hAnsi="Arial"/>
          <w:sz w:val="22"/>
          <w:szCs w:val="22"/>
        </w:rPr>
        <w:t xml:space="preserve">Temperature dynamics achieve 20–150× higher SNR than static HRR superposition; random-walk temperatures provide no benefit, confirming that geometric selection (not temperature variance) drives the improvement.</w:t>
      </w:r>
    </w:p>
    <w:p>
      <w:pPr>
        <w:pStyle w:val="ListParagraph"/>
        <w:numPr>
          <w:ilvl w:val="0"/>
          <w:numId w:val="3"/>
        </w:numPr>
        <w:spacing w:after="40" w:before="40"/>
      </w:pPr>
      <w:r>
        <w:rPr>
          <w:rFonts w:ascii="Arial" w:cs="Arial" w:eastAsia="Arial" w:hAnsi="Arial"/>
          <w:sz w:val="22"/>
          <w:szCs w:val="22"/>
        </w:rPr>
        <w:t xml:space="preserve">Performance is cluster-driven: aligned-random cores with matched mutual similarity (0.87) achieve 0.9425 vs 0.9615 for structured cores — a 0.019 gap attributable to the slight difference in cluster coherence, not to specific mathematical sequences.</w:t>
      </w:r>
    </w:p>
    <w:p>
      <w:pPr>
        <w:pStyle w:val="ListParagraph"/>
        <w:numPr>
          <w:ilvl w:val="0"/>
          <w:numId w:val="3"/>
        </w:numPr>
        <w:spacing w:after="40" w:before="40"/>
      </w:pPr>
      <w:r>
        <w:rPr>
          <w:rFonts w:ascii="Arial" w:cs="Arial" w:eastAsia="Arial" w:hAnsi="Arial"/>
          <w:sz w:val="22"/>
          <w:szCs w:val="22"/>
        </w:rPr>
        <w:t xml:space="preserve">The coherence functional C(t) decreases monotonically after epoch 20 in 100% of 50 seeds, suggesting a fixed-point regime post noise elimination. This is an empirical coherence proxy, not a Lyapunov function; formal proof is open.</w:t>
      </w:r>
    </w:p>
    <w:p>
      <w:pPr>
        <w:pStyle w:val="ListParagraph"/>
        <w:numPr>
          <w:ilvl w:val="0"/>
          <w:numId w:val="3"/>
        </w:numPr>
        <w:spacing w:after="40" w:before="40"/>
      </w:pPr>
      <w:r>
        <w:rPr>
          <w:rFonts w:ascii="Arial" w:cs="Arial" w:eastAsia="Arial" w:hAnsi="Arial"/>
          <w:sz w:val="22"/>
          <w:szCs w:val="22"/>
        </w:rPr>
        <w:t xml:space="preserve">Relational atom survival is determined by geometric alignment with the attractor, not initial temperature. Core-subspace relational atoms survive and encode recoverable relational structure in the Trace (unbinding fidelity 0.866); orthogonal relations collapse.</w:t>
      </w:r>
    </w:p>
    <w:p>
      <w:pPr>
        <w:spacing w:after="60" w:before="60"/>
      </w:pPr>
      <w:r>
        <w:t xml:space="preserve"/>
      </w:r>
    </w:p>
    <w:p>
      <w:pPr>
        <w:spacing w:after="60" w:before="60"/>
        <w:jc w:val="both"/>
      </w:pPr>
      <w:r>
        <w:rPr>
          <w:rFonts w:ascii="Arial" w:cs="Arial" w:eastAsia="Arial" w:hAnsi="Arial"/>
          <w:b w:val="false"/>
          <w:bCs w:val="false"/>
          <w:color w:val="111111"/>
          <w:sz w:val="22"/>
          <w:szCs w:val="22"/>
        </w:rPr>
        <w:t xml:space="preserve">The work is framed as a proof-of-concept for selection-by-geometry in VSA attractor fields. Publication target: VSA workshop (CogSci / NeurIPS workshop track) or cs.NE arXiv preprint with full code.</w:t>
      </w:r>
    </w:p>
    <w:p>
      <w:pPr>
        <w:spacing w:after="60" w:before="60"/>
      </w:pPr>
      <w:r>
        <w:t xml:space="preserve"/>
      </w:r>
    </w:p>
    <w:p>
      <w:pPr>
        <w:pStyle w:val="Heading1"/>
        <w:spacing w:after="120" w:before="360"/>
      </w:pPr>
      <w:r>
        <w:rPr>
          <w:rFonts w:ascii="Arial" w:cs="Arial" w:eastAsia="Arial" w:hAnsi="Arial"/>
          <w:b/>
          <w:bCs/>
          <w:color w:val="1A3A6B"/>
          <w:sz w:val="32"/>
          <w:szCs w:val="32"/>
        </w:rPr>
        <w:t xml:space="preserve">References</w:t>
      </w:r>
    </w:p>
    <w:p>
      <w:pPr>
        <w:spacing w:after="60" w:before="60"/>
        <w:jc w:val="both"/>
      </w:pPr>
      <w:r>
        <w:rPr>
          <w:rFonts w:ascii="Arial" w:cs="Arial" w:eastAsia="Arial" w:hAnsi="Arial"/>
          <w:b w:val="false"/>
          <w:bCs w:val="false"/>
          <w:color w:val="111111"/>
          <w:sz w:val="20"/>
          <w:szCs w:val="20"/>
        </w:rPr>
        <w:t xml:space="preserve">[1] Kanerva, P. (2009). Hyperdimensional computing: An introduction to computing in distributed representation with high-dimensional random vectors. Cognitive Computation, 1(2), 139–159.</w:t>
      </w:r>
    </w:p>
    <w:p>
      <w:pPr>
        <w:spacing w:after="60" w:before="60"/>
        <w:jc w:val="both"/>
      </w:pPr>
      <w:r>
        <w:rPr>
          <w:rFonts w:ascii="Arial" w:cs="Arial" w:eastAsia="Arial" w:hAnsi="Arial"/>
          <w:b w:val="false"/>
          <w:bCs w:val="false"/>
          <w:color w:val="111111"/>
          <w:sz w:val="20"/>
          <w:szCs w:val="20"/>
        </w:rPr>
        <w:t xml:space="preserve">[2] Plate, T.A. (1995). Holographic reduced representations. IEEE Transactions on Neural Networks, 6(3), 623–641.</w:t>
      </w:r>
    </w:p>
    <w:p>
      <w:pPr>
        <w:spacing w:after="60" w:before="60"/>
        <w:jc w:val="both"/>
      </w:pPr>
      <w:r>
        <w:rPr>
          <w:rFonts w:ascii="Arial" w:cs="Arial" w:eastAsia="Arial" w:hAnsi="Arial"/>
          <w:b w:val="false"/>
          <w:bCs w:val="false"/>
          <w:color w:val="111111"/>
          <w:sz w:val="20"/>
          <w:szCs w:val="20"/>
        </w:rPr>
        <w:t xml:space="preserve">[3] Ramsauer, H., Schäfl, B., Lehner, J., et al. (2021). Hopfield Networks is All You Need. ICLR 2021. arXiv:2008.02217.</w:t>
      </w:r>
    </w:p>
    <w:p>
      <w:pPr>
        <w:spacing w:after="60" w:before="60"/>
        <w:jc w:val="both"/>
      </w:pPr>
      <w:r>
        <w:rPr>
          <w:rFonts w:ascii="Arial" w:cs="Arial" w:eastAsia="Arial" w:hAnsi="Arial"/>
          <w:b w:val="false"/>
          <w:bCs w:val="false"/>
          <w:color w:val="111111"/>
          <w:sz w:val="20"/>
          <w:szCs w:val="20"/>
        </w:rPr>
        <w:t xml:space="preserve">[4] Friston, K. (2010). The free-energy principle: a unified brain theory? Nature Reviews Neuroscience, 11(2), 127–138.</w:t>
      </w:r>
    </w:p>
    <w:p>
      <w:pPr>
        <w:spacing w:after="60" w:before="60"/>
        <w:jc w:val="both"/>
      </w:pPr>
      <w:r>
        <w:rPr>
          <w:rFonts w:ascii="Arial" w:cs="Arial" w:eastAsia="Arial" w:hAnsi="Arial"/>
          <w:b w:val="false"/>
          <w:bCs w:val="false"/>
          <w:color w:val="111111"/>
          <w:sz w:val="20"/>
          <w:szCs w:val="20"/>
        </w:rPr>
        <w:t xml:space="preserve">[5] Thomas, A., Dasgupta, S., Rosing, T. (2021). Theoretical Foundations of Hyperdimensional Computing. arXiv:2102.07426.</w:t>
      </w:r>
    </w:p>
    <w:p>
      <w:pPr>
        <w:spacing w:after="60" w:before="60"/>
      </w:pPr>
      <w:r>
        <w:t xml:space="preserve"/>
      </w:r>
    </w:p>
    <w:p>
      <w:pPr>
        <w:pBdr>
          <w:bottom w:val="single" w:color="CCCCCC" w:sz="4" w:space="1"/>
        </w:pBdr>
        <w:spacing w:after="120" w:before="120"/>
      </w:pPr>
      <w:r>
        <w:t xml:space="preserve"/>
      </w:r>
    </w:p>
    <w:p>
      <w:pPr>
        <w:spacing w:after="60" w:before="60"/>
        <w:jc w:val="both"/>
      </w:pPr>
      <w:r>
        <w:rPr>
          <w:rFonts w:ascii="Arial" w:cs="Arial" w:eastAsia="Arial" w:hAnsi="Arial"/>
          <w:b w:val="false"/>
          <w:bCs w:val="false"/>
          <w:color w:val="666666"/>
          <w:sz w:val="19"/>
          <w:szCs w:val="19"/>
        </w:rPr>
        <w:t xml:space="preserve">Supplementary: karmazyn_matrix_v33.py. Run python karmazyn_matrix_v33.py to reproduce all results. Deterministic seed=42; no external data dependencies.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KarmazynMatrix v3.3 — Preprint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2026-04-20T10:06:39.628Z</dcterms:created>
  <dcterms:modified xsi:type="dcterms:W3CDTF">2026-04-20T10:06:39.629Z</dcterms:modified>
</cp:coreProperties>
</file>

<file path=docProps/custom.xml><?xml version="1.0" encoding="utf-8"?>
<Properties xmlns="http://schemas.openxmlformats.org/officeDocument/2006/custom-properties" xmlns:vt="http://schemas.openxmlformats.org/officeDocument/2006/docPropsVTypes"/>
</file>