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9050" distT="19050" distL="19050" distR="19050">
            <wp:extent cx="1619325" cy="77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325" cy="77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br w:type="textWrapping"/>
        <w:t xml:space="preserve">Eksploracja danych tekstowych - laboratoria 3: Wyrażenia regularne</w:t>
        <w:br w:type="textWrapping"/>
        <w:br w:type="textWrapping"/>
        <w:t xml:space="preserve">1.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Zrealizuj kurs online regexone.com</w:t>
        <w:br w:type="textWrapping"/>
      </w:r>
      <w:hyperlink r:id="rId7">
        <w:r w:rsidDel="00000000" w:rsidR="00000000" w:rsidRPr="00000000">
          <w:rPr>
            <w:rFonts w:ascii="Roboto" w:cs="Roboto" w:eastAsia="Roboto" w:hAnsi="Roboto"/>
            <w:color w:val="0097a7"/>
            <w:sz w:val="24"/>
            <w:szCs w:val="24"/>
            <w:u w:val="single"/>
            <w:rtl w:val="0"/>
          </w:rPr>
          <w:t xml:space="preserve">https://regexone.com/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gexon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