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A9069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D26BAE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3</w:t>
      </w:r>
    </w:p>
    <w:p w:rsidR="00D57B23" w:rsidRDefault="00AD6334" w:rsidP="00AD6334">
      <w:pPr>
        <w:pStyle w:val="Akapitzlist"/>
        <w:numPr>
          <w:ilvl w:val="0"/>
          <w:numId w:val="25"/>
        </w:numPr>
        <w:jc w:val="both"/>
      </w:pPr>
      <w:r>
        <w:t>Przystosowano Aplikację do pracy z najnowszą wersją serwera bazy danych Oracle XE 21C.</w:t>
      </w:r>
    </w:p>
    <w:p w:rsidR="007337DE" w:rsidRDefault="007337DE" w:rsidP="00AD6334">
      <w:pPr>
        <w:pStyle w:val="Akapitzlist"/>
        <w:numPr>
          <w:ilvl w:val="0"/>
          <w:numId w:val="25"/>
        </w:numPr>
        <w:jc w:val="both"/>
      </w:pPr>
      <w:r>
        <w:t>Utworzono nową instrukcję instalacji klienta Oracle, zgodną z Oracle 21C oraz 11G.</w:t>
      </w:r>
      <w:bookmarkStart w:id="0" w:name="_GoBack"/>
      <w:bookmarkEnd w:id="0"/>
    </w:p>
    <w:p w:rsidR="00AD6334" w:rsidRDefault="00F17DAA" w:rsidP="00AD6334">
      <w:pPr>
        <w:pStyle w:val="Akapitzlist"/>
        <w:numPr>
          <w:ilvl w:val="0"/>
          <w:numId w:val="25"/>
        </w:numPr>
        <w:jc w:val="both"/>
      </w:pPr>
      <w:r>
        <w:t>Diagnostyka: Dodano przycisk, który pozwala na wygodną nawigację do lokalizacji, w której zapisywany jest plik dziennika.</w:t>
      </w:r>
    </w:p>
    <w:p w:rsidR="00F17DAA" w:rsidRDefault="00F17DAA" w:rsidP="00F17DAA">
      <w:pPr>
        <w:jc w:val="center"/>
      </w:pPr>
      <w:r w:rsidRPr="00F17DAA">
        <w:rPr>
          <w:noProof/>
        </w:rPr>
        <w:drawing>
          <wp:inline distT="0" distB="0" distL="0" distR="0" wp14:anchorId="6AE48677" wp14:editId="24674C3C">
            <wp:extent cx="5365750" cy="177713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479" cy="17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34" w:rsidRDefault="00AD6334" w:rsidP="00AB0B81">
      <w:pPr>
        <w:jc w:val="both"/>
      </w:pPr>
    </w:p>
    <w:p w:rsidR="00D57B23" w:rsidRPr="009571A4" w:rsidRDefault="00E266A9" w:rsidP="00F17DAA">
      <w:pPr>
        <w:pStyle w:val="Akapitzlist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>CLI: Dodano możliwość uruchomienia Aplikacji w trybie diagnostycznym z poziomu linii poleceń. Aby uruchomić tryb diagnostyczny należy dodać w ścieżce uruchamiania parametr DEBUG_ON</w:t>
      </w:r>
      <w:r w:rsidR="00573229"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 przykład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573229" w:rsidTr="00573229">
        <w:tc>
          <w:tcPr>
            <w:tcW w:w="9920" w:type="dxa"/>
          </w:tcPr>
          <w:p w:rsidR="00573229" w:rsidRDefault="00573229" w:rsidP="00573229">
            <w:pPr>
              <w:pStyle w:val="Akapitzlist"/>
              <w:ind w:left="0"/>
              <w:jc w:val="both"/>
            </w:pPr>
            <w:r>
              <w:t>planowanie.exe</w:t>
            </w:r>
            <w:r w:rsidRPr="00573229">
              <w:t xml:space="preserve"> </w:t>
            </w:r>
            <w:proofErr w:type="spellStart"/>
            <w:r w:rsidRPr="00573229">
              <w:t>planner</w:t>
            </w:r>
            <w:proofErr w:type="spellEnd"/>
            <w:r w:rsidRPr="00573229">
              <w:t xml:space="preserve"> 07EA5FEBADC020</w:t>
            </w:r>
            <w:r>
              <w:t>AAAA</w:t>
            </w:r>
            <w:r w:rsidRPr="00573229">
              <w:t>7E18F92F536999 127.0.0.1:1521/XE "</w:t>
            </w:r>
            <w:proofErr w:type="spellStart"/>
            <w:r w:rsidRPr="00573229">
              <w:t>inifile</w:t>
            </w:r>
            <w:proofErr w:type="spellEnd"/>
            <w:r w:rsidRPr="00573229">
              <w:t>=C:\</w:t>
            </w:r>
            <w:proofErr w:type="spellStart"/>
            <w:r w:rsidRPr="00573229">
              <w:t>Users</w:t>
            </w:r>
            <w:proofErr w:type="spellEnd"/>
            <w:r w:rsidRPr="00573229">
              <w:t>\</w:t>
            </w:r>
            <w:r>
              <w:t>ABC</w:t>
            </w:r>
            <w:r w:rsidRPr="00573229">
              <w:t>\Desktop\</w:t>
            </w:r>
            <w:r>
              <w:t>Publikacja</w:t>
            </w:r>
            <w:r w:rsidRPr="00573229">
              <w:t xml:space="preserve">\publikacja.ini" </w:t>
            </w:r>
            <w:r w:rsidRPr="00573229">
              <w:rPr>
                <w:b/>
              </w:rPr>
              <w:t>DEBUG_ON</w:t>
            </w:r>
          </w:p>
        </w:tc>
      </w:tr>
    </w:tbl>
    <w:p w:rsidR="00573229" w:rsidRDefault="00573229" w:rsidP="00573229">
      <w:pPr>
        <w:pStyle w:val="Akapitzlist"/>
        <w:jc w:val="both"/>
      </w:pPr>
    </w:p>
    <w:p w:rsidR="00E266A9" w:rsidRDefault="00573229" w:rsidP="00B50213">
      <w:pPr>
        <w:pStyle w:val="Akapitzlist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1A4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Wprowadzono uproszczenie w instalacji oprogramowania dla stacji roboczej, nie trzeba już uruchamiać pliku reg.reg. Plik reg.reg zawierał domyślne ustawienia wydruku jak np. maksymalna liczba znaków. Obecnie wartości te są ustawiane domyślnie.</w:t>
      </w:r>
    </w:p>
    <w:p w:rsidR="002B31DB" w:rsidRDefault="002B31DB" w:rsidP="002B31DB"/>
    <w:p w:rsidR="002B31DB" w:rsidRPr="002B31DB" w:rsidRDefault="002B31DB" w:rsidP="002B31DB">
      <w:pPr>
        <w:ind w:firstLine="708"/>
        <w:rPr>
          <w:strike/>
        </w:rPr>
      </w:pPr>
      <w:r w:rsidRPr="002B31DB">
        <w:rPr>
          <w:strike/>
        </w:rPr>
        <w:t xml:space="preserve">Uruchom plik C:\Program </w:t>
      </w:r>
      <w:proofErr w:type="spellStart"/>
      <w:r w:rsidRPr="002B31DB">
        <w:rPr>
          <w:strike/>
        </w:rPr>
        <w:t>Files</w:t>
      </w:r>
      <w:proofErr w:type="spellEnd"/>
      <w:r w:rsidRPr="002B31DB">
        <w:rPr>
          <w:strike/>
        </w:rPr>
        <w:t xml:space="preserve"> (x86)\</w:t>
      </w:r>
      <w:proofErr w:type="spellStart"/>
      <w:r w:rsidRPr="002B31DB">
        <w:rPr>
          <w:strike/>
        </w:rPr>
        <w:t>Soft</w:t>
      </w:r>
      <w:proofErr w:type="spellEnd"/>
      <w:r w:rsidRPr="002B31DB">
        <w:rPr>
          <w:strike/>
        </w:rPr>
        <w:t>\Planowanie\reg.reg</w:t>
      </w:r>
    </w:p>
    <w:p w:rsidR="002B31DB" w:rsidRDefault="002B31DB" w:rsidP="002B31DB">
      <w:pPr>
        <w:ind w:left="708"/>
        <w:jc w:val="center"/>
      </w:pPr>
    </w:p>
    <w:p w:rsidR="002B31DB" w:rsidRPr="002B31DB" w:rsidRDefault="002B31DB" w:rsidP="002B31DB">
      <w:pPr>
        <w:jc w:val="both"/>
      </w:pPr>
    </w:p>
    <w:p w:rsidR="009571A4" w:rsidRDefault="009571A4" w:rsidP="009571A4">
      <w:pPr>
        <w:pStyle w:val="Akapitzlist"/>
        <w:numPr>
          <w:ilvl w:val="0"/>
          <w:numId w:val="25"/>
        </w:numPr>
        <w:jc w:val="both"/>
      </w:pPr>
      <w:r>
        <w:t>Zmieniono wygląd okna „Wybierz rodzaj relacji podrzędny – nadrzędny”, tak aby wygląd był bardziej intuicyjny. Wygląd formularza po zmianach.</w:t>
      </w:r>
    </w:p>
    <w:p w:rsidR="009571A4" w:rsidRDefault="009571A4" w:rsidP="009571A4">
      <w:pPr>
        <w:pStyle w:val="Akapitzlist"/>
        <w:jc w:val="both"/>
      </w:pPr>
    </w:p>
    <w:p w:rsidR="009571A4" w:rsidRPr="009571A4" w:rsidRDefault="009571A4" w:rsidP="009571A4">
      <w:pPr>
        <w:pStyle w:val="Akapitzlist"/>
        <w:jc w:val="both"/>
      </w:pPr>
      <w:r w:rsidRPr="009571A4">
        <w:rPr>
          <w:noProof/>
          <w:lang w:eastAsia="pl-PL"/>
        </w:rPr>
        <w:drawing>
          <wp:inline distT="0" distB="0" distL="0" distR="0" wp14:anchorId="5A48C269" wp14:editId="34572F9B">
            <wp:extent cx="5972810" cy="1438910"/>
            <wp:effectExtent l="0" t="0" r="889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AA" w:rsidRDefault="00F17DA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82" w:rsidRDefault="00C50782">
      <w:r>
        <w:separator/>
      </w:r>
    </w:p>
  </w:endnote>
  <w:endnote w:type="continuationSeparator" w:id="0">
    <w:p w:rsidR="00C50782" w:rsidRDefault="00C5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7DE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82" w:rsidRDefault="00C50782">
      <w:r>
        <w:separator/>
      </w:r>
    </w:p>
  </w:footnote>
  <w:footnote w:type="continuationSeparator" w:id="0">
    <w:p w:rsidR="00C50782" w:rsidRDefault="00C50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A12FF"/>
    <w:multiLevelType w:val="hybridMultilevel"/>
    <w:tmpl w:val="0852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046F1"/>
    <w:multiLevelType w:val="hybridMultilevel"/>
    <w:tmpl w:val="13002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6"/>
  </w:num>
  <w:num w:numId="5">
    <w:abstractNumId w:val="17"/>
  </w:num>
  <w:num w:numId="6">
    <w:abstractNumId w:val="5"/>
  </w:num>
  <w:num w:numId="7">
    <w:abstractNumId w:val="21"/>
  </w:num>
  <w:num w:numId="8">
    <w:abstractNumId w:val="25"/>
  </w:num>
  <w:num w:numId="9">
    <w:abstractNumId w:val="4"/>
  </w:num>
  <w:num w:numId="10">
    <w:abstractNumId w:val="13"/>
  </w:num>
  <w:num w:numId="11">
    <w:abstractNumId w:val="22"/>
  </w:num>
  <w:num w:numId="12">
    <w:abstractNumId w:val="16"/>
  </w:num>
  <w:num w:numId="13">
    <w:abstractNumId w:val="20"/>
  </w:num>
  <w:num w:numId="14">
    <w:abstractNumId w:val="18"/>
  </w:num>
  <w:num w:numId="15">
    <w:abstractNumId w:val="10"/>
  </w:num>
  <w:num w:numId="16">
    <w:abstractNumId w:val="9"/>
  </w:num>
  <w:num w:numId="17">
    <w:abstractNumId w:val="3"/>
  </w:num>
  <w:num w:numId="18">
    <w:abstractNumId w:val="2"/>
  </w:num>
  <w:num w:numId="19">
    <w:abstractNumId w:val="24"/>
  </w:num>
  <w:num w:numId="20">
    <w:abstractNumId w:val="0"/>
  </w:num>
  <w:num w:numId="21">
    <w:abstractNumId w:val="7"/>
  </w:num>
  <w:num w:numId="22">
    <w:abstractNumId w:val="14"/>
  </w:num>
  <w:num w:numId="23">
    <w:abstractNumId w:val="23"/>
  </w:num>
  <w:num w:numId="24">
    <w:abstractNumId w:val="8"/>
  </w:num>
  <w:num w:numId="25">
    <w:abstractNumId w:val="19"/>
  </w:num>
  <w:num w:numId="2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31DB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C7906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3229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37DE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571A4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334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213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0782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5613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6BAE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6A9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DAA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2B226-C9B2-4136-B2A6-0F59AD15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390</cp:revision>
  <cp:lastPrinted>2023-06-28T09:27:00Z</cp:lastPrinted>
  <dcterms:created xsi:type="dcterms:W3CDTF">2021-02-17T06:51:00Z</dcterms:created>
  <dcterms:modified xsi:type="dcterms:W3CDTF">2024-03-07T09:01:00Z</dcterms:modified>
</cp:coreProperties>
</file>