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324C6F" w:rsidP="007E3A18">
      <w:pPr>
        <w:pStyle w:val="Tytu"/>
      </w:pPr>
      <w:r>
        <w:t>Dokumentacja zmian 2026.07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C23E38">
              <w:t>rosimy</w:t>
            </w:r>
            <w:bookmarkStart w:id="0" w:name="_GoBack"/>
            <w:bookmarkEnd w:id="0"/>
            <w:r w:rsidR="00B712E8">
              <w:t xml:space="preserve">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407239" w:rsidRDefault="00AB536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646401" w:history="1">
        <w:r w:rsidR="00407239" w:rsidRPr="003E163B">
          <w:rPr>
            <w:rStyle w:val="Hipercze"/>
            <w:noProof/>
          </w:rPr>
          <w:t>Planowanie w tygodnie parzyste i nieparzyste</w:t>
        </w:r>
        <w:r w:rsidR="00407239">
          <w:rPr>
            <w:noProof/>
            <w:webHidden/>
          </w:rPr>
          <w:tab/>
        </w:r>
        <w:r w:rsidR="00407239">
          <w:rPr>
            <w:noProof/>
            <w:webHidden/>
          </w:rPr>
          <w:fldChar w:fldCharType="begin"/>
        </w:r>
        <w:r w:rsidR="00407239">
          <w:rPr>
            <w:noProof/>
            <w:webHidden/>
          </w:rPr>
          <w:instrText xml:space="preserve"> PAGEREF _Toc234646401 \h </w:instrText>
        </w:r>
        <w:r w:rsidR="00407239">
          <w:rPr>
            <w:noProof/>
            <w:webHidden/>
          </w:rPr>
        </w:r>
        <w:r w:rsidR="00407239">
          <w:rPr>
            <w:noProof/>
            <w:webHidden/>
          </w:rPr>
          <w:fldChar w:fldCharType="separate"/>
        </w:r>
        <w:r w:rsidR="00846AFD">
          <w:rPr>
            <w:noProof/>
            <w:webHidden/>
          </w:rPr>
          <w:t>1</w:t>
        </w:r>
        <w:r w:rsidR="00407239">
          <w:rPr>
            <w:noProof/>
            <w:webHidden/>
          </w:rPr>
          <w:fldChar w:fldCharType="end"/>
        </w:r>
      </w:hyperlink>
    </w:p>
    <w:p w:rsidR="00407239" w:rsidRDefault="00407239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646402" w:history="1">
        <w:r w:rsidRPr="003E163B">
          <w:rPr>
            <w:rStyle w:val="Hipercze"/>
            <w:noProof/>
          </w:rPr>
          <w:t>Wydruk rozkładu: Kolory w legendzie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_Toc234646402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6AF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07239" w:rsidRDefault="00407239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646403" w:history="1">
        <w:r w:rsidRPr="003E163B">
          <w:rPr>
            <w:rStyle w:val="Hipercze"/>
            <w:noProof/>
          </w:rPr>
          <w:t>Dostępne miejsce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_Toc234646403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6A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07239" w:rsidRDefault="00407239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4646404" w:history="1">
        <w:r w:rsidRPr="003E163B">
          <w:rPr>
            <w:rStyle w:val="Hipercze"/>
            <w:noProof/>
          </w:rPr>
          <w:t>Inne zmiany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_Toc234646404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6A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B536F" w:rsidRPr="00AB536F" w:rsidRDefault="00AB536F" w:rsidP="00AB536F">
      <w:r>
        <w:fldChar w:fldCharType="end"/>
      </w:r>
    </w:p>
    <w:p w:rsidR="00B22FE3" w:rsidRDefault="00B22FE3" w:rsidP="00AB536F">
      <w:pPr>
        <w:pStyle w:val="Nagwek1"/>
      </w:pPr>
      <w:bookmarkStart w:id="1" w:name="_Toc234646401"/>
      <w:r>
        <w:t>Planowanie w tygodnie parzyste i nieparzyste</w:t>
      </w:r>
      <w:bookmarkEnd w:id="1"/>
    </w:p>
    <w:p w:rsidR="00B22FE3" w:rsidRDefault="00B22FE3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B45C71" w:rsidRDefault="00565E76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Dodano możliwość ukrywania/pokazywania wybranych tygodni w definicji okresu, np. </w:t>
      </w:r>
      <w:r w:rsidR="00EA0FD8">
        <w:rPr>
          <w:rFonts w:ascii="Segoe UI" w:hAnsi="Segoe UI" w:cs="Segoe UI"/>
          <w:color w:val="000000"/>
          <w:sz w:val="20"/>
          <w:szCs w:val="20"/>
        </w:rPr>
        <w:t xml:space="preserve">można </w:t>
      </w:r>
      <w:r>
        <w:rPr>
          <w:rFonts w:ascii="Segoe UI" w:hAnsi="Segoe UI" w:cs="Segoe UI"/>
          <w:color w:val="000000"/>
          <w:sz w:val="20"/>
          <w:szCs w:val="20"/>
        </w:rPr>
        <w:t xml:space="preserve">pokazać tylko tygodnie parzyste lub tylko nieparzyste. To bardzo </w:t>
      </w:r>
      <w:r w:rsidR="003961C6">
        <w:rPr>
          <w:rFonts w:ascii="Segoe UI" w:hAnsi="Segoe UI" w:cs="Segoe UI"/>
          <w:color w:val="000000"/>
          <w:sz w:val="20"/>
          <w:szCs w:val="20"/>
        </w:rPr>
        <w:t>ułatwia planowanie</w:t>
      </w:r>
      <w:r w:rsidR="00E90BEA">
        <w:rPr>
          <w:rFonts w:ascii="Segoe UI" w:hAnsi="Segoe UI" w:cs="Segoe UI"/>
          <w:color w:val="000000"/>
          <w:sz w:val="20"/>
          <w:szCs w:val="20"/>
        </w:rPr>
        <w:t>,</w:t>
      </w:r>
      <w:r>
        <w:rPr>
          <w:rFonts w:ascii="Segoe UI" w:hAnsi="Segoe UI" w:cs="Segoe UI"/>
          <w:color w:val="000000"/>
          <w:sz w:val="20"/>
          <w:szCs w:val="20"/>
        </w:rPr>
        <w:t xml:space="preserve"> gdy planujemy zajęcia realizowane cyklicznie co drugi tydzień.</w:t>
      </w:r>
    </w:p>
    <w:p w:rsidR="00E90BEA" w:rsidRDefault="00E90BEA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Za pomocą przycisku (1) </w:t>
      </w:r>
      <w:r w:rsidR="00365CDF">
        <w:rPr>
          <w:rFonts w:ascii="Segoe UI" w:hAnsi="Segoe UI" w:cs="Segoe UI"/>
          <w:color w:val="000000"/>
          <w:sz w:val="20"/>
          <w:szCs w:val="20"/>
        </w:rPr>
        <w:t>otwieramy okno do zmiany definicji bieżącego okresu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Za pomocą przycisku (2) otwieramy okno (3) za pomocą którego wybieramy, które tygodnie mają być wyświetlane w siatce (5). W naszym przykładzie wyświetlany jest co drugi tydzień.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Zmiany wykonane za pomocą okienka (3) są zapisywane w polu (4) w za pomocą zapisu skróconego (symbole + i -). Wskazówka: Jeżeli chcemy szybko zmienić ustawienia w ten sposób, żeby ukrywany był pierwszy tydzień a pokazywany drugi itd., to w polu (4) wpisujemy „-+”(dwa znaki) i otwieramy okno (3).</w:t>
      </w:r>
    </w:p>
    <w:p w:rsidR="00365CDF" w:rsidRPr="008E4DD2" w:rsidRDefault="00EE3BB8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Aby przełączać się pomiędzy tygodniami parzystymi i nieparzystymi, możemy po prostu utworzyć dwa oddzielne okresy np. 2027-Lato-Parzyste i 2027-Lato-Nieparzyste.</w:t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8E4DD2">
        <w:rPr>
          <w:rFonts w:ascii="Segoe UI" w:hAnsi="Segoe UI" w:cs="Segoe UI"/>
          <w:noProof/>
          <w:color w:val="000000"/>
          <w:sz w:val="20"/>
          <w:szCs w:val="20"/>
        </w:rPr>
        <w:lastRenderedPageBreak/>
        <w:drawing>
          <wp:inline distT="0" distB="0" distL="0" distR="0" wp14:anchorId="0FB30D02" wp14:editId="3E843D98">
            <wp:extent cx="5972810" cy="415925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1A5CE5" w:rsidRDefault="001A5CE5" w:rsidP="00B22FE3">
      <w:pPr>
        <w:pStyle w:val="Nagwek2"/>
      </w:pPr>
    </w:p>
    <w:p w:rsidR="00636560" w:rsidRDefault="00636560" w:rsidP="00DD38F5">
      <w:pPr>
        <w:pStyle w:val="Nagwek1"/>
      </w:pPr>
      <w:bookmarkStart w:id="2" w:name="_Toc234646402"/>
      <w:r>
        <w:t>Wydruk rozkładu: Kolory w legendzie</w:t>
      </w:r>
      <w:bookmarkEnd w:id="2"/>
    </w:p>
    <w:p w:rsidR="00636560" w:rsidRDefault="00636560" w:rsidP="00636560">
      <w:r>
        <w:t>Dodano możliwość wyboru sposobu pokolorowania legendy.</w:t>
      </w:r>
    </w:p>
    <w:p w:rsidR="00636560" w:rsidRDefault="00636560" w:rsidP="00636560">
      <w:r>
        <w:t>Poprzednio był to przedmiot.</w:t>
      </w:r>
    </w:p>
    <w:p w:rsidR="00636560" w:rsidRPr="00636560" w:rsidRDefault="00636560" w:rsidP="00636560">
      <w:r>
        <w:t>Obecnie można wybrać przedmiot, grupę, wykładowcę, formę lub salę.</w:t>
      </w:r>
    </w:p>
    <w:p w:rsidR="00636560" w:rsidRPr="00636560" w:rsidRDefault="00636560" w:rsidP="00636560">
      <w:r w:rsidRPr="00636560">
        <w:lastRenderedPageBreak/>
        <w:drawing>
          <wp:inline distT="0" distB="0" distL="0" distR="0" wp14:anchorId="381D1AEC" wp14:editId="1B27A6D0">
            <wp:extent cx="5972810" cy="3788410"/>
            <wp:effectExtent l="0" t="0" r="8890" b="254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E5" w:rsidRDefault="00DD38F5" w:rsidP="00DD38F5">
      <w:pPr>
        <w:pStyle w:val="Nagwek1"/>
      </w:pPr>
      <w:bookmarkStart w:id="3" w:name="_Toc234646403"/>
      <w:r>
        <w:t>Dostępne miejsce</w:t>
      </w:r>
      <w:bookmarkEnd w:id="3"/>
    </w:p>
    <w:p w:rsidR="001A5CE5" w:rsidRDefault="001A5CE5" w:rsidP="001A5CE5"/>
    <w:p w:rsidR="001A5CE5" w:rsidRDefault="001A5CE5" w:rsidP="001A5CE5">
      <w:r>
        <w:t>Wykonano funkcję pozwalającą na samodzielne sprawdzenie wolnego miejsca w darmowej wersji bazy danych Oracle. Dotyczy tylko użytkowników korzystający z darmowej wersji bazy danych Oracle.</w:t>
      </w:r>
    </w:p>
    <w:p w:rsidR="001A5CE5" w:rsidRDefault="001A5CE5" w:rsidP="001A5CE5"/>
    <w:p w:rsidR="001A5CE5" w:rsidRDefault="001A5CE5" w:rsidP="001A5CE5">
      <w:r w:rsidRPr="001A5CE5">
        <w:drawing>
          <wp:inline distT="0" distB="0" distL="0" distR="0" wp14:anchorId="0E805AC5" wp14:editId="708D79E2">
            <wp:extent cx="5972810" cy="130111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E5" w:rsidRPr="001A5CE5" w:rsidRDefault="001A5CE5" w:rsidP="001A5CE5"/>
    <w:p w:rsidR="00E90BEA" w:rsidRDefault="00554959" w:rsidP="00AB536F">
      <w:pPr>
        <w:pStyle w:val="Nagwek1"/>
      </w:pPr>
      <w:bookmarkStart w:id="4" w:name="_Toc234646404"/>
      <w:r>
        <w:t>Inne zmiany</w:t>
      </w:r>
      <w:bookmarkEnd w:id="4"/>
    </w:p>
    <w:p w:rsidR="00554959" w:rsidRDefault="00554959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Wprowadzono wiele innych technicznych zmian przyspieszających pracę z Aplikacją (generowanie wydruków w formacie utf8 a nie win1250,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keszowanie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niektórych operacji itd.).</w:t>
      </w:r>
    </w:p>
    <w:p w:rsidR="00565E76" w:rsidRDefault="00565E76" w:rsidP="00E55767">
      <w:pPr>
        <w:jc w:val="both"/>
      </w:pPr>
    </w:p>
    <w:sectPr w:rsidR="00565E76" w:rsidSect="004468BF">
      <w:headerReference w:type="default" r:id="rId14"/>
      <w:footerReference w:type="default" r:id="rId15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531A" w:rsidRDefault="00AB531A">
      <w:r>
        <w:separator/>
      </w:r>
    </w:p>
  </w:endnote>
  <w:endnote w:type="continuationSeparator" w:id="0">
    <w:p w:rsidR="00AB531A" w:rsidRDefault="00AB5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6AFD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531A" w:rsidRDefault="00AB531A">
      <w:r>
        <w:separator/>
      </w:r>
    </w:p>
  </w:footnote>
  <w:footnote w:type="continuationSeparator" w:id="0">
    <w:p w:rsidR="00AB531A" w:rsidRDefault="00AB5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5"/>
  </w:num>
  <w:num w:numId="8">
    <w:abstractNumId w:val="45"/>
  </w:num>
  <w:num w:numId="9">
    <w:abstractNumId w:val="9"/>
  </w:num>
  <w:num w:numId="10">
    <w:abstractNumId w:val="24"/>
  </w:num>
  <w:num w:numId="11">
    <w:abstractNumId w:val="36"/>
  </w:num>
  <w:num w:numId="12">
    <w:abstractNumId w:val="30"/>
  </w:num>
  <w:num w:numId="13">
    <w:abstractNumId w:val="34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4"/>
  </w:num>
  <w:num w:numId="20">
    <w:abstractNumId w:val="0"/>
  </w:num>
  <w:num w:numId="21">
    <w:abstractNumId w:val="13"/>
  </w:num>
  <w:num w:numId="22">
    <w:abstractNumId w:val="27"/>
  </w:num>
  <w:num w:numId="23">
    <w:abstractNumId w:val="43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0"/>
  </w:num>
  <w:num w:numId="30">
    <w:abstractNumId w:val="18"/>
  </w:num>
  <w:num w:numId="31">
    <w:abstractNumId w:val="5"/>
  </w:num>
  <w:num w:numId="32">
    <w:abstractNumId w:val="41"/>
  </w:num>
  <w:num w:numId="33">
    <w:abstractNumId w:val="42"/>
  </w:num>
  <w:num w:numId="34">
    <w:abstractNumId w:val="8"/>
  </w:num>
  <w:num w:numId="35">
    <w:abstractNumId w:val="33"/>
  </w:num>
  <w:num w:numId="36">
    <w:abstractNumId w:val="39"/>
  </w:num>
  <w:num w:numId="37">
    <w:abstractNumId w:val="4"/>
  </w:num>
  <w:num w:numId="38">
    <w:abstractNumId w:val="22"/>
  </w:num>
  <w:num w:numId="39">
    <w:abstractNumId w:val="26"/>
  </w:num>
  <w:num w:numId="40">
    <w:abstractNumId w:val="37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D0F"/>
    <w:rsid w:val="00B2586B"/>
    <w:rsid w:val="00B25B55"/>
    <w:rsid w:val="00B273AE"/>
    <w:rsid w:val="00B34819"/>
    <w:rsid w:val="00B3512F"/>
    <w:rsid w:val="00B35816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0E6C7-7D35-4CF8-98D2-4F4815D38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6470</TotalTime>
  <Pages>1</Pages>
  <Words>341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893</cp:revision>
  <cp:lastPrinted>2026-07-11T05:13:00Z</cp:lastPrinted>
  <dcterms:created xsi:type="dcterms:W3CDTF">2021-02-17T06:51:00Z</dcterms:created>
  <dcterms:modified xsi:type="dcterms:W3CDTF">2026-07-11T05:13:00Z</dcterms:modified>
</cp:coreProperties>
</file>