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102" w:rsidRPr="00722102" w:rsidRDefault="00722102">
      <w:pPr>
        <w:rPr>
          <w:lang w:val="pl-PL"/>
        </w:rPr>
      </w:pPr>
      <w:r w:rsidRPr="00722102">
        <w:rPr>
          <w:lang w:val="pl-PL"/>
        </w:rPr>
        <w:t>Kacper Stojek 179909</w:t>
      </w:r>
      <w:r w:rsidRPr="00722102">
        <w:rPr>
          <w:lang w:val="pl-PL"/>
        </w:rPr>
        <w:br/>
        <w:t>Maciej Wieczór 180510</w:t>
      </w:r>
    </w:p>
    <w:p w:rsidR="00722102" w:rsidRPr="00722102" w:rsidRDefault="00722102" w:rsidP="00722102">
      <w:pPr>
        <w:pStyle w:val="Tytu"/>
        <w:jc w:val="center"/>
        <w:rPr>
          <w:sz w:val="48"/>
          <w:szCs w:val="48"/>
          <w:lang w:val="pl-PL"/>
        </w:rPr>
      </w:pPr>
      <w:r w:rsidRPr="00722102">
        <w:rPr>
          <w:sz w:val="48"/>
          <w:szCs w:val="48"/>
          <w:lang w:val="pl-PL"/>
        </w:rPr>
        <w:t>Metody Modelowania Matematycznego  - projekt</w:t>
      </w:r>
    </w:p>
    <w:p w:rsidR="00722102" w:rsidRPr="00722102" w:rsidRDefault="00722102" w:rsidP="00722102">
      <w:pPr>
        <w:rPr>
          <w:lang w:val="pl-PL"/>
        </w:rPr>
      </w:pPr>
    </w:p>
    <w:p w:rsidR="00722102" w:rsidRPr="00722102" w:rsidRDefault="00722102" w:rsidP="00722102">
      <w:pPr>
        <w:pStyle w:val="Nagwek1"/>
        <w:rPr>
          <w:lang w:val="pl-PL"/>
        </w:rPr>
      </w:pPr>
      <w:r w:rsidRPr="00722102">
        <w:rPr>
          <w:lang w:val="pl-PL"/>
        </w:rPr>
        <w:t>Treść zadania:</w:t>
      </w:r>
    </w:p>
    <w:p w:rsidR="00722102" w:rsidRDefault="00722102" w:rsidP="00722102">
      <w:pPr>
        <w:rPr>
          <w:lang w:val="pl-PL"/>
        </w:rPr>
      </w:pPr>
      <w:r w:rsidRPr="00722102">
        <w:rPr>
          <w:lang w:val="pl-PL"/>
        </w:rPr>
        <w:t>Projekt 6. Dany jest układ opisany pewną transmitancją z elementem opóźniającym</w:t>
      </w:r>
    </w:p>
    <w:p w:rsidR="00772808" w:rsidRPr="00722102" w:rsidRDefault="00772808" w:rsidP="00722102">
      <w:pPr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s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e</m:t>
              </m:r>
            </m:e>
            <m:sup>
              <m:r>
                <w:rPr>
                  <w:rFonts w:ascii="Cambria Math" w:hAnsi="Cambria Math"/>
                  <w:lang w:val="pl-PL"/>
                </w:rPr>
                <m:t>-sT</m:t>
              </m:r>
            </m:sup>
          </m:sSup>
        </m:oMath>
      </m:oMathPara>
    </w:p>
    <w:p w:rsidR="00722102" w:rsidRDefault="00722102" w:rsidP="00722102">
      <w:pPr>
        <w:rPr>
          <w:lang w:val="pl-PL"/>
        </w:rPr>
      </w:pPr>
      <w:r w:rsidRPr="00722102">
        <w:rPr>
          <w:lang w:val="pl-PL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 w:rsidRPr="00722102">
        <w:rPr>
          <w:lang w:val="pl-PL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b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 w:rsidRPr="00722102">
        <w:rPr>
          <w:lang w:val="pl-PL"/>
        </w:rPr>
        <w:t xml:space="preserve"> </w:t>
      </w:r>
      <w:r w:rsidRPr="00722102">
        <w:rPr>
          <w:lang w:val="pl-PL"/>
        </w:rPr>
        <w:t xml:space="preserve">oraz </w:t>
      </w:r>
      <m:oMath>
        <m:r>
          <w:rPr>
            <w:rFonts w:ascii="Cambria Math" w:hAnsi="Cambria Math"/>
            <w:lang w:val="pl-PL"/>
          </w:rPr>
          <m:t>T</m:t>
        </m:r>
      </m:oMath>
      <w:r>
        <w:rPr>
          <w:lang w:val="pl-PL"/>
        </w:rPr>
        <w:t xml:space="preserve"> </w:t>
      </w:r>
      <w:r w:rsidRPr="00722102">
        <w:rPr>
          <w:lang w:val="pl-PL"/>
        </w:rPr>
        <w:t>to pewne parametry. Należy zaimplementować symulator tego układu, umożliwiający uzyskanie odpowiedzi czasowych układu na pobudzenie przynajmniej trzema rodzajami sygnałów wejściowych (sygnał prostokątny o skończonym czasie trwania, sygnał trójkątny, sygnał harmoniczny) oraz wyznaczający charakterystyki częstotliwościowe układu. Symulator powinien umożliwiać zmianę wszystkich parametrów transmitancji oraz sygnałów wejściowych.</w:t>
      </w:r>
    </w:p>
    <w:p w:rsidR="005018BC" w:rsidRDefault="005018BC" w:rsidP="00722102">
      <w:pPr>
        <w:rPr>
          <w:lang w:val="pl-PL"/>
        </w:rPr>
      </w:pPr>
    </w:p>
    <w:p w:rsidR="005018BC" w:rsidRDefault="005018BC" w:rsidP="00722102">
      <w:pPr>
        <w:rPr>
          <w:lang w:val="pl-PL"/>
        </w:rPr>
      </w:pPr>
      <w:r>
        <w:rPr>
          <w:lang w:val="pl-PL"/>
        </w:rPr>
        <w:tab/>
        <w:t>Zaczynając od sprowadzanie t</w:t>
      </w:r>
      <w:r w:rsidR="004139FA">
        <w:rPr>
          <w:lang w:val="pl-PL"/>
        </w:rPr>
        <w:t>r</w:t>
      </w:r>
      <w:r>
        <w:rPr>
          <w:lang w:val="pl-PL"/>
        </w:rPr>
        <w:t xml:space="preserve">ansmitancji do postaci którą da się zasymulować. Od razu można zignorować element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e</m:t>
            </m:r>
          </m:e>
          <m:sup>
            <m:r>
              <w:rPr>
                <w:rFonts w:ascii="Cambria Math" w:hAnsi="Cambria Math"/>
                <w:lang w:val="pl-PL"/>
              </w:rPr>
              <m:t>-sT</m:t>
            </m:r>
          </m:sup>
        </m:sSup>
      </m:oMath>
      <w:r>
        <w:rPr>
          <w:lang w:val="pl-PL"/>
        </w:rPr>
        <w:t>, który jedynie przesunie nam odpowiedź w prawo w dziedzinie czasu.</w:t>
      </w:r>
      <w:r w:rsidR="004139FA">
        <w:rPr>
          <w:lang w:val="pl-PL"/>
        </w:rPr>
        <w:t xml:space="preserve"> Tak więc pozostanie tylko:</w:t>
      </w:r>
    </w:p>
    <w:p w:rsidR="004139FA" w:rsidRPr="004139FA" w:rsidRDefault="004139FA" w:rsidP="00722102">
      <w:pPr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s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den>
          </m:f>
        </m:oMath>
      </m:oMathPara>
    </w:p>
    <w:p w:rsidR="004139FA" w:rsidRPr="004139FA" w:rsidRDefault="004139FA" w:rsidP="00722102">
      <w:pPr>
        <w:rPr>
          <w:lang w:val="pl-PL"/>
        </w:rPr>
      </w:pPr>
      <w:r>
        <w:rPr>
          <w:lang w:val="pl-PL"/>
        </w:rPr>
        <w:t>Następnie z definicji transmitancji można zapisać że:</w:t>
      </w:r>
      <w:r>
        <w:rPr>
          <w:lang w:val="pl-PL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Y(s)</m:t>
              </m:r>
            </m:num>
            <m:den>
              <m:r>
                <w:rPr>
                  <w:rFonts w:ascii="Cambria Math" w:hAnsi="Cambria Math"/>
                  <w:lang w:val="pl-PL"/>
                </w:rPr>
                <m:t>U(s)</m:t>
              </m:r>
            </m:den>
          </m:f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  <w:lang w:val="pl-PL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lang w:val="pl-PL"/>
            </w:rPr>
            <m:t xml:space="preserve"> </m:t>
          </m:r>
          <m:r>
            <w:rPr>
              <w:rFonts w:ascii="Cambria Math" w:hAnsi="Cambria Math"/>
              <w:lang w:val="pl-PL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pl-PL"/>
            </w:rPr>
            <m:t>=</m:t>
          </m:r>
          <m:r>
            <w:rPr>
              <w:rFonts w:ascii="Cambria Math" w:hAnsi="Cambria Math"/>
              <w:lang w:val="pl-PL"/>
            </w:rPr>
            <m:t>U(s)</m:t>
          </m:r>
          <m:r>
            <w:rPr>
              <w:rFonts w:ascii="Cambria Math" w:hAnsi="Cambria Math"/>
              <w:lang w:val="pl-PL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a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>s+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a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</m:sSub>
          <m:r>
            <w:rPr>
              <w:rFonts w:ascii="Cambria Math" w:hAnsi="Cambria Math"/>
              <w:lang w:val="pl-PL"/>
            </w:rPr>
            <m:t>)</m:t>
          </m:r>
        </m:oMath>
      </m:oMathPara>
    </w:p>
    <w:p w:rsidR="004139FA" w:rsidRDefault="004139FA" w:rsidP="00722102">
      <w:pPr>
        <w:rPr>
          <w:lang w:val="pl-PL"/>
        </w:rPr>
      </w:pPr>
      <w:r>
        <w:rPr>
          <w:lang w:val="pl-PL"/>
        </w:rPr>
        <w:t xml:space="preserve">Powstałe równanie można uporządkować aby otrzymać </w:t>
      </w:r>
      <w:r w:rsidR="00677778">
        <w:rPr>
          <w:lang w:val="pl-PL"/>
        </w:rPr>
        <w:t>model z zagnieżdżonym całkowaniem:</w:t>
      </w:r>
    </w:p>
    <w:p w:rsidR="00677778" w:rsidRPr="00677778" w:rsidRDefault="00677778" w:rsidP="00722102">
      <w:pPr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s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</m:t>
              </m:r>
            </m:num>
            <m:den>
              <m:r>
                <w:rPr>
                  <w:rFonts w:ascii="Cambria Math" w:hAnsi="Cambria Math"/>
                  <w:lang w:val="pl-PL"/>
                </w:rPr>
                <m:t>s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pl-PL"/>
                </w:rPr>
                <m:t>U(s)</m:t>
              </m:r>
              <m:r>
                <w:rPr>
                  <w:rFonts w:ascii="Cambria Math" w:hAnsi="Cambria Math"/>
                  <w:lang w:val="pl-PL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pl-PL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pl-PL"/>
                    </w:rPr>
                    <m:t>s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pl-PL"/>
                    </w:rPr>
                    <m:t>U(s)</m:t>
                  </m:r>
                  <m:r>
                    <w:rPr>
                      <w:rFonts w:ascii="Cambria Math" w:hAnsi="Cambria Math"/>
                      <w:lang w:val="pl-P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s</m:t>
                      </m:r>
                    </m:e>
                  </m:d>
                </m:e>
              </m:d>
            </m:e>
          </m:d>
        </m:oMath>
      </m:oMathPara>
    </w:p>
    <w:p w:rsidR="00677778" w:rsidRPr="004139FA" w:rsidRDefault="00677778" w:rsidP="00722102">
      <w:pPr>
        <w:rPr>
          <w:lang w:val="pl-PL"/>
        </w:rPr>
      </w:pPr>
      <w:r>
        <w:rPr>
          <w:lang w:val="pl-PL"/>
        </w:rPr>
        <w:t>Graficzna reprezentacja tego modelu wygląda następująco:</w:t>
      </w:r>
    </w:p>
    <w:p w:rsidR="004139FA" w:rsidRPr="004139FA" w:rsidRDefault="00372DC2" w:rsidP="00372DC2">
      <w:pPr>
        <w:jc w:val="center"/>
        <w:rPr>
          <w:lang w:val="pl-PL"/>
        </w:rPr>
      </w:pPr>
      <w:r>
        <w:rPr>
          <w:lang w:val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64.05pt;height:199.3pt">
            <v:imagedata r:id="rId4" o:title="Untitled Diagram"/>
          </v:shape>
        </w:pict>
      </w:r>
    </w:p>
    <w:p w:rsidR="00372DC2" w:rsidRDefault="00372DC2" w:rsidP="00722102">
      <w:pPr>
        <w:rPr>
          <w:lang w:val="pl-PL"/>
        </w:rPr>
      </w:pPr>
      <w:r>
        <w:rPr>
          <w:lang w:val="pl-PL"/>
        </w:rPr>
        <w:lastRenderedPageBreak/>
        <w:tab/>
        <w:t>Teraz przechodząc do wykonania obliczeń, integratory całkują metodą prostokątów, czyli w każdym kroku wykonywane jest następujące działanie:</w:t>
      </w:r>
    </w:p>
    <w:p w:rsidR="00372DC2" w:rsidRPr="002F54A4" w:rsidRDefault="002F54A4" w:rsidP="00722102">
      <w:pPr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t+τ</m:t>
              </m:r>
            </m:e>
          </m:d>
          <m:r>
            <w:rPr>
              <w:rFonts w:ascii="Cambria Math" w:hAnsi="Cambria Math"/>
              <w:lang w:val="pl-PL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t</m:t>
              </m:r>
            </m:e>
          </m:d>
          <m:r>
            <w:rPr>
              <w:rFonts w:ascii="Cambria Math" w:hAnsi="Cambria Math"/>
              <w:lang w:val="pl-PL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pl-PL"/>
                </w:rPr>
              </m:ctrlPr>
            </m:acc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</m:acc>
          <m:r>
            <w:rPr>
              <w:rFonts w:ascii="Cambria Math" w:hAnsi="Cambria Math"/>
              <w:lang w:val="pl-PL"/>
            </w:rPr>
            <m:t>(t)∙</m:t>
          </m:r>
          <m:r>
            <w:rPr>
              <w:rFonts w:ascii="Cambria Math" w:hAnsi="Cambria Math"/>
              <w:lang w:val="pl-PL"/>
            </w:rPr>
            <m:t>τ</m:t>
          </m:r>
        </m:oMath>
      </m:oMathPara>
    </w:p>
    <w:p w:rsidR="002F54A4" w:rsidRDefault="002F54A4" w:rsidP="00722102">
      <w:pPr>
        <w:rPr>
          <w:lang w:val="pl-PL"/>
        </w:rPr>
      </w:pPr>
      <w:r>
        <w:rPr>
          <w:lang w:val="pl-PL"/>
        </w:rPr>
        <w:t>Gdzie:</w:t>
      </w:r>
    </w:p>
    <w:p w:rsidR="002F54A4" w:rsidRDefault="002F54A4" w:rsidP="00722102">
      <w:pPr>
        <w:rPr>
          <w:lang w:val="pl-PL"/>
        </w:rPr>
      </w:pPr>
      <m:oMath>
        <m:r>
          <w:rPr>
            <w:rFonts w:ascii="Cambria Math" w:hAnsi="Cambria Math"/>
            <w:lang w:val="pl-PL"/>
          </w:rPr>
          <m:t>τ</m:t>
        </m:r>
      </m:oMath>
      <w:r>
        <w:rPr>
          <w:lang w:val="pl-PL"/>
        </w:rPr>
        <w:t xml:space="preserve"> – zadany krok symulacji</w:t>
      </w:r>
    </w:p>
    <w:p w:rsidR="002F54A4" w:rsidRDefault="002F54A4" w:rsidP="00722102">
      <w:pPr>
        <w:rPr>
          <w:lang w:val="pl-PL"/>
        </w:rPr>
      </w:pPr>
      <m:oMath>
        <m:r>
          <w:rPr>
            <w:rFonts w:ascii="Cambria Math" w:hAnsi="Cambria Math"/>
            <w:lang w:val="pl-PL"/>
          </w:rPr>
          <m:t>x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t</m:t>
            </m:r>
          </m:e>
        </m:d>
      </m:oMath>
      <w:r>
        <w:rPr>
          <w:lang w:val="pl-PL"/>
        </w:rPr>
        <w:t xml:space="preserve"> – wartość całki w chwili </w:t>
      </w:r>
      <m:oMath>
        <m:r>
          <w:rPr>
            <w:rFonts w:ascii="Cambria Math" w:hAnsi="Cambria Math"/>
            <w:lang w:val="pl-PL"/>
          </w:rPr>
          <m:t>t</m:t>
        </m:r>
      </m:oMath>
    </w:p>
    <w:p w:rsidR="002F54A4" w:rsidRDefault="002F54A4" w:rsidP="00722102">
      <w:pPr>
        <w:rPr>
          <w:lang w:val="pl-PL"/>
        </w:rPr>
      </w:pPr>
      <m:oMath>
        <m:r>
          <w:rPr>
            <w:rFonts w:ascii="Cambria Math" w:hAnsi="Cambria Math"/>
            <w:lang w:val="pl-PL"/>
          </w:rPr>
          <m:t>x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t+τ</m:t>
            </m:r>
          </m:e>
        </m:d>
      </m:oMath>
      <w:r>
        <w:rPr>
          <w:lang w:val="pl-PL"/>
        </w:rPr>
        <w:t xml:space="preserve"> – wartość całki w następnym kroku</w:t>
      </w:r>
    </w:p>
    <w:p w:rsidR="002F54A4" w:rsidRDefault="002F54A4" w:rsidP="00722102">
      <w:pPr>
        <w:rPr>
          <w:lang w:val="pl-PL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x</m:t>
            </m:r>
          </m:e>
        </m:acc>
        <m:r>
          <w:rPr>
            <w:rFonts w:ascii="Cambria Math" w:hAnsi="Cambria Math"/>
            <w:lang w:val="pl-PL"/>
          </w:rPr>
          <m:t>(t)</m:t>
        </m:r>
      </m:oMath>
      <w:r>
        <w:rPr>
          <w:lang w:val="pl-PL"/>
        </w:rPr>
        <w:t xml:space="preserve"> – oszacowana wartość funkcji w chwili </w:t>
      </w:r>
      <m:oMath>
        <m:r>
          <w:rPr>
            <w:rFonts w:ascii="Cambria Math" w:hAnsi="Cambria Math"/>
            <w:lang w:val="pl-PL"/>
          </w:rPr>
          <m:t>t</m:t>
        </m:r>
      </m:oMath>
    </w:p>
    <w:p w:rsidR="009D71EB" w:rsidRDefault="009D71EB" w:rsidP="00722102">
      <w:pPr>
        <w:rPr>
          <w:lang w:val="pl-PL"/>
        </w:rPr>
      </w:pPr>
      <w:r>
        <w:rPr>
          <w:lang w:val="pl-PL"/>
        </w:rPr>
        <w:t xml:space="preserve">Szacowanie funkcji w chwili </w:t>
      </w:r>
      <m:oMath>
        <m:r>
          <w:rPr>
            <w:rFonts w:ascii="Cambria Math" w:hAnsi="Cambria Math"/>
            <w:lang w:val="pl-PL"/>
          </w:rPr>
          <m:t>t</m:t>
        </m:r>
      </m:oMath>
      <w:r>
        <w:rPr>
          <w:lang w:val="pl-PL"/>
        </w:rPr>
        <w:t xml:space="preserve">, odbywa się zwyczajnie poprzez sumę sygnałów od których dana funkcja jest zależna, pomnożonych przez odpowiednie współczynniki, które wynikają z zadanych wartości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>
        <w:rPr>
          <w:lang w:val="pl-PL"/>
        </w:rPr>
        <w:t xml:space="preserve"> oraz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b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>
        <w:rPr>
          <w:lang w:val="pl-PL"/>
        </w:rPr>
        <w:t>.</w:t>
      </w:r>
    </w:p>
    <w:p w:rsidR="009D71EB" w:rsidRDefault="009D71EB" w:rsidP="00722102">
      <w:pPr>
        <w:rPr>
          <w:lang w:val="pl-PL"/>
        </w:rPr>
      </w:pPr>
      <w:r>
        <w:rPr>
          <w:lang w:val="pl-PL"/>
        </w:rPr>
        <w:tab/>
        <w:t xml:space="preserve">Iteracja symulacji wygląda następująco: </w:t>
      </w:r>
    </w:p>
    <w:p w:rsidR="00A21B6C" w:rsidRDefault="00A21B6C" w:rsidP="00722102">
      <w:pPr>
        <w:rPr>
          <w:lang w:val="pl-PL"/>
        </w:rPr>
      </w:pPr>
      <w:r>
        <w:rPr>
          <w:lang w:val="pl-PL"/>
        </w:rPr>
        <w:t>Krok 1: szacowanie wartości funkcji, w tym celu wykonywane są dwa działania:</w:t>
      </w:r>
    </w:p>
    <w:p w:rsidR="00A21B6C" w:rsidRPr="00A21B6C" w:rsidRDefault="00A21B6C" w:rsidP="00722102">
      <w:pPr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</m:sSub>
          <m:r>
            <w:rPr>
              <w:rFonts w:ascii="Cambria Math" w:hAnsi="Cambria Math"/>
              <w:lang w:val="pl-PL"/>
            </w:rPr>
            <m:t>(t)=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pl-PL"/>
            </w:rPr>
            <m:t>u</m:t>
          </m:r>
          <m:r>
            <w:rPr>
              <w:rFonts w:ascii="Cambria Math" w:hAnsi="Cambria Math"/>
              <w:lang w:val="pl-PL"/>
            </w:rPr>
            <m:t>(</m:t>
          </m:r>
          <m:r>
            <w:rPr>
              <w:rFonts w:ascii="Cambria Math" w:hAnsi="Cambria Math"/>
              <w:lang w:val="pl-PL"/>
            </w:rPr>
            <m:t>t</m:t>
          </m:r>
          <m:r>
            <w:rPr>
              <w:rFonts w:ascii="Cambria Math" w:hAnsi="Cambria Math"/>
              <w:lang w:val="pl-PL"/>
            </w:rPr>
            <m:t>)-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t</m:t>
              </m:r>
            </m:e>
          </m:d>
        </m:oMath>
      </m:oMathPara>
    </w:p>
    <w:p w:rsidR="00A21B6C" w:rsidRPr="00A21B6C" w:rsidRDefault="00A21B6C" w:rsidP="00722102">
      <w:pPr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t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pl-PL"/>
            </w:rPr>
            <m:t>u</m:t>
          </m:r>
          <m:r>
            <w:rPr>
              <w:rFonts w:ascii="Cambria Math" w:hAnsi="Cambria Math"/>
              <w:lang w:val="pl-PL"/>
            </w:rPr>
            <m:t>(</m:t>
          </m:r>
          <m:r>
            <w:rPr>
              <w:rFonts w:ascii="Cambria Math" w:hAnsi="Cambria Math"/>
              <w:lang w:val="pl-PL"/>
            </w:rPr>
            <m:t>t</m:t>
          </m:r>
          <m:r>
            <w:rPr>
              <w:rFonts w:ascii="Cambria Math" w:hAnsi="Cambria Math"/>
              <w:lang w:val="pl-PL"/>
            </w:rPr>
            <m:t>)-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t</m:t>
              </m:r>
            </m:e>
          </m:d>
          <m:r>
            <w:rPr>
              <w:rFonts w:ascii="Cambria Math" w:hAnsi="Cambria Math"/>
              <w:lang w:val="pl-P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</m:sSub>
        </m:oMath>
      </m:oMathPara>
    </w:p>
    <w:p w:rsidR="00A21B6C" w:rsidRDefault="00A21B6C" w:rsidP="00722102">
      <w:pPr>
        <w:rPr>
          <w:lang w:val="pl-PL"/>
        </w:rPr>
      </w:pPr>
      <w:r>
        <w:rPr>
          <w:lang w:val="pl-PL"/>
        </w:rPr>
        <w:t>Krok 2: całkowanie:</w:t>
      </w:r>
    </w:p>
    <w:p w:rsidR="00A21B6C" w:rsidRPr="00A21B6C" w:rsidRDefault="00A21B6C" w:rsidP="00A21B6C">
      <w:pPr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t+τ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t</m:t>
              </m:r>
            </m:e>
          </m:d>
          <m:r>
            <w:rPr>
              <w:rFonts w:ascii="Cambria Math" w:hAnsi="Cambria Math"/>
              <w:lang w:val="pl-P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</m:sSub>
          <m:r>
            <w:rPr>
              <w:rFonts w:ascii="Cambria Math" w:hAnsi="Cambria Math"/>
              <w:lang w:val="pl-PL"/>
            </w:rPr>
            <m:t>(t)∙τ</m:t>
          </m:r>
        </m:oMath>
      </m:oMathPara>
    </w:p>
    <w:p w:rsidR="00A21B6C" w:rsidRPr="00452EB0" w:rsidRDefault="00A21B6C" w:rsidP="00A21B6C">
      <w:pPr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t+τ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t</m:t>
              </m:r>
            </m:e>
          </m:d>
          <m:r>
            <w:rPr>
              <w:rFonts w:ascii="Cambria Math" w:hAnsi="Cambria Math"/>
              <w:lang w:val="pl-P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>(t)∙τ</m:t>
          </m:r>
        </m:oMath>
      </m:oMathPara>
    </w:p>
    <w:p w:rsidR="00452EB0" w:rsidRDefault="00452EB0" w:rsidP="00A21B6C">
      <w:pPr>
        <w:rPr>
          <w:lang w:val="pl-PL"/>
        </w:rPr>
      </w:pPr>
      <w:r>
        <w:rPr>
          <w:lang w:val="pl-PL"/>
        </w:rPr>
        <w:t>Krok 3: przesunięcie zegara:</w:t>
      </w:r>
    </w:p>
    <w:p w:rsidR="00452EB0" w:rsidRDefault="00452EB0" w:rsidP="00A21B6C">
      <w:pPr>
        <w:rPr>
          <w:lang w:val="pl-PL"/>
        </w:rPr>
      </w:pPr>
      <w:r>
        <w:rPr>
          <w:lang w:val="pl-PL"/>
        </w:rPr>
        <w:t xml:space="preserve">W tym kroku zmienna </w:t>
      </w:r>
      <m:oMath>
        <m:r>
          <w:rPr>
            <w:rFonts w:ascii="Cambria Math" w:hAnsi="Cambria Math"/>
            <w:lang w:val="pl-PL"/>
          </w:rPr>
          <m:t>t</m:t>
        </m:r>
      </m:oMath>
      <w:r>
        <w:rPr>
          <w:lang w:val="pl-PL"/>
        </w:rPr>
        <w:t xml:space="preserve"> przyjmuje wartość </w:t>
      </w:r>
      <m:oMath>
        <m:r>
          <w:rPr>
            <w:rFonts w:ascii="Cambria Math" w:hAnsi="Cambria Math"/>
            <w:lang w:val="pl-PL"/>
          </w:rPr>
          <m:t>t+τ</m:t>
        </m:r>
      </m:oMath>
      <w:r>
        <w:rPr>
          <w:lang w:val="pl-PL"/>
        </w:rPr>
        <w:t>.</w:t>
      </w:r>
    </w:p>
    <w:p w:rsidR="00A21B6C" w:rsidRDefault="00452EB0" w:rsidP="002A4641">
      <w:pPr>
        <w:ind w:firstLine="708"/>
        <w:rPr>
          <w:lang w:val="pl-PL"/>
        </w:rPr>
      </w:pPr>
      <w:r>
        <w:rPr>
          <w:lang w:val="pl-PL"/>
        </w:rPr>
        <w:t xml:space="preserve">Symulacja dobiegnie końca gdy zostanie wykonana zadana ilość kroków, a wynikiem jest trajektoria zmiennej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</m:oMath>
      <w:r>
        <w:rPr>
          <w:lang w:val="pl-PL"/>
        </w:rPr>
        <w:t>.</w:t>
      </w:r>
    </w:p>
    <w:p w:rsidR="002A4641" w:rsidRDefault="002A4641" w:rsidP="002A4641">
      <w:pPr>
        <w:ind w:firstLine="708"/>
        <w:rPr>
          <w:lang w:val="pl-PL"/>
        </w:rPr>
      </w:pPr>
      <w:r>
        <w:rPr>
          <w:lang w:val="pl-PL"/>
        </w:rPr>
        <w:t xml:space="preserve">Element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e</m:t>
            </m:r>
          </m:e>
          <m:sup>
            <m:r>
              <w:rPr>
                <w:rFonts w:ascii="Cambria Math" w:hAnsi="Cambria Math"/>
                <w:lang w:val="pl-PL"/>
              </w:rPr>
              <m:t>-sT</m:t>
            </m:r>
          </m:sup>
        </m:sSup>
      </m:oMath>
      <w:r>
        <w:rPr>
          <w:lang w:val="pl-PL"/>
        </w:rPr>
        <w:t xml:space="preserve"> jest realizowany poprzez zwyczajne przesunięcie otrzymanego wyniku w prawo, czyli do wyniku dopisuje się na początku </w:t>
      </w:r>
      <m:oMath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T</m:t>
            </m:r>
          </m:num>
          <m:den>
            <m:r>
              <w:rPr>
                <w:rFonts w:ascii="Cambria Math" w:hAnsi="Cambria Math"/>
                <w:lang w:val="pl-PL"/>
              </w:rPr>
              <m:t>τ</m:t>
            </m:r>
          </m:den>
        </m:f>
      </m:oMath>
      <w:r>
        <w:rPr>
          <w:lang w:val="pl-PL"/>
        </w:rPr>
        <w:t xml:space="preserve"> zer.</w:t>
      </w:r>
    </w:p>
    <w:p w:rsidR="000A7695" w:rsidRDefault="000A7695" w:rsidP="002A4641">
      <w:pPr>
        <w:ind w:firstLine="708"/>
        <w:rPr>
          <w:lang w:val="pl-PL"/>
        </w:rPr>
      </w:pPr>
      <w:r>
        <w:rPr>
          <w:lang w:val="pl-PL"/>
        </w:rPr>
        <w:t xml:space="preserve">Kolejnym elementem symulacji są charakterystyki bodego, są one wyznaczane na podstawie wcześniej wyznaczonych wzorów na moduł i argument funkcji </w:t>
      </w:r>
      <m:oMath>
        <m:r>
          <w:rPr>
            <w:rFonts w:ascii="Cambria Math" w:hAnsi="Cambria Math"/>
            <w:lang w:val="pl-PL"/>
          </w:rPr>
          <m:t>G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jω</m:t>
            </m:r>
          </m:e>
        </m:d>
        <m:r>
          <w:rPr>
            <w:rFonts w:ascii="Cambria Math" w:hAnsi="Cambria Math"/>
            <w:lang w:val="pl-PL"/>
          </w:rPr>
          <m:t>:</m:t>
        </m:r>
      </m:oMath>
    </w:p>
    <w:p w:rsidR="000A7695" w:rsidRPr="00A60A52" w:rsidRDefault="000A7695" w:rsidP="002A4641">
      <w:pPr>
        <w:ind w:firstLine="708"/>
        <w:rPr>
          <w:lang w:val="pl-P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pl-PL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pl-P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pl-P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A60A52" w:rsidRPr="00D43159" w:rsidRDefault="00A60A52" w:rsidP="00A60A52">
      <w:pPr>
        <w:jc w:val="center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arg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pl-PL"/>
            </w:rPr>
            <m:t>=-atan2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Tω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, cos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Tω</m:t>
                  </m:r>
                </m:e>
              </m:d>
            </m:e>
          </m:d>
          <m:r>
            <w:rPr>
              <w:rFonts w:ascii="Cambria Math" w:hAnsi="Cambria Math"/>
              <w:lang w:val="pl-PL"/>
            </w:rPr>
            <m:t>-atan2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ω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pl-P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pl-PL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pl-P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/>
              <w:lang w:val="pl-PL"/>
            </w:rPr>
            <m:t>+atan2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 xml:space="preserve">ω,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e>
          </m:d>
        </m:oMath>
      </m:oMathPara>
    </w:p>
    <w:p w:rsidR="00D43159" w:rsidRDefault="00D43159" w:rsidP="00A60A52">
      <w:pPr>
        <w:jc w:val="center"/>
        <w:rPr>
          <w:lang w:val="pl-PL"/>
        </w:rPr>
      </w:pPr>
    </w:p>
    <w:p w:rsidR="00D43159" w:rsidRDefault="00D43159" w:rsidP="00D43159">
      <w:pPr>
        <w:rPr>
          <w:lang w:val="pl-PL"/>
        </w:rPr>
      </w:pPr>
      <w:r>
        <w:rPr>
          <w:lang w:val="pl-PL"/>
        </w:rPr>
        <w:lastRenderedPageBreak/>
        <w:tab/>
        <w:t>Kilka przykładowych symulacji:</w:t>
      </w:r>
    </w:p>
    <w:p w:rsidR="00D43159" w:rsidRDefault="00D43159" w:rsidP="00D43159">
      <w:pPr>
        <w:rPr>
          <w:lang w:val="pl-PL"/>
        </w:rPr>
      </w:pPr>
      <w:r w:rsidRPr="00D43159">
        <w:rPr>
          <w:lang w:val="pl-PL"/>
        </w:rPr>
        <w:drawing>
          <wp:inline distT="0" distB="0" distL="0" distR="0" wp14:anchorId="38853776" wp14:editId="10C04C7E">
            <wp:extent cx="5760720" cy="39662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59" w:rsidRDefault="001E3441" w:rsidP="00D43159">
      <w:pPr>
        <w:rPr>
          <w:lang w:val="pl-PL"/>
        </w:rPr>
      </w:pPr>
      <w:r>
        <w:rPr>
          <w:lang w:val="pl-PL"/>
        </w:rPr>
        <w:t>Skutek</w:t>
      </w:r>
      <w:r w:rsidR="00D43159">
        <w:rPr>
          <w:lang w:val="pl-PL"/>
        </w:rPr>
        <w:t xml:space="preserve"> zadania za małego kroku symulacji</w:t>
      </w:r>
      <w:r>
        <w:rPr>
          <w:lang w:val="pl-PL"/>
        </w:rPr>
        <w:t>, jak widać teoretycznie stabilny układ dał niestabilną odpowiedź:</w:t>
      </w:r>
    </w:p>
    <w:p w:rsidR="00D43159" w:rsidRDefault="00D43159" w:rsidP="00D43159">
      <w:pPr>
        <w:rPr>
          <w:lang w:val="pl-PL"/>
        </w:rPr>
      </w:pPr>
      <w:r w:rsidRPr="00D43159">
        <w:rPr>
          <w:lang w:val="pl-PL"/>
        </w:rPr>
        <w:drawing>
          <wp:inline distT="0" distB="0" distL="0" distR="0" wp14:anchorId="499903E6" wp14:editId="04976A1B">
            <wp:extent cx="5760720" cy="392811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59" w:rsidRDefault="001E3441" w:rsidP="00D43159">
      <w:pPr>
        <w:rPr>
          <w:lang w:val="pl-PL"/>
        </w:rPr>
      </w:pPr>
      <w:r>
        <w:rPr>
          <w:lang w:val="pl-PL"/>
        </w:rPr>
        <w:lastRenderedPageBreak/>
        <w:t xml:space="preserve">Następnie ten sam układ, ale z mniejszym krokiem, </w:t>
      </w:r>
      <w:r>
        <w:rPr>
          <w:lang w:val="pl-PL"/>
        </w:rPr>
        <w:t xml:space="preserve">Jak widać rozwiązało to </w:t>
      </w:r>
      <w:r>
        <w:rPr>
          <w:lang w:val="pl-PL"/>
        </w:rPr>
        <w:t>problem pozornej niestabilności:</w:t>
      </w:r>
      <w:r>
        <w:rPr>
          <w:lang w:val="pl-PL"/>
        </w:rPr>
        <w:br/>
      </w:r>
      <w:r w:rsidRPr="001E3441">
        <w:rPr>
          <w:lang w:val="pl-PL"/>
        </w:rPr>
        <w:drawing>
          <wp:inline distT="0" distB="0" distL="0" distR="0" wp14:anchorId="2E12D6C6" wp14:editId="2C00BF3B">
            <wp:extent cx="5760720" cy="39433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41" w:rsidRDefault="001E3441" w:rsidP="00D43159">
      <w:pPr>
        <w:rPr>
          <w:lang w:val="pl-PL"/>
        </w:rPr>
      </w:pPr>
      <w:r>
        <w:rPr>
          <w:lang w:val="pl-PL"/>
        </w:rPr>
        <w:t>Następnie przykładowe pobudzenie sygnałem sinusoidalnym i trójkątnym:</w:t>
      </w:r>
    </w:p>
    <w:p w:rsidR="001E3441" w:rsidRDefault="001E3441" w:rsidP="00D43159">
      <w:pPr>
        <w:rPr>
          <w:lang w:val="pl-PL"/>
        </w:rPr>
      </w:pPr>
      <w:r w:rsidRPr="001E3441">
        <w:rPr>
          <w:lang w:val="pl-PL"/>
        </w:rPr>
        <w:drawing>
          <wp:inline distT="0" distB="0" distL="0" distR="0" wp14:anchorId="68019AAE" wp14:editId="41D59E4B">
            <wp:extent cx="5760720" cy="394906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41" w:rsidRDefault="001E3441" w:rsidP="00D43159">
      <w:pPr>
        <w:rPr>
          <w:lang w:val="pl-PL"/>
        </w:rPr>
      </w:pPr>
      <w:r w:rsidRPr="001E3441">
        <w:rPr>
          <w:lang w:val="pl-PL"/>
        </w:rPr>
        <w:lastRenderedPageBreak/>
        <w:drawing>
          <wp:inline distT="0" distB="0" distL="0" distR="0" wp14:anchorId="2DFBFF8A" wp14:editId="2343E8C9">
            <wp:extent cx="5760720" cy="39827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24" w:rsidRDefault="00B54B24" w:rsidP="00D43159">
      <w:pPr>
        <w:rPr>
          <w:lang w:val="pl-PL"/>
        </w:rPr>
      </w:pPr>
      <w:r>
        <w:rPr>
          <w:lang w:val="pl-PL"/>
        </w:rPr>
        <w:t xml:space="preserve">Następnie dodanie współczynnika </w:t>
      </w:r>
      <m:oMath>
        <m:r>
          <w:rPr>
            <w:rFonts w:ascii="Cambria Math" w:hAnsi="Cambria Math"/>
            <w:lang w:val="pl-PL"/>
          </w:rPr>
          <m:t>T</m:t>
        </m:r>
      </m:oMath>
      <w:r>
        <w:rPr>
          <w:lang w:val="pl-PL"/>
        </w:rPr>
        <w:t xml:space="preserve"> równego 1:</w:t>
      </w:r>
    </w:p>
    <w:p w:rsidR="00B54B24" w:rsidRDefault="00B54B24" w:rsidP="00D43159">
      <w:pPr>
        <w:rPr>
          <w:lang w:val="pl-PL"/>
        </w:rPr>
      </w:pPr>
      <w:r w:rsidRPr="00B54B24">
        <w:rPr>
          <w:lang w:val="pl-PL"/>
        </w:rPr>
        <w:drawing>
          <wp:inline distT="0" distB="0" distL="0" distR="0" wp14:anchorId="27849536" wp14:editId="5789BC16">
            <wp:extent cx="5760720" cy="39687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24" w:rsidRDefault="00B54B24" w:rsidP="00D43159">
      <w:pPr>
        <w:rPr>
          <w:lang w:val="pl-PL"/>
        </w:rPr>
      </w:pPr>
    </w:p>
    <w:p w:rsidR="00B54B24" w:rsidRDefault="00B54B24" w:rsidP="00B54B24">
      <w:pPr>
        <w:pStyle w:val="Nagwek1"/>
        <w:rPr>
          <w:lang w:val="pl-PL"/>
        </w:rPr>
      </w:pPr>
      <w:r>
        <w:rPr>
          <w:lang w:val="pl-PL"/>
        </w:rPr>
        <w:lastRenderedPageBreak/>
        <w:t>Wnioski:</w:t>
      </w:r>
    </w:p>
    <w:p w:rsidR="00B54B24" w:rsidRDefault="00B54B24" w:rsidP="00B54B24">
      <w:pPr>
        <w:rPr>
          <w:lang w:val="pl-PL"/>
        </w:rPr>
      </w:pPr>
      <w:r>
        <w:rPr>
          <w:lang w:val="pl-PL"/>
        </w:rPr>
        <w:tab/>
        <w:t xml:space="preserve">Zastosowana metoda całkowania jest najprostsza w implementacji, jednak skutkiem jest to, że dla niektórych układów trzeba zadać znacznie większy krok, aby wynik nie był zakłamany, a większy krok oznacza znacznie większą liczbę obliczeń co wydłuża czas wykonania symulacji. Jednak w tym przypadku jest ona wystarczająca, ponieważ bardzo szybkie działanie programu nie jest niezbędne w tym przypadku. </w:t>
      </w:r>
      <w:r w:rsidR="00544C28">
        <w:rPr>
          <w:lang w:val="pl-PL"/>
        </w:rPr>
        <w:t xml:space="preserve">Wyznaczanie charakterystyk bodego jest mało uniwersalne, można by na bieżąco liczyć </w:t>
      </w:r>
      <m:oMath>
        <m:r>
          <w:rPr>
            <w:rFonts w:ascii="Cambria Math" w:hAnsi="Cambria Math"/>
            <w:lang w:val="pl-PL"/>
          </w:rPr>
          <m:t>G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jω</m:t>
            </m:r>
          </m:e>
        </m:d>
      </m:oMath>
      <w:r w:rsidR="00544C28">
        <w:rPr>
          <w:lang w:val="pl-PL"/>
        </w:rPr>
        <w:t xml:space="preserve"> i na podstawie tego wyznaczać moduł i argument funkcji, jednak w tym wypadku takie proste rozwiązanie wystarczyło.</w:t>
      </w:r>
    </w:p>
    <w:p w:rsidR="00544C28" w:rsidRPr="00B54B24" w:rsidRDefault="00544C28" w:rsidP="00B54B24">
      <w:pPr>
        <w:rPr>
          <w:lang w:val="pl-PL"/>
        </w:rPr>
      </w:pPr>
      <w:r>
        <w:rPr>
          <w:lang w:val="pl-PL"/>
        </w:rPr>
        <w:t>Wszystkie wyniki były weryfikowane z wynikami w matlabie.</w:t>
      </w:r>
      <w:bookmarkStart w:id="0" w:name="_GoBack"/>
      <w:bookmarkEnd w:id="0"/>
    </w:p>
    <w:sectPr w:rsidR="00544C28" w:rsidRPr="00B54B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46"/>
    <w:rsid w:val="000A7695"/>
    <w:rsid w:val="001E3441"/>
    <w:rsid w:val="002A4641"/>
    <w:rsid w:val="002F54A4"/>
    <w:rsid w:val="00372DC2"/>
    <w:rsid w:val="004139FA"/>
    <w:rsid w:val="00436E7B"/>
    <w:rsid w:val="00452EB0"/>
    <w:rsid w:val="005018BC"/>
    <w:rsid w:val="00544C28"/>
    <w:rsid w:val="00677778"/>
    <w:rsid w:val="00722102"/>
    <w:rsid w:val="00772808"/>
    <w:rsid w:val="008A586F"/>
    <w:rsid w:val="009D71EB"/>
    <w:rsid w:val="00A21B6C"/>
    <w:rsid w:val="00A4120D"/>
    <w:rsid w:val="00A60A52"/>
    <w:rsid w:val="00B54B24"/>
    <w:rsid w:val="00CB42E0"/>
    <w:rsid w:val="00D43159"/>
    <w:rsid w:val="00D62F46"/>
    <w:rsid w:val="00E1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33FD"/>
  <w15:chartTrackingRefBased/>
  <w15:docId w15:val="{B245C158-9A28-4097-A768-5432AF67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21B6C"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22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22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221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2210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2210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7221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Tekstzastpczy">
    <w:name w:val="Placeholder Text"/>
    <w:basedOn w:val="Domylnaczcionkaakapitu"/>
    <w:uiPriority w:val="99"/>
    <w:semiHidden/>
    <w:rsid w:val="007221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48510795058</dc:creator>
  <cp:keywords/>
  <dc:description/>
  <cp:lastModifiedBy>48510795058</cp:lastModifiedBy>
  <cp:revision>2</cp:revision>
  <dcterms:created xsi:type="dcterms:W3CDTF">2021-05-08T17:42:00Z</dcterms:created>
  <dcterms:modified xsi:type="dcterms:W3CDTF">2021-05-08T21:05:00Z</dcterms:modified>
</cp:coreProperties>
</file>