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37E" w:rsidRDefault="007F337E" w:rsidP="007F337E">
      <w:pPr>
        <w:rPr>
          <w:noProof/>
        </w:rPr>
      </w:pPr>
    </w:p>
    <w:p w:rsidR="007F337E" w:rsidRPr="00B9126F" w:rsidRDefault="007F337E" w:rsidP="007F337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B12949" wp14:editId="778987DE">
            <wp:extent cx="2457355" cy="1933575"/>
            <wp:effectExtent l="19050" t="0" r="9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37E" w:rsidRPr="00B9126F" w:rsidRDefault="007F337E" w:rsidP="007F337E">
      <w:pPr>
        <w:jc w:val="center"/>
        <w:rPr>
          <w:rFonts w:ascii="Times New Roman" w:hAnsi="Times New Roman"/>
          <w:b/>
          <w:sz w:val="32"/>
          <w:szCs w:val="32"/>
        </w:rPr>
      </w:pPr>
      <w:r w:rsidRPr="00B9126F">
        <w:rPr>
          <w:rFonts w:ascii="Times New Roman" w:hAnsi="Times New Roman"/>
          <w:b/>
          <w:sz w:val="32"/>
          <w:szCs w:val="32"/>
        </w:rPr>
        <w:t>MZUMBE UNIVERSITY</w:t>
      </w:r>
    </w:p>
    <w:p w:rsidR="007F337E" w:rsidRPr="00B9126F" w:rsidRDefault="007F337E" w:rsidP="007F337E">
      <w:pPr>
        <w:jc w:val="center"/>
        <w:rPr>
          <w:rFonts w:ascii="Times New Roman" w:hAnsi="Times New Roman"/>
          <w:b/>
          <w:sz w:val="36"/>
          <w:szCs w:val="36"/>
        </w:rPr>
      </w:pPr>
      <w:r w:rsidRPr="00B9126F">
        <w:rPr>
          <w:rFonts w:ascii="Times New Roman" w:hAnsi="Times New Roman"/>
          <w:b/>
          <w:sz w:val="36"/>
          <w:szCs w:val="36"/>
        </w:rPr>
        <w:t>FACULTY OF SCIENCES AND TECHNOLOGY</w:t>
      </w:r>
    </w:p>
    <w:p w:rsidR="007F337E" w:rsidRDefault="007F337E" w:rsidP="007F337E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PROGRAM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:rsidR="007F337E" w:rsidRDefault="007F337E" w:rsidP="007F337E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COURSE NAME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:rsidR="007F337E" w:rsidRDefault="007F337E" w:rsidP="007F337E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COURSE CODE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:rsidR="007F337E" w:rsidRDefault="007F337E" w:rsidP="007F337E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TASK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>GROUP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4909"/>
        <w:gridCol w:w="3865"/>
      </w:tblGrid>
      <w:tr w:rsidR="007F337E" w:rsidTr="00594F2E">
        <w:tc>
          <w:tcPr>
            <w:tcW w:w="576" w:type="dxa"/>
          </w:tcPr>
          <w:p w:rsidR="007F337E" w:rsidRPr="00353A9F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53A9F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4909" w:type="dxa"/>
          </w:tcPr>
          <w:p w:rsidR="007F337E" w:rsidRPr="008F0DD3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MEMBERS</w:t>
            </w:r>
          </w:p>
        </w:tc>
        <w:tc>
          <w:tcPr>
            <w:tcW w:w="3865" w:type="dxa"/>
          </w:tcPr>
          <w:p w:rsidR="007F337E" w:rsidRPr="008F0DD3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REGISTRATION NUMBER</w:t>
            </w:r>
          </w:p>
        </w:tc>
      </w:tr>
      <w:tr w:rsidR="007F337E" w:rsidTr="00594F2E">
        <w:tc>
          <w:tcPr>
            <w:tcW w:w="576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7F337E" w:rsidTr="00594F2E">
        <w:tc>
          <w:tcPr>
            <w:tcW w:w="576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7F337E" w:rsidTr="00594F2E">
        <w:tc>
          <w:tcPr>
            <w:tcW w:w="576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7F337E" w:rsidTr="00594F2E">
        <w:tc>
          <w:tcPr>
            <w:tcW w:w="576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7F337E" w:rsidTr="00594F2E">
        <w:tc>
          <w:tcPr>
            <w:tcW w:w="576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</w:tbl>
    <w:p w:rsidR="007F337E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7F337E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7F337E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7F337E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7F337E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7F337E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7F337E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7F337E" w:rsidRPr="003E1868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QUESTION</w:t>
      </w:r>
      <w:r>
        <w:rPr>
          <w:rFonts w:ascii="Times New Roman" w:hAnsi="Times New Roman"/>
          <w:sz w:val="24"/>
          <w:szCs w:val="24"/>
        </w:rPr>
        <w:t>: The question may come here!</w:t>
      </w:r>
      <w:r>
        <w:rPr>
          <w:rFonts w:ascii="Times New Roman" w:hAnsi="Times New Roman"/>
          <w:sz w:val="24"/>
          <w:szCs w:val="24"/>
        </w:rPr>
        <w:tab/>
      </w:r>
    </w:p>
    <w:p w:rsidR="007F337E" w:rsidRPr="003E1868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7F337E" w:rsidRPr="00AE03BF" w:rsidRDefault="007F337E" w:rsidP="007F337E">
      <w:pPr>
        <w:pStyle w:val="ListParagraph"/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7F337E" w:rsidRDefault="007F337E" w:rsidP="007F337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F337E" w:rsidRDefault="007F337E" w:rsidP="007F337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F337E" w:rsidRPr="000518F9" w:rsidRDefault="00D91C49" w:rsidP="007F337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Your t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exts goes here!</w:t>
      </w:r>
    </w:p>
    <w:p w:rsidR="007F337E" w:rsidRPr="008A4ABA" w:rsidRDefault="007F337E" w:rsidP="007F337E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:rsidR="007F337E" w:rsidRPr="0069652C" w:rsidRDefault="007F337E" w:rsidP="007F337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7F337E" w:rsidRDefault="007F337E" w:rsidP="007F337E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7F337E" w:rsidRDefault="007F337E" w:rsidP="007F337E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7F337E" w:rsidRPr="008542AA" w:rsidRDefault="007F337E" w:rsidP="007F337E">
      <w:pPr>
        <w:spacing w:after="0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7F337E" w:rsidRDefault="007F337E" w:rsidP="007F337E">
      <w:pPr>
        <w:spacing w:after="12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7F337E" w:rsidRDefault="007F337E" w:rsidP="007F337E"/>
    <w:p w:rsidR="007F337E" w:rsidRDefault="007F337E" w:rsidP="007F337E"/>
    <w:p w:rsidR="007F337E" w:rsidRDefault="007F337E" w:rsidP="00DA6563">
      <w:pPr>
        <w:spacing w:after="160" w:line="259" w:lineRule="auto"/>
      </w:pPr>
      <w:r>
        <w:br w:type="page"/>
      </w:r>
    </w:p>
    <w:p w:rsidR="00DA6563" w:rsidRDefault="00DA6563" w:rsidP="00DA656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lastRenderedPageBreak/>
        <w:tab/>
      </w:r>
      <w:r>
        <w:tab/>
      </w:r>
      <w:r>
        <w:tab/>
      </w:r>
      <w:r>
        <w:tab/>
      </w:r>
      <w:r w:rsidR="00DB2617">
        <w:t xml:space="preserve">   </w:t>
      </w:r>
      <w:r>
        <w:rPr>
          <w:rFonts w:ascii="Times New Roman" w:hAnsi="Times New Roman"/>
          <w:b/>
          <w:sz w:val="24"/>
          <w:szCs w:val="24"/>
        </w:rPr>
        <w:t>REFERENCE</w:t>
      </w:r>
    </w:p>
    <w:p w:rsidR="00DA6563" w:rsidRPr="00DA6563" w:rsidRDefault="003C2BB6" w:rsidP="00DA65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(One author) =&gt; </w:t>
      </w:r>
      <w:r w:rsidR="00DA6563" w:rsidRPr="00DA6563">
        <w:rPr>
          <w:rFonts w:ascii="Times New Roman" w:eastAsiaTheme="minorHAnsi" w:hAnsi="Times New Roman"/>
          <w:sz w:val="24"/>
          <w:szCs w:val="24"/>
        </w:rPr>
        <w:t>Williams, J. H. (2008). Employee engagement: Improving participation in</w:t>
      </w:r>
    </w:p>
    <w:p w:rsidR="00DA6563" w:rsidRDefault="00DA6563" w:rsidP="00DA6563">
      <w:pPr>
        <w:spacing w:after="160" w:line="259" w:lineRule="auto"/>
        <w:rPr>
          <w:rFonts w:ascii="Times New Roman" w:eastAsiaTheme="minorHAnsi" w:hAnsi="Times New Roman"/>
          <w:sz w:val="24"/>
          <w:szCs w:val="24"/>
        </w:rPr>
      </w:pPr>
      <w:r w:rsidRPr="00DA6563">
        <w:rPr>
          <w:rFonts w:ascii="Times New Roman" w:eastAsiaTheme="minorHAnsi" w:hAnsi="Times New Roman"/>
          <w:sz w:val="24"/>
          <w:szCs w:val="24"/>
        </w:rPr>
        <w:t xml:space="preserve">safety. </w:t>
      </w:r>
      <w:r w:rsidRPr="00DA6563">
        <w:rPr>
          <w:rFonts w:ascii="Times New Roman" w:eastAsiaTheme="minorHAnsi" w:hAnsi="Times New Roman"/>
          <w:i/>
          <w:iCs/>
          <w:sz w:val="24"/>
          <w:szCs w:val="24"/>
        </w:rPr>
        <w:t>Professional Safety, 53</w:t>
      </w:r>
      <w:r w:rsidRPr="00DA6563">
        <w:rPr>
          <w:rFonts w:ascii="Times New Roman" w:eastAsiaTheme="minorHAnsi" w:hAnsi="Times New Roman"/>
          <w:sz w:val="24"/>
          <w:szCs w:val="24"/>
        </w:rPr>
        <w:t>(12), 40-45.</w:t>
      </w:r>
    </w:p>
    <w:p w:rsidR="00501D9C" w:rsidRPr="00501D9C" w:rsidRDefault="00501D9C" w:rsidP="00501D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(Two or more authors) =&gt; </w:t>
      </w:r>
      <w:r w:rsidRPr="00501D9C">
        <w:rPr>
          <w:rFonts w:ascii="Times New Roman" w:eastAsiaTheme="minorHAnsi" w:hAnsi="Times New Roman"/>
          <w:sz w:val="24"/>
          <w:szCs w:val="24"/>
        </w:rPr>
        <w:t>Keller, T. E., Cusick, G. R., &amp; Courtney</w:t>
      </w:r>
      <w:r>
        <w:rPr>
          <w:rFonts w:ascii="Times New Roman" w:eastAsiaTheme="minorHAnsi" w:hAnsi="Times New Roman"/>
          <w:sz w:val="24"/>
          <w:szCs w:val="24"/>
        </w:rPr>
        <w:t xml:space="preserve">, M. E. (2007). Approaching the </w:t>
      </w:r>
      <w:r w:rsidRPr="00501D9C">
        <w:rPr>
          <w:rFonts w:ascii="Times New Roman" w:eastAsiaTheme="minorHAnsi" w:hAnsi="Times New Roman"/>
          <w:sz w:val="24"/>
          <w:szCs w:val="24"/>
        </w:rPr>
        <w:t>transition to adulthood: Distinctiv</w:t>
      </w:r>
      <w:r>
        <w:rPr>
          <w:rFonts w:ascii="Times New Roman" w:eastAsiaTheme="minorHAnsi" w:hAnsi="Times New Roman"/>
          <w:sz w:val="24"/>
          <w:szCs w:val="24"/>
        </w:rPr>
        <w:t>e profiles of adolescent’s aging</w:t>
      </w:r>
      <w:r w:rsidRPr="00501D9C">
        <w:rPr>
          <w:rFonts w:ascii="Times New Roman" w:eastAsiaTheme="minorHAnsi" w:hAnsi="Times New Roman"/>
          <w:sz w:val="24"/>
          <w:szCs w:val="24"/>
        </w:rPr>
        <w:t xml:space="preserve"> out</w:t>
      </w:r>
      <w:r w:rsidRPr="00501D9C">
        <w:rPr>
          <w:rFonts w:ascii="Times New Roman" w:eastAsiaTheme="minorHAnsi" w:hAnsi="Times New Roman"/>
          <w:sz w:val="24"/>
          <w:szCs w:val="24"/>
        </w:rPr>
        <w:t xml:space="preserve"> of the child welfare system. </w:t>
      </w:r>
      <w:r w:rsidRPr="00501D9C">
        <w:rPr>
          <w:rFonts w:ascii="Times New Roman" w:eastAsiaTheme="minorHAnsi" w:hAnsi="Times New Roman"/>
          <w:i/>
          <w:iCs/>
          <w:sz w:val="24"/>
          <w:szCs w:val="24"/>
        </w:rPr>
        <w:t>Social Services Review, 81</w:t>
      </w:r>
      <w:r w:rsidRPr="00501D9C">
        <w:rPr>
          <w:rFonts w:ascii="Times New Roman" w:eastAsiaTheme="minorHAnsi" w:hAnsi="Times New Roman"/>
          <w:sz w:val="24"/>
          <w:szCs w:val="24"/>
        </w:rPr>
        <w:t>, 453-</w:t>
      </w:r>
    </w:p>
    <w:p w:rsidR="00501D9C" w:rsidRPr="00501D9C" w:rsidRDefault="00501D9C" w:rsidP="00501D9C">
      <w:pPr>
        <w:spacing w:after="160" w:line="259" w:lineRule="auto"/>
        <w:rPr>
          <w:rFonts w:ascii="Times New Roman" w:eastAsiaTheme="minorHAnsi" w:hAnsi="Times New Roman"/>
          <w:sz w:val="24"/>
          <w:szCs w:val="24"/>
        </w:rPr>
      </w:pPr>
      <w:r w:rsidRPr="00501D9C">
        <w:rPr>
          <w:rFonts w:ascii="Times New Roman" w:eastAsiaTheme="minorHAnsi" w:hAnsi="Times New Roman"/>
          <w:sz w:val="24"/>
          <w:szCs w:val="24"/>
        </w:rPr>
        <w:t>484.</w:t>
      </w:r>
    </w:p>
    <w:p w:rsidR="00064EF2" w:rsidRPr="00DA6563" w:rsidRDefault="00064EF2" w:rsidP="00DA656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:rsidR="007F337E" w:rsidRPr="008F445B" w:rsidRDefault="007F337E" w:rsidP="007F337E">
      <w:pPr>
        <w:rPr>
          <w:rFonts w:ascii="Times New Roman" w:hAnsi="Times New Roman"/>
          <w:sz w:val="24"/>
          <w:szCs w:val="24"/>
        </w:rPr>
      </w:pPr>
    </w:p>
    <w:p w:rsidR="007F337E" w:rsidRPr="00624D8E" w:rsidRDefault="007F337E" w:rsidP="007F337E"/>
    <w:p w:rsidR="007F337E" w:rsidRDefault="007F337E" w:rsidP="007F337E"/>
    <w:p w:rsidR="00FC5CE6" w:rsidRDefault="00D91C49"/>
    <w:sectPr w:rsidR="00FC5CE6" w:rsidSect="00122E6F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7E"/>
    <w:rsid w:val="00064EF2"/>
    <w:rsid w:val="003C2BB6"/>
    <w:rsid w:val="00501D9C"/>
    <w:rsid w:val="0050299F"/>
    <w:rsid w:val="007D66C9"/>
    <w:rsid w:val="007F337E"/>
    <w:rsid w:val="00D91C49"/>
    <w:rsid w:val="00DA6563"/>
    <w:rsid w:val="00D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5CC03-6BA2-44F5-9626-8792075B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37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37E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F337E"/>
    <w:pPr>
      <w:ind w:left="720"/>
      <w:contextualSpacing/>
    </w:pPr>
  </w:style>
  <w:style w:type="table" w:styleId="TableGrid">
    <w:name w:val="Table Grid"/>
    <w:basedOn w:val="TableNormal"/>
    <w:uiPriority w:val="39"/>
    <w:rsid w:val="007F3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2018-12-07T09:34:00Z</dcterms:created>
  <dcterms:modified xsi:type="dcterms:W3CDTF">2018-12-07T09:46:00Z</dcterms:modified>
</cp:coreProperties>
</file>