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both"/>
        <w:rPr>
          <w:rFonts w:ascii="Arial" w:hAnsi="Arial" w:cs="Arial"/>
          <w:color w:val="000000" w:themeColor="text1"/>
          <w:sz w:val="24"/>
          <w:szCs w:val="24"/>
        </w:rPr>
      </w:pPr>
    </w:p>
    <w:p>
      <w:pPr>
        <w:jc w:val="both"/>
        <w:rPr>
          <w:rFonts w:ascii="Arial" w:hAnsi="Arial" w:cs="Arial"/>
          <w:b/>
          <w:color w:val="000000" w:themeColor="text1"/>
          <w:sz w:val="24"/>
          <w:szCs w:val="24"/>
        </w:rPr>
      </w:pPr>
      <w:r>
        <w:rPr>
          <w:rFonts w:ascii="Arial" w:hAnsi="Arial" w:cs="Arial"/>
          <w:b/>
          <w:color w:val="000000" w:themeColor="text1"/>
          <w:sz w:val="24"/>
          <w:szCs w:val="24"/>
        </w:rPr>
        <w:t>TERMO DE REFERÊNCIA</w:t>
      </w:r>
    </w:p>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 Definição do objeto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1.1. Objeto principal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Contratação de empresa especializada para fornecimento de licença de uso temporário de plataforma SaaS — Software as a Service — de inteligência contábil e gestão fiscal, hospedada em nuvem, com acesso pela web e por aplicativo móvel integrado (Android/iOS), do Município de Minaçu/GO.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contemplar, de forma integrada, painéis analíticos executivos, gestão de entregas, obrigações e conformidade, acompanhamento de CAUC — Sistema de Informações sobre Requisitos Fiscais — e de processos do Tribunal de Contas dos Municípios do Estado de Goiás (TCM-GO), e mecanismos de integração, importação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compreende a disponibilização do ambiente, configuração inicial, implantação, importação ou integração de dados autorizados, capacitação, suporte técnico, manutenção corretiva e evolutiva, atualização de regras e layouts, segurança, backup, continuidade, disponibilização do aplicativo móvel integrado e exportação estruturada dos dados ao término da contratação, sem aquisição de licença perpétua ou transferência de propriedade do software.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1.2. Natureza e regime de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objeto caracteriza-se como serviço continuado de tecnologia da informação, remunerado mensalmente, com execução indireta e por preço global do conjunto integrado, observado o regime jurídico da Lei nº 14.133/2021 e a regulamentação municipal aplicável.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continuidade decorre da necessidade permanente de manter os painéis, integrações, bases, alertas, atualizações regulatórias, suporte, segurança e disponibilidade em funcionamento, caracterizando serviço de natureza continuada apto à contratação por prazo plurianual. A vigência inicial, as diretrizes da contratação plurianual, a prorrogação e o reajuste observarão o disposto nos subitens 7.2 e 7.4 deste Termo de Referência, dependendo, em qualquer caso, de previsão editalícia e contratual, de atesto da vantajosidade, de disponibilidade orçamentária e do atendimento dos demais requisitos legais.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1.3. Unidade de contratação e quantidade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em lote único, correspondente a 1 (uma) licença corporativa integrada, com 20 (vinte) usuários simultâneos incluídos, sem prejuízo da gestão de perfis e da criação de usuários nominais em quantidade superior, observado o limite de acessos simultâneos contratado, além de 1 (um) aplicativo móvel integrado à mesma base de dados, usuários, perfis e permissões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divisão descritiva da solução em núcleos funcionais não transforma o objeto em contratações independentes. Os módulos deverão operar sobre identidade, permissões, base de dados, integrações, trilhas de auditoria e política de segurança comuns.</w:t>
      </w:r>
    </w:p>
    <w:p>
      <w:pPr>
        <w:jc w:val="both"/>
        <w:rPr>
          <w:rFonts w:ascii="Arial" w:hAnsi="Arial" w:cs="Arial"/>
          <w:b/>
          <w:bCs/>
          <w:color w:val="000000" w:themeColor="text1"/>
          <w:sz w:val="24"/>
          <w:szCs w:val="24"/>
        </w:rPr>
      </w:pPr>
      <w:r>
        <w:rPr>
          <w:rFonts w:ascii="Arial" w:hAnsi="Arial" w:cs="Arial"/>
          <w:b/>
          <w:bCs/>
          <w:color w:val="000000" w:themeColor="text1"/>
          <w:sz w:val="24"/>
          <w:szCs w:val="24"/>
        </w:rPr>
        <w:t xml:space="preserve">1.4 Modalidade, forma, modo de disputa e critério de julgamento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mediante licitação, </w:t>
      </w:r>
      <w:r>
        <w:rPr>
          <w:rFonts w:ascii="Arial" w:hAnsi="Arial" w:cs="Arial"/>
          <w:b/>
          <w:color w:val="000000" w:themeColor="text1"/>
          <w:sz w:val="24"/>
          <w:szCs w:val="24"/>
        </w:rPr>
        <w:t xml:space="preserve">na modalidade pregão</w:t>
      </w:r>
      <w:r>
        <w:rPr>
          <w:rFonts w:ascii="Arial" w:hAnsi="Arial" w:cs="Arial"/>
          <w:color w:val="000000" w:themeColor="text1"/>
          <w:sz w:val="24"/>
          <w:szCs w:val="24"/>
        </w:rPr>
        <w:t xml:space="preserve">, </w:t>
      </w:r>
      <w:r>
        <w:rPr>
          <w:rFonts w:ascii="Arial" w:hAnsi="Arial" w:cs="Arial"/>
          <w:b/>
          <w:color w:val="000000" w:themeColor="text1"/>
          <w:sz w:val="24"/>
          <w:szCs w:val="24"/>
        </w:rPr>
        <w:t xml:space="preserve">sob a forma eletrônica</w:t>
      </w:r>
      <w:r>
        <w:rPr>
          <w:rFonts w:ascii="Arial" w:hAnsi="Arial" w:cs="Arial"/>
          <w:color w:val="000000" w:themeColor="text1"/>
          <w:sz w:val="24"/>
          <w:szCs w:val="24"/>
        </w:rPr>
        <w:t xml:space="preserve">, para contratação de serviço comum de tecnologia da informação, uma vez que os padrões de desempenho e qualidade do objeto podem ser objetivamente definidos por meio de especificações usuais de mercado.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critério de julgamento será o de menor preço, aferido pelo valor global do lote único, correspondente à execução integral do objeto, incluindo licença de uso, implantação, capacitação, suporte técnico, atualizações, aplicativo móvel, segurança, backup e exportação de dados, conforme as condições estabelecidas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modo de disputa será definido no edital, observada a regulamentação aplicável e a decisão motivada da autoridade competente.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Prova de Conceito será realizada somente pela licitante provisoriamente classificada em primeiro lugar, nos termos deste Termo de Referência e do edital, como mecanismo de verificação da conformidade técnica da solução ofertada, sem alteração do objeto ou criação de requisito não previsto.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2. Fundamentação e justificativa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presente contratação decorre da necessidade de aprimorar a capacidade da Administração Municipal de Minaçu/GO de transformar dados contábeis, orçamentários, financeiros e fiscais em informação gerencial confiável, tempestiva, integrada e útil à tomada de decisão.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Embora o Município de Minaçu disponha de sistema oficial responsável pelo registro e processamento das informações administrativas e contábeis — o SIAFIC municipal —, verifica-se que parcela relevante da análise gerencial ainda depende da consulta a relatórios individualizados, demonstrativos em PDF, planilhas paralelas e diferentes bases de informação. Para produzir uma visão consolidada da situação municipal, frequentemente são necessárias extrações, filtros, cruzamentos e tratamentos manuais realizados por servidores.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Esse modelo dificulta o acesso rápido à informação, aumenta o esforço operacional e reduz a capacidade da Administração de identificar tempestivamente situações que demandem atenção, como alterações relevantes no comportamento da receita e da despesa, aproximação de limites legais, obrigações pendentes, processos perante órgãos de controle e demais fatores capazes de afetar a gestão fiscal e administrativa.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desafio existente, portanto, não consiste na inexistência de dados, mas na dificuldade de integrá-los, interpretá-los e convertê-los, em tempo adequado, em informação útil para diferentes níveis de gestão. Demonstrativos e bases estruturadas, como a Declaração de Contas Anuais — DCA, o Relatório Resumido da Execução Orçamentária — RREO, o Relatório de Gestão Fiscal — RGF e a Matriz de Saldos Contábeis — MSC, constituem fontes primárias legítimas para a composição de indicadores gerenciais e painéis analíticos, permanecendo, quanto à sua conferência e validação técnica, sob responsabilidade da contabilidade, da controladoria e do SIAFIC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Paralelamente, gestores municipais necessitam de acesso mais simples e tempestivo às informações produzidas pela Administração. Prefeito, secretários, controladoria, contabilidade e demais unidades autorizadas possuem necessidades distintas de análise, tornando relevante a disponibilização de indicadores que permitam compreender não apenas valores isolados, mas também sua composição, evolução, tendência, comparação e impacto sobre a gestão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identificada alcança ainda o acompanhamento de obrigações administrativas e fiscais, da situação de adimplência perante o CAUC e de processos de prestação de contas perante o TCM-GO, informações que atualmente podem estar distribuídas em diferentes ambientes, dificultando uma visão consolidada das pendências e providências necessárias.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Diante desse diagnóstico, mostra-se necessária uma solução capaz de atuar como camada complementar de inteligência e gestão sobre as informações municipais, integrando painéis gerenciais, acompanhamento de obrigações e mecanismos de importação, integração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pretendida não deverá substituir o SIAFIC, sistemas estruturantes, profissionais de contabilidade, controladoria, assessorias técnicas ou agentes públicos competentes. Sua finalidade será organizar, relacionar, analisar e apresentar as informações existentes de forma mais eficiente, aumentando a capacidade de compreensão, prevenção e tomada de decisão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Nesse sentido, pretende-se substituir progressivamente um modelo caracterizado por informações fragmentadas e elevada dependência de procedimentos manuais por um ambiente integrado no qual os dados possam ser convertidos em informação gerencial rastreável, atualizada e acessível aos usuários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adoção de plataforma disponibilizada como Software as a Service — SaaS mostra-se adequada à necessidade identificada por possibilitar o acesso a solução já desenvolvida e operacional, com infraestrutura tecnológica, manutenção, atualizações, segurança, suporte e evolução incorporados à prestação do serviço, reduzindo a necessidade de estrutura própria para desenvolvimento e sustentação tecnológica.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integrada também permite que os diferentes componentes compartilhem a mesma estrutura de dados, usuários, permissões e rastreabilidade, evitando a criação de ambientes isolados e novas fragmentações da informação, com o aplicativo móvel operando sobre a mesma base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Espera-se, com a contratação, reduzir o intervalo entre a produção do dado e sua utilização na gestão, ampliar a capacidade de acompanhamento preventivo da Administração, reduzir atividades repetitivas de consolidação, melhorar a rastreabilidade das análises e proporcionar aos gestores instrumentos mais adequados para acompanhamento da realidade fiscal, orçamentária e financeira do Município.</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benefícios pretendidos são de natureza gerencial, operacional e institucional. A solução deverá fornecer instrumentos para que os agentes públicos possam tomar decisões mais bem informadas, porém não deverá ser apresentada como garantia de determinado resultado fiscal, aprovação de contas, classificação em ranking, obtenção de CAPAG específica ou decisão favorável de órgão de controle, uma vez que tais resultados dependem de múltiplos fatores externos à plataforma e das próprias providências adotadas pela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Dessa forma, a motivação da contratação está fundamentada na necessidade de fortalecer a governança da informação e a inteligência gerencial da Administração Municipal, utilizando tecnologia para ampliar a capacidade de análise, acompanhamento e decisão, preservando a responsabilidade humana e a competência dos sistemas e agentes oficialmente responsáveis pelos registros e atos administrativos.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3. Descrição da solução como um todo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funcionar como ecossistema integrado de leitura contábil e fiscal, análise gerencial, gestão de entregas e acompanhamento de processos. A arquitetura interna poderá ser definida pela contratada, desde que produza os resultados e controles exigidos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conjunto mínimo deverá conter os seguintes componentes:</w:t>
      </w:r>
    </w:p>
    <w:tbl>
      <w:tblPr>
        <w:tblStyle w:val="TabeladeGradeClara"/>
        <w:tblW w:w="0" w:type="auto"/>
        <w:tblInd w:w="250" w:type="dxa"/>
        <w:tblLook w:val="04A0" w:firstRow="1" w:lastRow="0" w:firstColumn="1" w:lastColumn="0" w:noHBand="0" w:noVBand="1"/>
      </w:tblPr>
      <w:tblGrid>
        <w:gridCol w:w="1493"/>
        <w:gridCol w:w="7856"/>
      </w:tblGrid>
      <w:tr>
        <w:trPr>
          <w:tblHeader w:val="true"/>
        </w:trPr>
        <w:tc>
          <w:tcPr>
            <w:tcW w:w="149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85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Finalidade contratual</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Plataforma web</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aos painéis, obrigações, CAUC, processos do TCM-GO, alertas e administração de usuários e permissões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 segura e integrada a painéis, alertas, obrigações, CAUC e processos, refletindo a mesma base e as mesmas permissões da plataforma web</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Base de dados e integrações</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Recepção, processamento e rastreabilidade de balancetes, demonstrativos e fontes autorizadas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Camada analítica</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Dashboards, indicadores, comparações, filtros, séries históricas, relatórios e exportações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Gestão de conformidade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Obrigações, prazos, responsáveis, evidências, CAUC, TCM-GO e demais fontes autorizadas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Segurança e continuidade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Perfis, permissões, logs, trilhas de auditoria, criptografia, backup, suporte e reversibilidade</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identificar a origem e a data de atualização das informações. Quando uma informação tiver sido lançada manualmente, deverá ser exibida como tal. Quando houver defasagem na fonte ou falha de integração, o sistema deverá mostrar o status correspondente e não poderá apresentar a informação como atualizada em tempo real.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DCA, RREO, RGF e MSC poderão ser utilizados como fontes de dados para composição de painéis e indicadores, não constituindo o objeto desta contratação a criação de módulo autônomo de validação, conferência ou cruzamento preventivo desses demonstrativos, tarefa que permanece sob responsabilidade da contabilidade, da controladoria e do SIAFIC municipal.</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4. Requisitos gerais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atender aos requisitos funcionais, técnicos, de segurança, desempenho e governança descritos nesta seção. Os requisitos foram numerados individualmente para permitir a elaboração de </w:t>
      </w:r>
      <w:r>
        <w:rPr>
          <w:rFonts w:ascii="Arial" w:hAnsi="Arial" w:cs="Arial"/>
          <w:b/>
          <w:color w:val="000000" w:themeColor="text1"/>
          <w:sz w:val="24"/>
          <w:szCs w:val="24"/>
        </w:rPr>
        <w:t xml:space="preserve">matriz de conformidade</w:t>
      </w:r>
      <w:r>
        <w:rPr>
          <w:rFonts w:ascii="Arial" w:hAnsi="Arial" w:cs="Arial"/>
          <w:color w:val="000000" w:themeColor="text1"/>
          <w:sz w:val="24"/>
          <w:szCs w:val="24"/>
        </w:rPr>
        <w:t xml:space="preserve">, na qual a licitante deverá declarar, item a item, o atendimento pleno, o atendimento parcial — com descrição objetiva da limitação — ou o não atendimento. Salvo indicação expressa em contrário, todos os requisitos são obrigatórios.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comprovação do atendimento ocorrerá por declaração técnica, documentação, demonstração na Prova de Conceito, testes de aceite, relatórios de operação ou combinação desses meios, conforme o requisito e o edital. A declaração da licitante não substitui a comprovação quando o requisito for definido como essencial ou eliminatório.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5. Requisitos da plataforma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5.1. Requisitos gerais da plataforma</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5.1.1. Modelo de fornecimento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5.1.1.1.</w:t>
      </w:r>
      <w:r>
        <w:rPr>
          <w:rFonts w:ascii="Arial" w:hAnsi="Arial" w:cs="Arial"/>
          <w:color w:val="000000" w:themeColor="text1"/>
          <w:sz w:val="24"/>
          <w:szCs w:val="24"/>
        </w:rPr>
        <w:t xml:space="preserve"> A solução deverá ser disponibilizada na modalidade </w:t>
      </w:r>
      <w:r>
        <w:rPr>
          <w:rFonts w:ascii="Arial" w:hAnsi="Arial" w:cs="Arial"/>
          <w:b/>
          <w:color w:val="000000" w:themeColor="text1"/>
          <w:sz w:val="24"/>
          <w:szCs w:val="24"/>
        </w:rPr>
        <w:t xml:space="preserve">SaaS — Software as a Service</w:t>
      </w:r>
      <w:r>
        <w:rPr>
          <w:rFonts w:ascii="Arial" w:hAnsi="Arial" w:cs="Arial"/>
          <w:color w:val="000000" w:themeColor="text1"/>
          <w:sz w:val="24"/>
          <w:szCs w:val="24"/>
        </w:rPr>
        <w:t xml:space="preserve">, hospedada em infraestrutura de nuvem sob responsabilidade da contratada, sem necessidade de instalação de servidores, bancos de dados ou componentes permanentes nas dependências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5.1.1.2.</w:t>
      </w:r>
      <w:r>
        <w:rPr>
          <w:rFonts w:ascii="Arial" w:hAnsi="Arial" w:cs="Arial"/>
          <w:color w:val="000000" w:themeColor="text1"/>
          <w:sz w:val="24"/>
          <w:szCs w:val="24"/>
        </w:rPr>
        <w:t xml:space="preserve"> O acesso à plataforma web deverá ocorrer por navegadores atualizados, abrangendo, no mínimo, as duas últimas versões estáveis dos navegadores Google Chrome, Microsoft Edge e Mozilla Firefox, sem exigência de plugins, applets ou extensões adicionais para as funções ordinárias.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5.1.1.3.</w:t>
      </w:r>
      <w:r>
        <w:rPr>
          <w:rFonts w:ascii="Arial" w:hAnsi="Arial" w:cs="Arial"/>
          <w:color w:val="000000" w:themeColor="text1"/>
          <w:sz w:val="24"/>
          <w:szCs w:val="24"/>
        </w:rPr>
        <w:t xml:space="preserve"> A interface deverá ser responsiva e adaptar-se a desktop, notebook e tablet, sem prejuízo do aplicativo móvel previsto na seção 5.6.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5.1.1.4.</w:t>
      </w:r>
      <w:r>
        <w:rPr>
          <w:rFonts w:ascii="Arial" w:hAnsi="Arial" w:cs="Arial"/>
          <w:color w:val="000000" w:themeColor="text1"/>
          <w:sz w:val="24"/>
          <w:szCs w:val="24"/>
        </w:rPr>
        <w:t xml:space="preserve"> O fornecimento deverá incluir, sem cobrança adicional fora do preço contratado, suporte técnico, manutenção corretiva, manutenção evolutiva e adaptativa, atualizações de versão, correções de segurança e atualizações decorrentes de alteração de legislação, manuais, layouts e regras públicas aplicáveis ao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5.1.2. Controle de acesso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5.1.2.1.</w:t>
      </w:r>
      <w:r>
        <w:rPr>
          <w:rFonts w:ascii="Arial" w:hAnsi="Arial" w:cs="Arial"/>
          <w:color w:val="000000" w:themeColor="text1"/>
          <w:sz w:val="24"/>
          <w:szCs w:val="24"/>
        </w:rPr>
        <w:t xml:space="preserve"> O controle de acesso deverá utilizar perfis e permissões configuráveis por módulo, tela, operação e escopo.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5.1.2.2.</w:t>
      </w:r>
      <w:r>
        <w:rPr>
          <w:rFonts w:ascii="Arial" w:hAnsi="Arial" w:cs="Arial"/>
          <w:color w:val="000000" w:themeColor="text1"/>
          <w:sz w:val="24"/>
          <w:szCs w:val="24"/>
        </w:rPr>
        <w:t xml:space="preserve"> Todo novo módulo, tela ou relatório incorporado à plataforma deverá estar integrado ao sistema de permissões, sendo vedada a existência de funcionalidade fora do controle de perfis.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5.1.2.3.</w:t>
      </w:r>
      <w:r>
        <w:rPr>
          <w:rFonts w:ascii="Arial" w:hAnsi="Arial" w:cs="Arial"/>
          <w:color w:val="000000" w:themeColor="text1"/>
          <w:sz w:val="24"/>
          <w:szCs w:val="24"/>
        </w:rPr>
        <w:t xml:space="preserve"> Cada usuário deverá possuir credencial individual e intransferível, sendo vedado o uso de contas compartilhadas ou genéricas.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5.1.2.4.</w:t>
      </w:r>
      <w:r>
        <w:rPr>
          <w:rFonts w:ascii="Arial" w:hAnsi="Arial" w:cs="Arial"/>
          <w:color w:val="000000" w:themeColor="text1"/>
          <w:sz w:val="24"/>
          <w:szCs w:val="24"/>
        </w:rPr>
        <w:t xml:space="preserve"> A plataforma deverá registrar criação, alteração, bloqueio, revogação e último acesso dos usuários, bem como as ações administrativas relevantes.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5.1.3. Parametrização e contexto de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5.1.3.1.</w:t>
      </w:r>
      <w:r>
        <w:rPr>
          <w:rFonts w:ascii="Arial" w:hAnsi="Arial" w:cs="Arial"/>
          <w:color w:val="000000" w:themeColor="text1"/>
          <w:sz w:val="24"/>
          <w:szCs w:val="24"/>
        </w:rPr>
        <w:t xml:space="preserve"> A plataforma deverá permitir configurar ou selecionar, conforme o módulo, exercício financeiro, órgão, unidade orçamentária ou gestora, fonte de recurso, período de referência e perfil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5.1.3.2.</w:t>
      </w:r>
      <w:r>
        <w:rPr>
          <w:rFonts w:ascii="Arial" w:hAnsi="Arial" w:cs="Arial"/>
          <w:color w:val="000000" w:themeColor="text1"/>
          <w:sz w:val="24"/>
          <w:szCs w:val="24"/>
        </w:rPr>
        <w:t xml:space="preserve"> O sistema deverá suportar períodos mensal, bimestral, quadrimestral, semestral e anual quando compatíveis com o demonstrativo ou com a base de dados consultada.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5.1.3.3.</w:t>
      </w:r>
      <w:r>
        <w:rPr>
          <w:rFonts w:ascii="Arial" w:hAnsi="Arial" w:cs="Arial"/>
          <w:color w:val="000000" w:themeColor="text1"/>
          <w:sz w:val="24"/>
          <w:szCs w:val="24"/>
        </w:rPr>
        <w:t xml:space="preserve"> Para cada base carregada — balancetes, demonstrativos, cadastros e integrações — a plataforma deverá registrar e exibir data e hora da última atualização, método de obtenção e status do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5.1.4. Transparência sobre a origem da informação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5.1.4.1.</w:t>
      </w:r>
      <w:r>
        <w:rPr>
          <w:rFonts w:ascii="Arial" w:hAnsi="Arial" w:cs="Arial"/>
          <w:color w:val="000000" w:themeColor="text1"/>
          <w:sz w:val="24"/>
          <w:szCs w:val="24"/>
        </w:rPr>
        <w:t xml:space="preserve"> A plataforma deverá distinguir, em linguagem clara, se a informação exibida foi: importada de arquivo fornecido pela Administração; calculada pela plataforma; sincronizada ou atualizada por integração com fonte externa; informada manualmente por usuário identificado; ou marcada como pendente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5.1.4.2.</w:t>
      </w:r>
      <w:r>
        <w:rPr>
          <w:rFonts w:ascii="Arial" w:hAnsi="Arial" w:cs="Arial"/>
          <w:color w:val="000000" w:themeColor="text1"/>
          <w:sz w:val="24"/>
          <w:szCs w:val="24"/>
        </w:rPr>
        <w:t xml:space="preserve"> Sempre que exibir valor calculado, a plataforma deverá disponibilizar memória de cálculo ou, no mínimo, fórmula, premissas, período, bases utilizadas e dados de origem.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5.1.4.3.</w:t>
      </w:r>
      <w:r>
        <w:rPr>
          <w:rFonts w:ascii="Arial" w:hAnsi="Arial" w:cs="Arial"/>
          <w:color w:val="000000" w:themeColor="text1"/>
          <w:sz w:val="24"/>
          <w:szCs w:val="24"/>
        </w:rPr>
        <w:t xml:space="preserve"> A informação obtida por fonte externa deverá indicar a data da consulta ou sincronização. A plataforma não poderá apresentar como informação em tempo real dado cuja fonte esteja indisponível, desatualizada ou sujeita a defasagem, especialmente no caso do CAUC.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5.1.5. Recursos padrão dos painéis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5.1.5.1.</w:t>
      </w:r>
      <w:r>
        <w:rPr>
          <w:rFonts w:ascii="Arial" w:hAnsi="Arial" w:cs="Arial"/>
          <w:color w:val="000000" w:themeColor="text1"/>
          <w:sz w:val="24"/>
          <w:szCs w:val="24"/>
        </w:rPr>
        <w:t xml:space="preserve"> Todos os painéis analíticos deverão oferecer, conforme pertinência do conteúdo, filtros por exercício, período, órgão, unidade, fonte de recurso e demais dimensões; comparação entre exercícios; séries históricas; evolução temporal; variação absoluta e percentual; exportação de relatórios em PDF; impressão adequada; e identificação da fonte e da data/hora da extração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5.1.5.2.</w:t>
      </w:r>
      <w:r>
        <w:rPr>
          <w:rFonts w:ascii="Arial" w:hAnsi="Arial" w:cs="Arial"/>
          <w:color w:val="000000" w:themeColor="text1"/>
          <w:sz w:val="24"/>
          <w:szCs w:val="24"/>
        </w:rPr>
        <w:t xml:space="preserve"> Os painéis deverão permitir detalhamento progressivo — drill-down — partindo do valor consolidado até o registro analítico de origem, sempre que a granularidade dos dados importados permitir.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5.1.5.3.</w:t>
      </w:r>
      <w:r>
        <w:rPr>
          <w:rFonts w:ascii="Arial" w:hAnsi="Arial" w:cs="Arial"/>
          <w:color w:val="000000" w:themeColor="text1"/>
          <w:sz w:val="24"/>
          <w:szCs w:val="24"/>
        </w:rPr>
        <w:t xml:space="preserve"> Tabelas com grande volume deverão possuir paginação, ordenação e processamento compatíveis com bases extensas, sem exigir o carregamento integral de todos os registros no dispositivo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5.1.5.4.</w:t>
      </w:r>
      <w:r>
        <w:rPr>
          <w:rFonts w:ascii="Arial" w:hAnsi="Arial" w:cs="Arial"/>
          <w:color w:val="000000" w:themeColor="text1"/>
          <w:sz w:val="24"/>
          <w:szCs w:val="24"/>
        </w:rPr>
        <w:t xml:space="preserve"> As exportações deverão respeitar as permissões do usuário e conservar, no próprio arquivo ou em metadados associados, a fonte, o período, a data-base e o usuário que realizou a operação.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5.2. Módulo de painéis analíticos executivos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5.2.1. Escopo mínimo de visões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5.2.1.1.</w:t>
      </w:r>
      <w:r>
        <w:rPr>
          <w:rFonts w:ascii="Arial" w:hAnsi="Arial" w:cs="Arial"/>
          <w:color w:val="000000" w:themeColor="text1"/>
          <w:sz w:val="24"/>
          <w:szCs w:val="24"/>
        </w:rPr>
        <w:t xml:space="preserve"> O módulo deverá contemplar, no mínimo, os grupos de painéis a seguir:</w:t>
      </w:r>
    </w:p>
    <w:tbl>
      <w:tblPr>
        <w:tblStyle w:val="TabeladeGradeClara"/>
        <w:tblW w:w="0" w:type="auto"/>
        <w:tblInd w:w="250" w:type="dxa"/>
        <w:tblLook w:val="04A0" w:firstRow="1" w:lastRow="0" w:firstColumn="1" w:lastColumn="0" w:noHBand="0" w:noVBand="1"/>
      </w:tblPr>
      <w:tblGrid>
        <w:gridCol w:w="1426"/>
        <w:gridCol w:w="7923"/>
      </w:tblGrid>
      <w:tr>
        <w:trPr>
          <w:tblHeader w:val="true"/>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792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Conteúdo mínimo esperado</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Receita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Visão geral de receita prevista e arrecadada; receitas próprias tributárias e demais; transferências correntes, com destaque para FPM, ICMS, IPVA, FUNDEB e demais repasses relevantes; análise por fonte; receitas vinculadas à educação e à saúde; RCL com memória de apuração; e consulta detalhada até o nível de desdobramento disponível.</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Análises por GND, órgão, unidade, função, subfunção, programa, elemento, subelemento, fonte e credor/fornecedor; estágios empenhado, liquidado e pago; saldos a liquidar e a pagar; e detalhamento por empenho quando a base permitir.</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Despesas críticas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de combustíveis, diárias, obras e serviços de engenharia, folha de pagamento e encargos sociais; rankings de fornecedores ou empenhos; e séries comparativas, quando houver base suficiente.</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Caixa e patrimônio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Disponibilidades financeiras; saldos bancários por conta e fonte; disponibilidade líquida; retenções e consignações; dívida consolidada e líquida; restos a pagar processados e não processados por exercício de inscrição.</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Relações institucionais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Duodécimo repassado ao Poder Legislativo, com indicação do parâmetro constitucional aplicável; transferências financeiras concedidas e recebidas; obrigações previdenciárias INSS/RPPS, quando a base permitir; e demais indicadores institucionais disponíveis.</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Indicadores legais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Despesa com pessoal/LRF sobre a RCL, por Poder/órgão, com limites de alerta, prudencial e máximo; aplicação em ASPS (Saúde); aplicação em MDE e FUNDEB (Educação); e demais indicadores definidos neste TR conforme a fonte e a legislação vigente, apurados a partir de DCA, RREO, RGF e MSC como fontes de dados.</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Apresentação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Visões sintéticas para reuniões gerenciais, audiências públicas e conselhos de Saúde, Educação e FUNDEB, sem eliminar a consulta detalhada autorizada.</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5.2.1.2.</w:t>
      </w:r>
      <w:r>
        <w:rPr>
          <w:rFonts w:ascii="Arial" w:hAnsi="Arial" w:cs="Arial"/>
          <w:color w:val="000000" w:themeColor="text1"/>
          <w:sz w:val="24"/>
          <w:szCs w:val="24"/>
        </w:rPr>
        <w:t xml:space="preserve"> Os grupos constituem conteúdo mínimo. Painéis adicionais poderão ser ofertados, desde que respeitem os requisitos de origem, memória de cálculo, permissões, exportação e rastreabilidade.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5.2.1.3.</w:t>
      </w:r>
      <w:r>
        <w:rPr>
          <w:rFonts w:ascii="Arial" w:hAnsi="Arial" w:cs="Arial"/>
          <w:color w:val="000000" w:themeColor="text1"/>
          <w:sz w:val="24"/>
          <w:szCs w:val="24"/>
        </w:rPr>
        <w:t xml:space="preserve"> Além dos grupos previstos no subitem 5.2.1.1, o módulo deverá disponibilizar, no mínimo, as seguintes visões, com memória de cálculo, premissas, período de referência e identificação da origem dos dados: resultado orçamentário geral e por fonte de recurso; projeção gerencial do resultado orçamentário, identificada como estimativa e acompanhada das premissas adotadas; controle das alterações orçamentárias, abrangendo créditos adicionais, anulações, suplementações, remanejamentos, transposições e transferências, com saldo autorizado e execução correspondente; relação entre a Dívida Consolidada e a Receita Corrente Líquida — DC/RCL; disponibilidade de caixa líquida por fonte; controle de retenções e consignações; transferências financeiras concedidas e recebidas; e repasse do duodécimo ao Poder Legislativo, sempre que os dados importados permitirem a apuração.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5.2.2. Comportamento analítico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5.2.2.1.</w:t>
      </w:r>
      <w:r>
        <w:rPr>
          <w:rFonts w:ascii="Arial" w:hAnsi="Arial" w:cs="Arial"/>
          <w:color w:val="000000" w:themeColor="text1"/>
          <w:sz w:val="24"/>
          <w:szCs w:val="24"/>
        </w:rPr>
        <w:t xml:space="preserve"> Os painéis deverão apresentar indicadores (KPIs) em destaque, gráficos de evolução e composição, tabelas detalhadas, ordenação por coluna e paginação quando o volume de registros exigir.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5.2.2.2.</w:t>
      </w:r>
      <w:r>
        <w:rPr>
          <w:rFonts w:ascii="Arial" w:hAnsi="Arial" w:cs="Arial"/>
          <w:color w:val="000000" w:themeColor="text1"/>
          <w:sz w:val="24"/>
          <w:szCs w:val="24"/>
        </w:rPr>
        <w:t xml:space="preserve"> O usuário deverá conseguir comparar exercícios e períodos, identificar variações relevantes e acessar o detalhamento que compõe o resultado, sem que o painel oculte registros excluídos, pendentes ou rejeitados no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5.2.3. Transparência metodológica dos indicadores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5.2.3.1.</w:t>
      </w:r>
      <w:r>
        <w:rPr>
          <w:rFonts w:ascii="Arial" w:hAnsi="Arial" w:cs="Arial"/>
          <w:color w:val="000000" w:themeColor="text1"/>
          <w:sz w:val="24"/>
          <w:szCs w:val="24"/>
        </w:rPr>
        <w:t xml:space="preserve"> Para cada indicador legal ou gerencial, a plataforma deverá informar fórmula, premissas, bases de incidência, deduções, exclusões, origem, período de referência e fundamentação normativa quando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5.2.3.2.</w:t>
      </w:r>
      <w:r>
        <w:rPr>
          <w:rFonts w:ascii="Arial" w:hAnsi="Arial" w:cs="Arial"/>
          <w:color w:val="000000" w:themeColor="text1"/>
          <w:sz w:val="24"/>
          <w:szCs w:val="24"/>
        </w:rPr>
        <w:t xml:space="preserve"> Quando o indicador depender de classificação, vinculação ou tratamento que não possa ser confirmado automaticamente, como marcação de despesa ASPS/MDE ou vinculação de fonte, o painel deverá apresentar ressalva explícita e permitir consulta aos dados de origem.</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5.3. Módulo de entregas, obrigações e conformidade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5.3.1. Agenda de obrigações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5.3.1.1.</w:t>
      </w:r>
      <w:r>
        <w:rPr>
          <w:rFonts w:ascii="Arial" w:hAnsi="Arial" w:cs="Arial"/>
          <w:color w:val="000000" w:themeColor="text1"/>
          <w:sz w:val="24"/>
          <w:szCs w:val="24"/>
        </w:rPr>
        <w:t xml:space="preserve"> O módulo deverá permitir cadastrar obrigação, órgão destinatário, periodicidade, fundamentação, prazo, responsável, status, alertas, notificações e evidências de cumprimento, incluindo protocolos e recibos.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5.3.1.2.</w:t>
      </w:r>
      <w:r>
        <w:rPr>
          <w:rFonts w:ascii="Arial" w:hAnsi="Arial" w:cs="Arial"/>
          <w:color w:val="000000" w:themeColor="text1"/>
          <w:sz w:val="24"/>
          <w:szCs w:val="24"/>
        </w:rPr>
        <w:t xml:space="preserve"> Deverá contemplar, conforme disponibilidade, autorização e estabilidade técnica das fontes, o acompanhamento de obrigações perante órgãos externos quando tecnicamente possível.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5.3.1.3.</w:t>
      </w:r>
      <w:r>
        <w:rPr>
          <w:rFonts w:ascii="Arial" w:hAnsi="Arial" w:cs="Arial"/>
          <w:color w:val="000000" w:themeColor="text1"/>
          <w:sz w:val="24"/>
          <w:szCs w:val="24"/>
        </w:rPr>
        <w:t xml:space="preserve"> O status deverá diferenciar, no mínimo, pendente, em andamento, entregue, entregue com atraso, dispensada, rejeitada, aguardando documento e aguardando validação.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5.3.2. CAUC — Sistema de Informações sobre Requisitos Fiscais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5.3.2.1.</w:t>
      </w:r>
      <w:r>
        <w:rPr>
          <w:rFonts w:ascii="Arial" w:hAnsi="Arial" w:cs="Arial"/>
          <w:color w:val="000000" w:themeColor="text1"/>
          <w:sz w:val="24"/>
          <w:szCs w:val="24"/>
        </w:rPr>
        <w:t xml:space="preserve"> Quando houver acesso à fonte, a plataforma deverá exibir a situação de adimplência do Município, pendências identificadas, grupos de conformidade, histórico de consultas e data da última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5.3.2.2.</w:t>
      </w:r>
      <w:r>
        <w:rPr>
          <w:rFonts w:ascii="Arial" w:hAnsi="Arial" w:cs="Arial"/>
          <w:color w:val="000000" w:themeColor="text1"/>
          <w:sz w:val="24"/>
          <w:szCs w:val="24"/>
        </w:rPr>
        <w:t xml:space="preserve"> A plataforma deverá indicar expressamente eventual indisponibilidade ou defasagem da fonte oficial, de modo a não apresentar informação desatualizada como se fosse consulta em tempo real, e não poderá garantir regularidade, desbloqueio de transferência ou ausência de restrição sem confirmação oficial.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5.3.3. Acompanhamento de processos do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5.3.3.1.</w:t>
      </w:r>
      <w:r>
        <w:rPr>
          <w:rFonts w:ascii="Arial" w:hAnsi="Arial" w:cs="Arial"/>
          <w:color w:val="000000" w:themeColor="text1"/>
          <w:sz w:val="24"/>
          <w:szCs w:val="24"/>
        </w:rPr>
        <w:t xml:space="preserve"> O módulo deverá permitir cadastro ou importação de número de processo, órgão, exercício, unidade responsável, assunto, fase, situação, prazos, diligências, julgamento ou decisão, documentos vinculados e providências pendentes, com os respectivos alertas.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5.3.3.2.</w:t>
      </w:r>
      <w:r>
        <w:rPr>
          <w:rFonts w:ascii="Arial" w:hAnsi="Arial" w:cs="Arial"/>
          <w:color w:val="000000" w:themeColor="text1"/>
          <w:sz w:val="24"/>
          <w:szCs w:val="24"/>
        </w:rPr>
        <w:t xml:space="preserve"> O sistema deverá diferenciar informação publicada pela fonte oficial; importada de arquivo ou integração; lançada manualmente por usuário identificado; e aguardando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5.3.3.3.</w:t>
      </w:r>
      <w:r>
        <w:rPr>
          <w:rFonts w:ascii="Arial" w:hAnsi="Arial" w:cs="Arial"/>
          <w:color w:val="000000" w:themeColor="text1"/>
          <w:sz w:val="24"/>
          <w:szCs w:val="24"/>
        </w:rPr>
        <w:t xml:space="preserve"> Deverá permitir consulta consolidada por exercício, órgão, fase e existência de providência pendente, com alertas de prazos de diligência.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5.4. Aplicativo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5.4.1.</w:t>
      </w:r>
      <w:r>
        <w:rPr>
          <w:rFonts w:ascii="Arial" w:hAnsi="Arial" w:cs="Arial"/>
          <w:color w:val="000000" w:themeColor="text1"/>
          <w:sz w:val="24"/>
          <w:szCs w:val="24"/>
        </w:rPr>
        <w:t xml:space="preserve"> A contratada deverá disponibilizar aplicativo móvel integrado à mesma base da plataforma web, sem replicação manual, refletindo os mesmos dados, cálculos, permissões e atualizações, com as adaptações próprias do dispositivo. O aplicativo e o sistema web constituem uma única solução SaaS, e não sistemas independentes.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5.4.2.</w:t>
      </w:r>
      <w:r>
        <w:rPr>
          <w:rFonts w:ascii="Arial" w:hAnsi="Arial" w:cs="Arial"/>
          <w:color w:val="000000" w:themeColor="text1"/>
          <w:sz w:val="24"/>
          <w:szCs w:val="24"/>
        </w:rPr>
        <w:t xml:space="preserve"> O aplicativo deverá utilizar autenticação segura e o mesmo controle de perfis da plataforma web. O usuário somente visualizará módulos e informações autorizados ao seu perfil.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5.4.3.</w:t>
      </w:r>
      <w:r>
        <w:rPr>
          <w:rFonts w:ascii="Arial" w:hAnsi="Arial" w:cs="Arial"/>
          <w:color w:val="000000" w:themeColor="text1"/>
          <w:sz w:val="24"/>
          <w:szCs w:val="24"/>
        </w:rPr>
        <w:t xml:space="preserve"> O aplicativo deverá permitir, conforme o perfil do usuário, consulta a dashboard, painéis de receita e despesa, caixa e disponibilidades, indicadores legais, obrigações, CAUC, processos do TCM-GO e alertas, observadas as limitações próprias de dispositivos móveis.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5.4.4.</w:t>
      </w:r>
      <w:r>
        <w:rPr>
          <w:rFonts w:ascii="Arial" w:hAnsi="Arial" w:cs="Arial"/>
          <w:color w:val="000000" w:themeColor="text1"/>
          <w:sz w:val="24"/>
          <w:szCs w:val="24"/>
        </w:rPr>
        <w:t xml:space="preserve"> O aplicativo deverá estar disponível para Android e iOS, por loja oficial ou distribuição corporativa aceita pela Administração, sendo responsabilidade da contratada publicar, atualizar, manter e informar a versão.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5.5. Integrações, importação e rastreabilidade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5.5.1. Formatos e fontes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5.5.1.1.</w:t>
      </w:r>
      <w:r>
        <w:rPr>
          <w:rFonts w:ascii="Arial" w:hAnsi="Arial" w:cs="Arial"/>
          <w:color w:val="000000" w:themeColor="text1"/>
          <w:sz w:val="24"/>
          <w:szCs w:val="24"/>
        </w:rPr>
        <w:t xml:space="preserve"> A solução deverá aceitar balancetes e demais arquivos disponibilizados pela Administração, em formatos e layouts compatíveis com o SIAFIC municipal e com os padrões utilizados pelo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5.5.1.2.</w:t>
      </w:r>
      <w:r>
        <w:rPr>
          <w:rFonts w:ascii="Arial" w:hAnsi="Arial" w:cs="Arial"/>
          <w:color w:val="000000" w:themeColor="text1"/>
          <w:sz w:val="24"/>
          <w:szCs w:val="24"/>
        </w:rPr>
        <w:t xml:space="preserve"> Integrações via API com sistemas oficiais somente serão exigidas quando houver interface oficial, autorização, estabilidade e disponibilidade técnica. A proposta deverá declarar as dependências e os fluxos alternativos quando a API estiver indisponível.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5.5.2. Registro de cada importação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5.5.2.1.</w:t>
      </w:r>
      <w:r>
        <w:rPr>
          <w:rFonts w:ascii="Arial" w:hAnsi="Arial" w:cs="Arial"/>
          <w:color w:val="000000" w:themeColor="text1"/>
          <w:sz w:val="24"/>
          <w:szCs w:val="24"/>
        </w:rPr>
        <w:t xml:space="preserve"> Cada importação ou sincronização deverá registrar e exibir arquivos, linhas ou registros processados; aceitos; rejeitados; ignorados; pendentes; mensagens de erro; data/hora; usuário ou processo automático; origem; e versão do layout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5.5.2.2.</w:t>
      </w:r>
      <w:r>
        <w:rPr>
          <w:rFonts w:ascii="Arial" w:hAnsi="Arial" w:cs="Arial"/>
          <w:color w:val="000000" w:themeColor="text1"/>
          <w:sz w:val="24"/>
          <w:szCs w:val="24"/>
        </w:rPr>
        <w:t xml:space="preserve"> Reimportações de períodos já carregados deverão exigir confirmação explícita antes de substituir dados existentes, sendo vedada duplicação silenciosa ou substituição sem confirmação.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5.5.3. Rastreabilidade e auditoria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5.5.3.1.</w:t>
      </w:r>
      <w:r>
        <w:rPr>
          <w:rFonts w:ascii="Arial" w:hAnsi="Arial" w:cs="Arial"/>
          <w:color w:val="000000" w:themeColor="text1"/>
          <w:sz w:val="24"/>
          <w:szCs w:val="24"/>
        </w:rPr>
        <w:t xml:space="preserve"> A plataforma deverá manter vínculo entre qualquer informação exibida e o lote de dados que a originou, permitindo identificar arquivo ou fonte, data, usuário e versão.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5.5.3.2.</w:t>
      </w:r>
      <w:r>
        <w:rPr>
          <w:rFonts w:ascii="Arial" w:hAnsi="Arial" w:cs="Arial"/>
          <w:color w:val="000000" w:themeColor="text1"/>
          <w:sz w:val="24"/>
          <w:szCs w:val="24"/>
        </w:rPr>
        <w:t xml:space="preserve"> Deverá ser possível reprocessar lotes de forma controlada, sem perda do histórico anterior, registrando quem executou, quando e qual versão do processamento foi aplicada.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5.5.3.3.</w:t>
      </w:r>
      <w:r>
        <w:rPr>
          <w:rFonts w:ascii="Arial" w:hAnsi="Arial" w:cs="Arial"/>
          <w:color w:val="000000" w:themeColor="text1"/>
          <w:sz w:val="24"/>
          <w:szCs w:val="24"/>
        </w:rPr>
        <w:t xml:space="preserve"> Os registros de importação e processamento deverão ser mantidos, no mínimo, durante a vigência contratual, sem prejuízo de prazo maior definido na política de retenção ou em obrigação legal.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5.6. Segurança, privacidade e continuidade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requisitos a seguir não constituem módulo comercial autônomo, mas condição transversal aplicável a toda a plataforma, web e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5.6.1.</w:t>
      </w:r>
      <w:r>
        <w:rPr>
          <w:rFonts w:ascii="Arial" w:hAnsi="Arial" w:cs="Arial"/>
          <w:color w:val="000000" w:themeColor="text1"/>
          <w:sz w:val="24"/>
          <w:szCs w:val="24"/>
        </w:rPr>
        <w:t xml:space="preserve"> Todas as comunicações externas entre usuários, aplicações, APIs e serviços disponibilizados pela solução deverão suportar conexão segura por HTTPS.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5.6.2.</w:t>
      </w:r>
      <w:r>
        <w:rPr>
          <w:rFonts w:ascii="Arial" w:hAnsi="Arial" w:cs="Arial"/>
          <w:color w:val="000000" w:themeColor="text1"/>
          <w:sz w:val="24"/>
          <w:szCs w:val="24"/>
        </w:rPr>
        <w:t xml:space="preserve"> O tratamento de dados deverá observar a Lei Geral de Proteção de Dados (LGPD), com finalidade limitada à execução do objeto, controles de acesso, minimização, segurança e responsabilização.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5.6.3.</w:t>
      </w:r>
      <w:r>
        <w:rPr>
          <w:rFonts w:ascii="Arial" w:hAnsi="Arial" w:cs="Arial"/>
          <w:color w:val="000000" w:themeColor="text1"/>
          <w:sz w:val="24"/>
          <w:szCs w:val="24"/>
        </w:rPr>
        <w:t xml:space="preserve"> A contratada deverá atuar como operadora dos dados sob controle da Administração, ressalvadas as hipóteses em que o contrato estabeleça distribuição distinta de papéis, responsabilidades e bases legais.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5.6.4.</w:t>
      </w:r>
      <w:r>
        <w:rPr>
          <w:rFonts w:ascii="Arial" w:hAnsi="Arial" w:cs="Arial"/>
          <w:color w:val="000000" w:themeColor="text1"/>
          <w:sz w:val="24"/>
          <w:szCs w:val="24"/>
        </w:rPr>
        <w:t xml:space="preserve"> É vedado utilizar dados do Município para finalidade diversa da execução do objeto, inclusive compartilhamento, comercialização ou criação de produto de terceiros, sem autorização expressa e base jurídica adequada.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5.6.5.</w:t>
      </w:r>
      <w:r>
        <w:rPr>
          <w:rFonts w:ascii="Arial" w:hAnsi="Arial" w:cs="Arial"/>
          <w:color w:val="000000" w:themeColor="text1"/>
          <w:sz w:val="24"/>
          <w:szCs w:val="24"/>
        </w:rPr>
        <w:t xml:space="preserve"> Incidentes que possam acarretar risco ou dano deverão ser comunicados à Administração em até 24 horas da ciência, com descrição do ocorrido, dados afetados, medidas de contenção, responsável e plano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5.6.6.</w:t>
      </w:r>
      <w:r>
        <w:rPr>
          <w:rFonts w:ascii="Arial" w:hAnsi="Arial" w:cs="Arial"/>
          <w:color w:val="000000" w:themeColor="text1"/>
          <w:sz w:val="24"/>
          <w:szCs w:val="24"/>
        </w:rPr>
        <w:t xml:space="preserve"> A solução deverá oferecer disponibilidade mensal mínima de referência de 99,5%, apurada por mês civil, excluídas janelas programadas comunicadas com antecedência mínima de 48 horas, preferencialmente fora do horário comercial, e eventos devidamente comprovados conforme o contrato.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5.6.7.</w:t>
      </w:r>
      <w:r>
        <w:rPr>
          <w:rFonts w:ascii="Arial" w:hAnsi="Arial" w:cs="Arial"/>
          <w:color w:val="000000" w:themeColor="text1"/>
          <w:sz w:val="24"/>
          <w:szCs w:val="24"/>
        </w:rPr>
        <w:t xml:space="preserve"> A plataforma deverá garantir autenticação segura; usuários individuais e intransferíveis; perfis e permissões configuráveis; controle de acesso baseado no princípio do menor privilégio; segregação de acesso por perfil, órgão e unidade; logs e trilhas de auditoria; rastreabilidade das ações realizadas na plataforma; criptografia em trânsito e em repouso; rotinas de backup e mecanismos de continuidade e recuperação; gestão de vulnerabilidades; exportação estruturada dos dados municipais; reversibilidade ao término da contratação; e suporte técnico e manutenção com níveis mínimos de atendimento.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6. Níveis de serviço e desempenho mínimo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6.1. Disponibilidade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plataforma web e os serviços essenciais deverão alcançar disponibilidade mensal mínima de </w:t>
      </w:r>
      <w:r>
        <w:rPr>
          <w:rFonts w:ascii="Arial" w:hAnsi="Arial" w:cs="Arial"/>
          <w:b/>
          <w:color w:val="000000" w:themeColor="text1"/>
          <w:sz w:val="24"/>
          <w:szCs w:val="24"/>
        </w:rPr>
        <w:t xml:space="preserve">99,5%</w:t>
      </w:r>
      <w:r>
        <w:rPr>
          <w:rFonts w:ascii="Arial" w:hAnsi="Arial" w:cs="Arial"/>
          <w:color w:val="000000" w:themeColor="text1"/>
          <w:sz w:val="24"/>
          <w:szCs w:val="24"/>
        </w:rPr>
        <w:t xml:space="preserve">, excluídas janelas de manutenção programada previamente comunicadas, indisponibilidades decorrentes de fato exclusivamente imputável ao Município, força maior comprovada ou indisponibilidade de fonte externa, desde que a contratada mantenha o serviço interno e comunique a ocorrência.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apuração deverá utilizar a seguinte fórmula:</w:t>
      </w:r>
    </w:p>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 mensal (%) = [minutos totais do período − minutos de indisponibilidade imputável à contratada] ÷ minutos totais do período × 100.</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fornecer relatório mensal com período de medição, incidentes, início, fim, causa, impacto, exclusões e cálculo do indicador.</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6.2. Suporte e incidentes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suporte deverá ser prestado em horário comercial por canal de atendimento. Mensagens instantâneas poderão ser usadas como canal complementar, mas não substituirão o registro formal.</w:t>
      </w:r>
    </w:p>
    <w:tbl>
      <w:tblPr>
        <w:tblStyle w:val="TabeladeGradeClara"/>
        <w:tblW w:w="0" w:type="auto"/>
        <w:tblInd w:w="250" w:type="dxa"/>
        <w:tblLook w:val="04A0" w:firstRow="1" w:lastRow="0" w:firstColumn="1" w:lastColumn="0" w:noHBand="0" w:noVBand="1"/>
      </w:tblPr>
      <w:tblGrid>
        <w:gridCol w:w="721"/>
        <w:gridCol w:w="4008"/>
        <w:gridCol w:w="1169"/>
        <w:gridCol w:w="3451"/>
      </w:tblGrid>
      <w:tr>
        <w:trPr>
          <w:tblHeader w:val="true"/>
        </w:trPr>
        <w:tc>
          <w:tcPr>
            <w:tcW w:w="72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Severidade</w:t>
            </w:r>
          </w:p>
        </w:tc>
        <w:tc>
          <w:tcPr>
            <w:tcW w:w="4008"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Exemplo</w:t>
            </w:r>
          </w:p>
        </w:tc>
        <w:tc>
          <w:tcPr>
            <w:tcW w:w="116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Início do atendimento</w:t>
            </w:r>
          </w:p>
        </w:tc>
        <w:tc>
          <w:tcPr>
            <w:tcW w:w="345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Meta de encaminhamento</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Crítica/P1</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geral, incidente de segurança ou perda de acesso amplo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4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contingência no mesmo dia e atualização periódica</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Alta/P2</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em módulo essencial que afeta grupo relevante</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8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ou contorno em até 2 dias úteis, conforme complexidade</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Média/P3</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parcial com alternativa de uso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1 dia útil</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em até 5 dias úteis ou justificativa</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Baixa/P4</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Dúvida, ajuste visual ou melhoria não crítica</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2 dias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Tratamento conforme planejamento e comunicação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Os prazos poderão ser detalhados no contrato, desde que não reduzam os níveis mínimos acima sem justificativa formal e aprovação da Administração.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6.3. Atualizações regulatórias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manter as funcionalidades, regras, integrações e layouts contratados compatíveis com alterações públicas de fontes e normas abrangidas pelo objeto, sem cobrança adicional de manutenção evolutiva ordinária. A atualização deverá ser comunicada, versionada e, quando possível, disponibilizada em ambiente de homologação antes da produção.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7. Quantidade, prazo e quadro de itens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7.1. Quantitativo</w:t>
      </w:r>
    </w:p>
    <w:tbl>
      <w:tblPr>
        <w:tblStyle w:val="TabeladeGradeClara"/>
        <w:tblW w:w="0" w:type="auto"/>
        <w:tblInd w:w="250" w:type="dxa"/>
        <w:tblLook w:val="04A0" w:firstRow="1" w:lastRow="0" w:firstColumn="1" w:lastColumn="0" w:noHBand="0" w:noVBand="1"/>
      </w:tblPr>
      <w:tblGrid>
        <w:gridCol w:w="1092"/>
        <w:gridCol w:w="6071"/>
        <w:gridCol w:w="1092"/>
        <w:gridCol w:w="1092"/>
      </w:tblGrid>
      <w:tr>
        <w:trPr>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Item</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Descrição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Unidade</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Quantidade</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1</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corporativa integrada da plataforma SaaS de inteligência contábil e gestão fiscal — compreendendo painéis analíticos executivos, entregas/obrigações/conformidade, CAUC, processos do TCM-GO, integrações/importação/rastreabilidade e aplicativo móvel integrado —, incluindo implantação, capacitação, suporte, atualizações, segurança, backup e continuidade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Mês</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36</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7.1.1.</w:t>
      </w:r>
      <w:r>
        <w:rPr>
          <w:rFonts w:ascii="Arial" w:hAnsi="Arial" w:cs="Arial"/>
          <w:color w:val="000000" w:themeColor="text1"/>
          <w:sz w:val="24"/>
          <w:szCs w:val="24"/>
        </w:rPr>
        <w:t xml:space="preserve"> Os quantitativos de referência — 1 (uma) licença corporativa, 20 (vinte) usuários simultâneos e 1 (um) aplicativo móvel integrado — são os mesmos definidos no Estudo Técnico Preliminar, não havendo divergência entre os documentos quanto a esses parâmetros.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7.1.2.</w:t>
      </w:r>
      <w:r>
        <w:rPr>
          <w:rFonts w:ascii="Arial" w:hAnsi="Arial" w:cs="Arial"/>
          <w:color w:val="000000" w:themeColor="text1"/>
          <w:sz w:val="24"/>
          <w:szCs w:val="24"/>
        </w:rPr>
        <w:t xml:space="preserve"> [INFORMAÇÃO A PREENCHER] — preço unitário do usuário simultâneo adicional, quando aplicável, a ser definido a partir da pesquisa de preços.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7.2.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vigência inicial do contrato será de 36 (trinta e seis) meses, contados da assinatura ou da data de início definida no instrumento contratual, com fundamento no art. 106 da Lei nº 14.133/2021, que autoriza a celebração de contratos de serviços e fornecimentos contínuos com prazo de até 5 (cinco) anos, hipótese expressamente aplicável, por força do § 2º do mesmo artigo, à utilização de programas de informática.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plurianual observará as diretrizes do art. 106 da Lei nº 14.133/2021: (i) atestação, pela autoridade competente, da maior vantagem econômica decorrente do prazo plurianual; (ii) atestação, no início da contratação e a cada exercício financeiro, da existência de créditos orçamentários vinculados à contratação e da vantagem em sua manutenção; e (iii) faculdade de a Administração extinguir o contrato, sem ônus, quando não dispuser de créditos orçamentários para sua continuidade ou quando entender que o contrato não mais lhe oferece vantagem, hipótese em que a extinção ocorrerá na próxima data de aniversário do contrato, observada a antecedência mínima de 2 (dois) meses prevista no § 1º.</w:t>
      </w:r>
    </w:p>
    <w:p>
      <w:pPr>
        <w:jc w:val="both"/>
        <w:rPr>
          <w:rFonts w:ascii="Arial" w:hAnsi="Arial" w:cs="Arial"/>
          <w:color w:val="000000" w:themeColor="text1"/>
          <w:sz w:val="24"/>
          <w:szCs w:val="24"/>
        </w:rPr>
      </w:pPr>
      <w:r>
        <w:rPr>
          <w:rFonts w:ascii="Arial" w:hAnsi="Arial" w:cs="Arial"/>
          <w:color w:val="000000" w:themeColor="text1"/>
          <w:sz w:val="24"/>
          <w:szCs w:val="24"/>
        </w:rPr>
        <w:t xml:space="preserve">Por ultrapassar o exercício financeiro, a contratação observará o art. 105 da Lei nº 14.133/2021, exigindo-se previsão no plano plurianual e demonstração da disponibilidade de créditos orçamentários no momento da contratação e a cada exercício.</w:t>
      </w:r>
    </w:p>
    <w:p>
      <w:pPr>
        <w:jc w:val="both"/>
        <w:rPr>
          <w:rFonts w:ascii="Arial" w:hAnsi="Arial" w:cs="Arial"/>
          <w:color w:val="000000" w:themeColor="text1"/>
          <w:sz w:val="24"/>
          <w:szCs w:val="24"/>
        </w:rPr>
      </w:pPr>
      <w:r>
        <w:rPr>
          <w:rFonts w:ascii="Arial" w:hAnsi="Arial" w:cs="Arial"/>
          <w:color w:val="000000" w:themeColor="text1"/>
          <w:sz w:val="24"/>
          <w:szCs w:val="24"/>
        </w:rPr>
        <w:t xml:space="preserve">Encerrada a vigência inicial, o contrato poderá ser </w:t>
      </w:r>
      <w:r>
        <w:rPr>
          <w:rFonts w:ascii="Arial" w:hAnsi="Arial" w:cs="Arial"/>
          <w:b/>
          <w:color w:val="000000" w:themeColor="text1"/>
          <w:sz w:val="24"/>
          <w:szCs w:val="24"/>
        </w:rPr>
        <w:t xml:space="preserve">prorrogado sucessivamente, respeitada a vigência máxima decenal</w:t>
      </w:r>
      <w:r>
        <w:rPr>
          <w:rFonts w:ascii="Arial" w:hAnsi="Arial" w:cs="Arial"/>
          <w:color w:val="000000" w:themeColor="text1"/>
          <w:sz w:val="24"/>
          <w:szCs w:val="24"/>
        </w:rPr>
        <w:t xml:space="preserve"> prevista no art. 107 da Lei nº 14.133/2021, desde que haja previsão no edital e no contrato e que a autoridade competente ateste que as condições e os preços permanecem vantajosos, permitida a negociação com o contratado ou a extinção contratual sem ônus.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7.3. Implantação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implantação deverá ser concluída em até 10 dias corridos contados da ordem de serviço e do fornecimento, pelo Município, dos acessos e arquivos necessários. O prazo deverá contemplar, no mínimo, mobilização, parametrização, criação de usuários, importação inicial, testes, capacitação, homologação e entrada em produção.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contagem do prazo será suspensa, mediante comunicação formal e tempestiva da contratada, enquanto pendente o fornecimento, pelo Município, dos dados, arquivos, acessos ou informações necessários à execução das etapas, retomando-se a contagem a partir da regularização da pendência. A suspensão deverá ser registrada pelo gestor do contrato e afasta a incidência de multa moratória no período correspondente.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7.4. Reajuste, revisão e alterações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preços serão fixos e irreajustáveis pelo período de 12 (doze) meses, contado da data do orçamento estimado da contratação. Decorrido esse interregno, os valores poderão ser reajustados pela variação acumulada do IPCA/IBGE ou de outro índice setorial expressamente definido no edital, observado o intervalo mínimo de 12 (doze) meses entre reajustes, nos termos do art. 25, § 7º, da Lei nº 14.133/2021. A previsão de índice e de data-base é obrigatória em razão da duração plurianual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reajuste não se confunde com a revisão destinada ao restabelecimento do equilíbrio econômico-financeiro, cabível na hipótese do art. 124, II, "d", da Lei nº 14.133/2021, que dependerá de requerimento instruído com demonstração analítica do fato superveniente, imprevisível ou de consequências incalculáveis, e de decisão fundamentada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Eventual acréscimo de usuários simultâneos ou de funcionalidades não previstas neste Termo de Referência dependerá de termo aditivo, pesquisa de preços, disponibilidade orçamentária e observância dos limites dos arts. 124 a 126 da Lei nº 14.133/2021, vedada a alteração do objeto por simples atualização de versão da plataforma.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8. Prova de Conceito — POC</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8.1. Finalidade e natureza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8.1.1.</w:t>
      </w:r>
      <w:r>
        <w:rPr>
          <w:rFonts w:ascii="Arial" w:hAnsi="Arial" w:cs="Arial"/>
          <w:color w:val="000000" w:themeColor="text1"/>
          <w:sz w:val="24"/>
          <w:szCs w:val="24"/>
        </w:rPr>
        <w:t xml:space="preserve"> A Prova de Conceito — POC — será utilizada como critério de aceitabilidade técnica da proposta, destinada a comprovar, na prática e em sessão pública de demonstração, que a solução ofertada atende aos requisitos essenciais deste Termo de Referência, mediante funcionalidades já existentes, operacionais e disponíveis na plataforma apresentada.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8.1.2.</w:t>
      </w:r>
      <w:r>
        <w:rPr>
          <w:rFonts w:ascii="Arial" w:hAnsi="Arial" w:cs="Arial"/>
          <w:color w:val="000000" w:themeColor="text1"/>
          <w:sz w:val="24"/>
          <w:szCs w:val="24"/>
        </w:rPr>
        <w:t xml:space="preserve"> A POC terá caráter eliminatório, não constituindo etapa de pontuação, classificação ou negociação técnica. A licitante será considerada aprovada ou reprovada conforme os critérios objetivos estabelecidos neste item.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8.1.3.</w:t>
      </w:r>
      <w:r>
        <w:rPr>
          <w:rFonts w:ascii="Arial" w:hAnsi="Arial" w:cs="Arial"/>
          <w:color w:val="000000" w:themeColor="text1"/>
          <w:sz w:val="24"/>
          <w:szCs w:val="24"/>
        </w:rPr>
        <w:t xml:space="preserve"> A POC não será utilizada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instrumento para solicitar desenvolvimento sob encomenda durante a licitação;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meio de exigir demonstração de característica, integração, layout, parametrização ou requisito não previsto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mecanismo para avaliar preferência estética, opinião subjetiva ou estilo de apresentação sem correspondência com requisito funcional, técnico ou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substituição da análise de habilitação, proposta comercial ou documentos exigidos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8.1.4.</w:t>
      </w:r>
      <w:r>
        <w:rPr>
          <w:rFonts w:ascii="Arial" w:hAnsi="Arial" w:cs="Arial"/>
          <w:color w:val="000000" w:themeColor="text1"/>
          <w:sz w:val="24"/>
          <w:szCs w:val="24"/>
        </w:rPr>
        <w:t xml:space="preserve"> Todos os testes do roteiro da POC deverão corresponder a requisitos previstos na seção 5 deste Termo de Referência, com indicação expressa do requisito de referência na matriz de avaliação.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8.1.5.</w:t>
      </w:r>
      <w:r>
        <w:rPr>
          <w:rFonts w:ascii="Arial" w:hAnsi="Arial" w:cs="Arial"/>
          <w:color w:val="000000" w:themeColor="text1"/>
          <w:sz w:val="24"/>
          <w:szCs w:val="24"/>
        </w:rPr>
        <w:t xml:space="preserve"> A POC deverá avaliar o funcionamento real da solução, e não apenas a existência de telas ou declarações comerciais. A demonstração deverá permitir que a comissão observe entrada de dados, processamento, resultado, permissões, origem, rastreabilidade, exportação e registros de auditoria, conforme o teste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8.1.6.</w:t>
      </w:r>
      <w:r>
        <w:rPr>
          <w:rFonts w:ascii="Arial" w:hAnsi="Arial" w:cs="Arial"/>
          <w:color w:val="000000" w:themeColor="text1"/>
          <w:sz w:val="24"/>
          <w:szCs w:val="24"/>
        </w:rPr>
        <w:t xml:space="preserve"> Testes que dependam de fonte externa que possa estar indisponível — em especial CAUC e processos do TCM-GO — poderão ser demonstrados com dados controlados, simulados ou previamente sincronizados, representativos das funcionalidades exigidas, cabendo à licitante informar a data da última atualização e a limitação decorrente de eventual indisponibilidade da fonte, sem que essa circunstância, por si só, prejudique a avaliação.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8.2. Convocação, prazo e participantes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8.2.1.</w:t>
      </w:r>
      <w:r>
        <w:rPr>
          <w:rFonts w:ascii="Arial" w:hAnsi="Arial" w:cs="Arial"/>
          <w:color w:val="000000" w:themeColor="text1"/>
          <w:sz w:val="24"/>
          <w:szCs w:val="24"/>
        </w:rPr>
        <w:t xml:space="preserve"> A licitante provisoriamente classificada em primeiro lugar, após a análise da proposta, será convocada para realizar a POC, presencialmente ou por videoconferência, a critério da Administração e conforme as regras do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8.2.2.</w:t>
      </w:r>
      <w:r>
        <w:rPr>
          <w:rFonts w:ascii="Arial" w:hAnsi="Arial" w:cs="Arial"/>
          <w:color w:val="000000" w:themeColor="text1"/>
          <w:sz w:val="24"/>
          <w:szCs w:val="24"/>
        </w:rPr>
        <w:t xml:space="preserve"> A licitante terá o prazo de até 5 (cinco) dias úteis, contados da convocação, para preparar e realizar a demonstração, salvo prazo diverso expressamente previsto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8.2.3.</w:t>
      </w:r>
      <w:r>
        <w:rPr>
          <w:rFonts w:ascii="Arial" w:hAnsi="Arial" w:cs="Arial"/>
          <w:color w:val="000000" w:themeColor="text1"/>
          <w:sz w:val="24"/>
          <w:szCs w:val="24"/>
        </w:rPr>
        <w:t xml:space="preserve"> A convocação deverá informar, no mínimo: a) o roteiro completo dos testes; b) a duração prevista e a possibilidade de divisão em sessões; c) o local ou a plataforma de videoconferência; d) os dados e arquivos de teste; e) os integrantes da comissão avaliadora; f) a forma de registro da sessão; g) os critérios de aprovação, reprovação e tratamento de falhas; h) os prazos para divulgação do resultado e eventual recurso, conforme 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8.2.4.</w:t>
      </w:r>
      <w:r>
        <w:rPr>
          <w:rFonts w:ascii="Arial" w:hAnsi="Arial" w:cs="Arial"/>
          <w:color w:val="000000" w:themeColor="text1"/>
          <w:sz w:val="24"/>
          <w:szCs w:val="24"/>
        </w:rPr>
        <w:t xml:space="preserve"> A licitante deverá indicar previamente os representantes que conduzirão a demonstração, sendo admitida a participação de equipe técnica suficiente para operar os módulos, desde que identificada e submetida às regras da sessão.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8.2.5.</w:t>
      </w:r>
      <w:r>
        <w:rPr>
          <w:rFonts w:ascii="Arial" w:hAnsi="Arial" w:cs="Arial"/>
          <w:color w:val="000000" w:themeColor="text1"/>
          <w:sz w:val="24"/>
          <w:szCs w:val="24"/>
        </w:rPr>
        <w:t xml:space="preserve"> A comissão avaliadora deverá ser composta por servidores ou agentes formalmente designados, com conhecimento compatível com os requisitos funcionais, contábeis, tecnológicos e de segurança a serem avaliados.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8.3. Condições de realização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8.3.1. Ambiente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deverá ocorrer em ambiente de nuvem da própria licitante ou em ambiente de homologação funcionalmente equivalente, acessado por navegador e operado ao vivo pelos representantes da licitante.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É vedada a apresentação baseada exclusivamente em slides, vídeos gravados, imagens, protótipos de tela, telas estáticas ou simulações que não correspondam ao sistema em funcionamento. Poderá ser utilizado material introdutório de apoio, limitado a 15 minutos, sem substituição da demonstração prática.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informar eventuais limitações temporárias do ambiente, dependências de fonte externa, dados previamente sincronizados, componentes em modo de demonstração ou funcionalidades configuradas especificamente para a POC.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8.3.2. Dados e arquivos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Serão utilizados dados fictícios, anonimizados ou expressamente autorizados pela Administração, incluindo: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arquivo ou conjunto de arquivos de movimento contábil/orçamentário em layout compatível com o SIAFIC municipal ou formato estruturado equivalente, contendo registros válidos e registros propositalmente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documento de teste simulando obrigação, prazo ou diligência de órgão externo, contendo itens, prazo e ao menos uma informação ausente ou que exija conferência;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dados simulados representativos de situação de adimplência no CAUC (pendências, grupos de conformidade e histórico) e de processo do TCM-GO (número, fase, situação, prazos e providências), utilizáveis quando o acesso em tempo real à fonte oficial não estiver disponível para fins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usuários e perfis de teste com permissões diferentes, inclusive perfil com acesso restrito a determinado órgão, unidade ou área.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8.3.2.1.</w:t>
      </w:r>
      <w:r>
        <w:rPr>
          <w:rFonts w:ascii="Arial" w:hAnsi="Arial" w:cs="Arial"/>
          <w:color w:val="000000" w:themeColor="text1"/>
          <w:sz w:val="24"/>
          <w:szCs w:val="24"/>
        </w:rPr>
        <w:t xml:space="preserve"> Os arquivos de teste deverão ser disponibilizados à licitante juntamente com a convocação, para carga prévia no ambiente de demonstração.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8.3.2.2.</w:t>
      </w:r>
      <w:r>
        <w:rPr>
          <w:rFonts w:ascii="Arial" w:hAnsi="Arial" w:cs="Arial"/>
          <w:color w:val="000000" w:themeColor="text1"/>
          <w:sz w:val="24"/>
          <w:szCs w:val="24"/>
        </w:rPr>
        <w:t xml:space="preserve"> A comissão poderá apresentar, durante a sessão, variação dos mesmos arquivos, com valores ou registros distintos e mantendo o mesmo layout, para confirmar que o processamento é real e não pré-fabricado.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8.3.2.3.</w:t>
      </w:r>
      <w:r>
        <w:rPr>
          <w:rFonts w:ascii="Arial" w:hAnsi="Arial" w:cs="Arial"/>
          <w:color w:val="000000" w:themeColor="text1"/>
          <w:sz w:val="24"/>
          <w:szCs w:val="24"/>
        </w:rPr>
        <w:t xml:space="preserve"> A licitante não poderá exigir credenciais pessoais de servidores do Município ou acesso a sistemas oficiais, como TCM-GO ou CAUC, sem autorização expressa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8.3.2.4.</w:t>
      </w:r>
      <w:r>
        <w:rPr>
          <w:rFonts w:ascii="Arial" w:hAnsi="Arial" w:cs="Arial"/>
          <w:color w:val="000000" w:themeColor="text1"/>
          <w:sz w:val="24"/>
          <w:szCs w:val="24"/>
        </w:rPr>
        <w:t xml:space="preserve"> Testes que dependam de fonte externa poderão ser realizados com dados previamente sincronizados ou arquivos fornecidos pela Administração, devendo a licitante informar a data da última atualização e a limitação decorrente da indisponibilidade da fonte.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8.3.2.5.</w:t>
      </w:r>
      <w:r>
        <w:rPr>
          <w:rFonts w:ascii="Arial" w:hAnsi="Arial" w:cs="Arial"/>
          <w:color w:val="000000" w:themeColor="text1"/>
          <w:sz w:val="24"/>
          <w:szCs w:val="24"/>
        </w:rPr>
        <w:t xml:space="preserve"> Os dados de teste deverão ser utilizados exclusivamente para a POC, não podendo ser incorporados a bases comerciais ou produtos de terceiros.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8.3.3. Condução da sessão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será conduzida pelos representantes da licitante, que deverão operar o sistema ao vivo. A comissão poderá solicitar repetição de passos, alteração de filtros, consulta a registros, execução de variações razoáveis, demonstração de permissões, reprocessamento controlado e exportação, desde que dentro do escopo do roteiro.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não poderá solicitar desenvolvimento, alteração estrutural da solução ou customização substancial durante a sessão. Poderá, entretanto, solicitar configuração ordinária, seleção de parâmetros, criação de usuário, carregamento de arquivos e execução de funções já existentes e previstas no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8.3.4. Duração e sessões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POC terá duração estimada de até 5 (cinco) horas ou conforme justificativa registrada pela comissão.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poderá estabelecer intervalos, ordem dos testes e distribuição entre sessões, desde que preserve o roteiro, a isonomia e a possibilidade de acompanhamento pela licitante.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8.4. Roteiro mínimo de testes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8.4.1. Quadro geral</w:t>
      </w:r>
    </w:p>
    <w:tbl>
      <w:tblPr>
        <w:tblStyle w:val="TabeladeGradeClara"/>
        <w:tblW w:w="0" w:type="auto"/>
        <w:tblInd w:w="250" w:type="dxa"/>
        <w:tblLook w:val="04A0" w:firstRow="1" w:lastRow="0" w:firstColumn="1" w:lastColumn="0" w:noHBand="0" w:noVBand="1"/>
      </w:tblPr>
      <w:tblGrid>
        <w:gridCol w:w="1092"/>
        <w:gridCol w:w="1092"/>
        <w:gridCol w:w="6071"/>
        <w:gridCol w:w="1092"/>
      </w:tblGrid>
      <w:tr>
        <w:trPr>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Código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Teste essencial</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Requisito de referência</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POC-01</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e permissões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usuário, aplicar perfil, demonstrar bloqueio de acesso não autorizado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POC-02</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analíticos e controles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Demonstrar resultados, indicadores, projeções, controles orçamentários/financeiros, filtros, drill-down, origem, data-base e exportação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5.1.4, 5.1.5 e 5.2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POC-03</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Importação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Processar arquivo com registros válidos e inválidos, exibir resumo e demonstrar reimportação controlada</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5.5</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POC-04</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Entregas, obrigações e CAUC</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obrigação com prazo, responsável, alerta e evidência; demonstrar acompanhamento da situação de adimplência no CAUC, com indicação de data da consulta e de eventual defasagem da fonte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5.3.1 e 5.3.2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POC-05</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Processos TCM-GO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Cadastrar processo, diligência, prazo, documento e providência, com distinção de origem da informação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5.3.3</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POC-06</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Consultar painéis, indicadores e alertas, com as mesmas permissões da web</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5.4</w:t>
            </w:r>
          </w:p>
        </w:tc>
      </w:tr>
    </w:tbl>
    <w:p>
      <w:pPr>
        <w:jc w:val="both"/>
        <w:rPr>
          <w:rFonts w:ascii="Arial" w:hAnsi="Arial" w:cs="Arial"/>
          <w:color w:val="000000" w:themeColor="text1"/>
          <w:sz w:val="24"/>
          <w:szCs w:val="24"/>
        </w:rPr>
      </w:pP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8.4.2. POC-01 — Acesso e permissões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ao vivo: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criar usuário de teste e vinculá-lo a perfil restrito e a órgão ou unidade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realizar login e demonstrar que módulos não autorizados não são exibidos na navegação;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que tentativa de acesso direto a funcionalidade não autorizada, por URL ou requisição equivalente, é bloqueada pelo servidor, e não apenas ocultada na interface;</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 usuário não visualiza dados de órgão ou unidade não autorizados ao seu perfil;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alterar uma permissão do perfil e demonstrar o reflexo no acesso do usuário.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bloqueio comprovado na interface e na camada de servidor e segregação efetiva por órgão e unidade.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8.4.3. POC-02 — Painéis analíticos, resultados e controles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demonstrar, com os dados de teste carregados, os painéis, resultados e controles abaixo, observando a origem, a data-base, as fórmulas, as premissas, as ressalvas e a possibilidade de detalhamento até os registros de origem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Receita: visão geral da receita prevista e arrecadada, receitas próprias, transferências correntes e análise por fonte de recurso;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Despesa: despesa por órgão, unidade, função, programa, elemento, fornecedor e estágios empenhado, liquidado e pago;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Resultado orçamentário: geral e por fonte de recurso, demonstrando receitas, despesas, superávit ou déficit e memória de cálculo;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Receita Corrente Líquida — RCL: cálculo, composição, memória de apuração, período de referência e bases utilizadas;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Índice de despesa com pessoal: percentual sobre a RCL, com indicação do Poder/órgão, limites de alerta, prudencial e máximo, premissas e ressalvas;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Educação: aplicação em MDE e FUNDEB, com indicação da base de cálculo, percentual apurado, parâmetro de referência e dados que compõem o resultado;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Saúde: aplicação em ASPS, com indicação da base de cálculo, percentual apurado, parâmetro de referência e dados considerados;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Endividamento: Dívida Consolidada em relação à RCL — DC/RCL —, com memória de cálculo, período e composição dos valores;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i) Disponibilidade de caixa líquida: disponibilidades brutas, obrigações, deduções, disponibilidade líquida, fontes e período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Projeção do resultado orçamentário: premissas utilizadas, período projetado, receitas e despesas consideradas, metodologia e indicação de que se trata de estimativa gerencial;</w:t>
      </w:r>
    </w:p>
    <w:p>
      <w:pPr>
        <w:jc w:val="both"/>
        <w:rPr>
          <w:rFonts w:ascii="Arial" w:hAnsi="Arial" w:cs="Arial"/>
          <w:color w:val="000000" w:themeColor="text1"/>
          <w:sz w:val="24"/>
          <w:szCs w:val="24"/>
        </w:rPr>
      </w:pPr>
      <w:r>
        <w:rPr>
          <w:rFonts w:ascii="Arial" w:hAnsi="Arial" w:cs="Arial"/>
          <w:color w:val="000000" w:themeColor="text1"/>
          <w:sz w:val="24"/>
          <w:szCs w:val="24"/>
        </w:rPr>
        <w:t xml:space="preserve">k) Caixa e patrimônio: saldos bancários por conta, órgão ou fonte, retenções, consignações, dívida consolidada e restos a pagar;</w:t>
      </w:r>
    </w:p>
    <w:p>
      <w:pPr>
        <w:jc w:val="both"/>
        <w:rPr>
          <w:rFonts w:ascii="Arial" w:hAnsi="Arial" w:cs="Arial"/>
          <w:color w:val="000000" w:themeColor="text1"/>
          <w:sz w:val="24"/>
          <w:szCs w:val="24"/>
        </w:rPr>
      </w:pPr>
      <w:r>
        <w:rPr>
          <w:rFonts w:ascii="Arial" w:hAnsi="Arial" w:cs="Arial"/>
          <w:color w:val="000000" w:themeColor="text1"/>
          <w:sz w:val="24"/>
          <w:szCs w:val="24"/>
        </w:rPr>
        <w:t xml:space="preserve">l) Controle de alteração orçamentária: créditos adicionais, anulações, suplementações, remanejamentos, transposições, transferências, saldo autorizado e execução correspondente, quando os dados importados permitirem;</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Controle de retenções: retenções tributárias, previdenciárias e consignações, valores retidos, recolhidos e pendentes,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n) Transferências financeiras: concedidas e recebidas, com origem, destino, período, valor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Duodécimo: repasses ao Poder Legislativo, valores previstos e realizados, evolução e limites ou parâmetros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p) Análise gerencial: filtros por exercício, período, órgão, unidade e/ou fonte; comparação entre exercícios; séries históricas; variação absoluta e percentual; drill-down até registro analítico; indicação de origem e data-base;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q) Exportação: exportação dos painéis em relatório PDF, com identificação da fonte, período e data da extração.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os painéis e controles essenciais deverão estar disponíveis e operacionais; os resultados deverão ser coerentes com os dados de teste.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8.4.4. POC-03 — Importação e reimportação controlada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importar, ao vivo, arquivo com registros válidos 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exibir resumo contendo registros processados, aceitos, rejeitados, ignorados e pendentes, com mensagens de erro e indicação de linha ou registro sempre que possível;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exibir data/hora, usuário ou processo automático, origem e versão/layout;</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os dados aceitos refletem nos painéis correspondentes;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reimportar o mesmo período e demonstrar confirmação explícita antes da substituição;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inexistência de duplicação silenciosa e preservação do histórico anterior;</w:t>
      </w:r>
    </w:p>
    <w:p>
      <w:pPr>
        <w:jc w:val="both"/>
        <w:rPr>
          <w:rFonts w:ascii="Arial" w:hAnsi="Arial" w:cs="Arial"/>
          <w:color w:val="000000" w:themeColor="text1"/>
          <w:sz w:val="24"/>
          <w:szCs w:val="24"/>
        </w:rPr>
      </w:pPr>
      <w:r>
        <w:rPr>
          <w:rFonts w:ascii="Arial" w:hAnsi="Arial" w:cs="Arial"/>
          <w:color w:val="000000" w:themeColor="text1"/>
          <w:sz w:val="24"/>
          <w:szCs w:val="24"/>
        </w:rPr>
        <w:t xml:space="preserve">g) demonstrar reprocessamento controlado do lote sem perda dos metadados.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registros inválidos identificados; resumo completo; reimportação sem duplicação; confirmação prévia; histórico preservado.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8.4.5. POC-04 — Entregas, obrigações e CAUC</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obrigação com descrição, órgão destinatário, prazo e responsável;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demonstrar alerta de proximidade ou vencimento;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registrar cumprimento com anexação de evidência;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alterar status e exibir histórico com usuário e data;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consulta de obrigações pendentes por prazo, responsável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a exibição da situação de adimplência no CAUC — a partir de dados reais quando disponíveis ou de dados simulados representativos, conforme o item 8.1.6 —, com indicação da data da consulta e alerta expresso caso a fonte esteja indisponível ou defasada.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ciclo completo de obrigações — cadastro, alerta, evidência, alteração e histórico — demonstrado no sistema; painel do CAUC demonstrado com indicação clara da data e da origem da informação.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8.4.6. POC-05 — Processos do TCM-GO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processo com número, órgão, exercício, unidade responsável, assunto e fase;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registrar diligência vinculada, com prazo de resposta 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c) atribuir responsável à providência;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anexar ou vincular documento;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distinguir informação publicada, importada, lançada manualmente e aguardando atualização;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exibir consulta consolidada por exercício, órgão, fase e existência de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g) gerar alerta de prazo de diligência.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atributos registráveis; origem da informação visível; prazo, responsável e providência acompanháveis.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8.4.7. POC-06 — Aplicativo móvel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em dispositivo móvel ou emulador funcional: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realizar login com usuário de teste e credencial compatível com 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consultar painéis de receita, despesa, caixa e ao menos um indicador legal;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valores idênticos aos exibidos na web para os mesmos filtros, salvo atualização expressamente informada;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visualizar alertas e consultar obrigação ou processo acompanhado;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que perfil restrito não visualiza módulos ou informações não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comunicação protegida e identificação da versão do aplicativo.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mesma base de dados, paridade de permissões web/aplicativo e funcionamento das funções essenciais.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8.5. Critérios de avaliação e julgamento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8.5.1.</w:t>
      </w:r>
      <w:r>
        <w:rPr>
          <w:rFonts w:ascii="Arial" w:hAnsi="Arial" w:cs="Arial"/>
          <w:color w:val="000000" w:themeColor="text1"/>
          <w:sz w:val="24"/>
          <w:szCs w:val="24"/>
        </w:rPr>
        <w:t xml:space="preserve"> Cada teste será avaliado pela comissão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Atendido — todos os passos e critérios de aprovação demonstrados;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Atendido parcialmente — funcionalidade existente e operacional, com lacuna pontual que não comprometa a essência do requisito e que seja registrada de forma específica em 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Não atendido — funcionalidade inexistente, inoperante, incompatível com o requisito, demonstrada apenas por simulação ou dependente de desenvolvimento substancial não disponível.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8.5.2.</w:t>
      </w:r>
      <w:r>
        <w:rPr>
          <w:rFonts w:ascii="Arial" w:hAnsi="Arial" w:cs="Arial"/>
          <w:color w:val="000000" w:themeColor="text1"/>
          <w:sz w:val="24"/>
          <w:szCs w:val="24"/>
        </w:rPr>
        <w:t xml:space="preserve"> Para fins de julgamento, os testes do roteiro classificam-se em:</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essenciais — POC-01, POC-02, POC-03 e POC-04 —, por corresponderem aos requisitos estruturantes de controle de acesso, análise gerencial, ingestão de dados e conformidade;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complementares — POC-05 e POC-06.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w:t>
      </w:r>
      <w:r>
        <w:rPr>
          <w:rFonts w:ascii="Arial" w:hAnsi="Arial" w:cs="Arial"/>
          <w:color w:val="000000" w:themeColor="text1"/>
          <w:sz w:val="24"/>
          <w:szCs w:val="24"/>
        </w:rPr>
        <w:t xml:space="preserve"> A licitante será considerada aprovada quando, cumulativamente: a) nenhum teste essencial for avaliado como não atendido; b) no máximo 2 (dois) testes essenciais forem avaliados como atendido parcialmente; c) no máximo 1 (um) teste complementar for avaliado como não atendido; e d) as lacunas identificadas sejam sanáveis por configuração, parametrização, carga de dados ou ajuste que não represente desenvolvimento substancial da solução.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8.5.3.1.</w:t>
      </w:r>
      <w:r>
        <w:rPr>
          <w:rFonts w:ascii="Arial" w:hAnsi="Arial" w:cs="Arial"/>
          <w:color w:val="000000" w:themeColor="text1"/>
          <w:sz w:val="24"/>
          <w:szCs w:val="24"/>
        </w:rPr>
        <w:t xml:space="preserve"> Considera-se atendimento parcial a funcionalidade existente e operacional cuja demonstração apresente lacuna pontual que não comprometa a finalidade do requisito. A comissão deverá descrever objetivamente, em ata, a lacuna observada e a sua repercussão sobre o uso pretendido.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8.5.3.2.</w:t>
      </w:r>
      <w:r>
        <w:rPr>
          <w:rFonts w:ascii="Arial" w:hAnsi="Arial" w:cs="Arial"/>
          <w:color w:val="000000" w:themeColor="text1"/>
          <w:sz w:val="24"/>
          <w:szCs w:val="24"/>
        </w:rPr>
        <w:t xml:space="preserve"> O não atendimento de teste complementar poderá ser reclassificado como atendimento parcial quando a licitante demonstrar, na mesma sessão, caminho alternativo que produza o mesmo resultado funcional, ainda que por fluxo diverso do descrito no roteiro.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8.5.3.3.</w:t>
      </w:r>
      <w:r>
        <w:rPr>
          <w:rFonts w:ascii="Arial" w:hAnsi="Arial" w:cs="Arial"/>
          <w:color w:val="000000" w:themeColor="text1"/>
          <w:sz w:val="24"/>
          <w:szCs w:val="24"/>
        </w:rPr>
        <w:t xml:space="preserve"> As pendências classificadas como atendimento parcial e o teste complementar não atendido serão consolidados em plano de regularização, registrado em ata, com prazo de saneamento até o término da implantação. O plano integrará as obrigações contratuais da adjudicatária e o seu descumprimento sujeitará a contratada às consequências previstas neste Termo de Referência, sem prejuízo da recusa do recebimento definitivo.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8.5.3.4.</w:t>
      </w:r>
      <w:r>
        <w:rPr>
          <w:rFonts w:ascii="Arial" w:hAnsi="Arial" w:cs="Arial"/>
          <w:color w:val="000000" w:themeColor="text1"/>
          <w:sz w:val="24"/>
          <w:szCs w:val="24"/>
        </w:rPr>
        <w:t xml:space="preserve"> A avaliação considerará a finalidade do requisito, e não a identidade de nomenclatura, de disposição de telas ou de sequência de operações. Solução que alcance o resultado exigido por meio diverso será considerada atendida.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8.5.4.</w:t>
      </w:r>
      <w:r>
        <w:rPr>
          <w:rFonts w:ascii="Arial" w:hAnsi="Arial" w:cs="Arial"/>
          <w:color w:val="000000" w:themeColor="text1"/>
          <w:sz w:val="24"/>
          <w:szCs w:val="24"/>
        </w:rPr>
        <w:t xml:space="preserve"> Falha pontual de ambiente, conectividade, projeção ou indisponibilidade momentânea que não seja atribuível à solução não implicará reprovação automática. A comissão poderá autorizar uma repetição do passo afetado na mesma sessão ou, se tecnicamente inviável, em sessão complementar no primeiro dia útil subsequente, registrando a ocorrência e a justificativa. Indisponibilidade comprovada de fonte externa (CAUC ou TCM-GO) durante a sessão não implicará reprovação, aplicando-se o disposto no item 8.1.6.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8.5.5.</w:t>
      </w:r>
      <w:r>
        <w:rPr>
          <w:rFonts w:ascii="Arial" w:hAnsi="Arial" w:cs="Arial"/>
          <w:color w:val="000000" w:themeColor="text1"/>
          <w:sz w:val="24"/>
          <w:szCs w:val="24"/>
        </w:rPr>
        <w:t xml:space="preserve"> A repetição prevista no item 8.5.4 não poderá ser utilizada para permitir desenvolvimento, correção estrutural ou alteração substancial da solução durante a POC. A repetição servirá apenas para eliminar dúvida decorrente de falha circunstancial comprovada.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8.5.6.</w:t>
      </w:r>
      <w:r>
        <w:rPr>
          <w:rFonts w:ascii="Arial" w:hAnsi="Arial" w:cs="Arial"/>
          <w:color w:val="000000" w:themeColor="text1"/>
          <w:sz w:val="24"/>
          <w:szCs w:val="24"/>
        </w:rPr>
        <w:t xml:space="preserve"> A reprovação na POC implicará a desclassificação da proposta, com convocação da licitante subsequente na ordem de classificação para realização de novo procedimento, nos termos do edital e da legislação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8.5.7.</w:t>
      </w:r>
      <w:r>
        <w:rPr>
          <w:rFonts w:ascii="Arial" w:hAnsi="Arial" w:cs="Arial"/>
          <w:color w:val="000000" w:themeColor="text1"/>
          <w:sz w:val="24"/>
          <w:szCs w:val="24"/>
        </w:rPr>
        <w:t xml:space="preserve"> Não caberá à comissão exigir, durante a sessão, funcionalidade, layout, integração, parametrização ou desempenho não previsto neste Termo de Referência, nem reprovar a licitante por aspecto meramente estético ou preferência subjetiva.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8.5.8.</w:t>
      </w:r>
      <w:r>
        <w:rPr>
          <w:rFonts w:ascii="Arial" w:hAnsi="Arial" w:cs="Arial"/>
          <w:color w:val="000000" w:themeColor="text1"/>
          <w:sz w:val="24"/>
          <w:szCs w:val="24"/>
        </w:rPr>
        <w:t xml:space="preserve"> A avaliação deverá considerar exclusivamente a funcionalidade demonstrada, os requisitos de referência, os critérios de aprovação e as evidências registradas, vedada a criação de requisito novo durante a sessão.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8.6. Registro, ata e resultado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8.6.1.</w:t>
      </w:r>
      <w:r>
        <w:rPr>
          <w:rFonts w:ascii="Arial" w:hAnsi="Arial" w:cs="Arial"/>
          <w:color w:val="000000" w:themeColor="text1"/>
          <w:sz w:val="24"/>
          <w:szCs w:val="24"/>
        </w:rPr>
        <w:t xml:space="preserve"> A sessão será registrada em ata circunstanciada, assinada pela comissão e pelo(s) representante(s) da licitante, contendo: a) data, horário, local ou plataforma utilizada; b) identificação dos participantes; c) arquivos, dados e ambiente utilizados; d) sequência dos testes realizados; e) avaliação individual de cada teste; f) evidências apresentadas; g) ocorrências, falhas, repetições e justificativas; h) pendências ou lacunas classificadas como atendimento parcial; i) conclusão motivada pela aprovação ou reprovação.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8.6.2.</w:t>
      </w:r>
      <w:r>
        <w:rPr>
          <w:rFonts w:ascii="Arial" w:hAnsi="Arial" w:cs="Arial"/>
          <w:color w:val="000000" w:themeColor="text1"/>
          <w:sz w:val="24"/>
          <w:szCs w:val="24"/>
        </w:rPr>
        <w:t xml:space="preserve"> A sessão poderá ser gravada em áudio, vídeo ou captura de tela, mediante ciência prévia dos participantes. A gravação, quando realizada, integrará o processo administrativo e será tratada conforme as regras de acesso, sigilo e proteção de dados aplicáveis.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8.6.3.</w:t>
      </w:r>
      <w:r>
        <w:rPr>
          <w:rFonts w:ascii="Arial" w:hAnsi="Arial" w:cs="Arial"/>
          <w:color w:val="000000" w:themeColor="text1"/>
          <w:sz w:val="24"/>
          <w:szCs w:val="24"/>
        </w:rPr>
        <w:t xml:space="preserve"> A comissão poderá anexar à ata arquivos exportados, relatórios, capturas de tela, logs, registros de processamento e demais evidências necessárias à reconstituição dos testes.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8.6.4.</w:t>
      </w:r>
      <w:r>
        <w:rPr>
          <w:rFonts w:ascii="Arial" w:hAnsi="Arial" w:cs="Arial"/>
          <w:color w:val="000000" w:themeColor="text1"/>
          <w:sz w:val="24"/>
          <w:szCs w:val="24"/>
        </w:rPr>
        <w:t xml:space="preserve"> O resultado da POC será divulgado em até 3 (três) dias úteis após o encerramento da sessão, contendo a motivação da avaliação de cada teste, assegurados os prazos e meios recursais previstos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8.6.5.</w:t>
      </w:r>
      <w:r>
        <w:rPr>
          <w:rFonts w:ascii="Arial" w:hAnsi="Arial" w:cs="Arial"/>
          <w:color w:val="000000" w:themeColor="text1"/>
          <w:sz w:val="24"/>
          <w:szCs w:val="24"/>
        </w:rPr>
        <w:t xml:space="preserve"> A decisão de reprovação deverá indicar o(s) teste(s) não atendido(s), a exigência correspondente, o fato observado e a evidência registrada, não sendo suficiente fundamentação genérica.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8.6.6.</w:t>
      </w:r>
      <w:r>
        <w:rPr>
          <w:rFonts w:ascii="Arial" w:hAnsi="Arial" w:cs="Arial"/>
          <w:color w:val="000000" w:themeColor="text1"/>
          <w:sz w:val="24"/>
          <w:szCs w:val="24"/>
        </w:rPr>
        <w:t xml:space="preserve"> Os dados, documentos e credenciais de teste utilizados na POC deverão ser excluídos do ambiente da licitante após a homologação do certame ou após o encerramento definitivo da disputa, conforme o que ocorrer por último, mediante declaração de eliminação, ressalvadas as retenções exigidas por lei ou necessárias à defesa em processo administrativo ou judicial.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8.6.7.</w:t>
      </w:r>
      <w:r>
        <w:rPr>
          <w:rFonts w:ascii="Arial" w:hAnsi="Arial" w:cs="Arial"/>
          <w:color w:val="000000" w:themeColor="text1"/>
          <w:sz w:val="24"/>
          <w:szCs w:val="24"/>
        </w:rPr>
        <w:t xml:space="preserve"> A licitante deverá informar à Administração, no prazo definido na convocação, a conclusão da eliminação dos dados de teste e eventuais dados que tenham sido mantidos, indicando fundamento, finalidade e prazo de retenção.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9. Modelo de gestão e fiscalização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execução deverá ser acompanhada e fiscalizada por servidor(es) formalmente designado(s), nos termos do art. 117 da Lei nº 14.133/2021. A designação deverá indicar gestor, fiscal técnico, fiscal administrativo e substitutos quando aplicável.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9.1. Glosas e descontos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As glosas incidirão somente sobre a parcela mensal correspondente ao período de apuração em que verificada a ocorrência e dependerão de registro da ocorrência, manifestação da contratada e decisão do gestor, sem prejuízo do contraditório quando a medida tiver natureza sancionatória.</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disponibilidade inferior à meta, poderá ser aplicado desconto de </w:t>
      </w:r>
      <w:r>
        <w:rPr>
          <w:rFonts w:ascii="Arial" w:hAnsi="Arial" w:cs="Arial"/>
          <w:b/>
          <w:color w:val="000000" w:themeColor="text1"/>
          <w:sz w:val="24"/>
          <w:szCs w:val="24"/>
        </w:rPr>
        <w:t xml:space="preserve">2% do valor mensal por cada ponto percentual completo ou fração proporcional de indisponibilidade abaixo de 99,5%</w:t>
      </w:r>
      <w:r>
        <w:rPr>
          <w:rFonts w:ascii="Arial" w:hAnsi="Arial" w:cs="Arial"/>
          <w:color w:val="000000" w:themeColor="text1"/>
          <w:sz w:val="24"/>
          <w:szCs w:val="24"/>
        </w:rPr>
        <w:t xml:space="preserve">, limitado a 10% do valor mensal, sem prejuízo de outras medidas quando houver reincidência ou interrupção grave.</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incidente P1 não atendido no prazo, poderá ser aplicado desconto de </w:t>
      </w:r>
      <w:r>
        <w:rPr>
          <w:rFonts w:ascii="Arial" w:hAnsi="Arial" w:cs="Arial"/>
          <w:b/>
          <w:color w:val="000000" w:themeColor="text1"/>
          <w:sz w:val="24"/>
          <w:szCs w:val="24"/>
        </w:rPr>
        <w:t xml:space="preserve">1% do valor mensal por ocorrência</w:t>
      </w:r>
      <w:r>
        <w:rPr>
          <w:rFonts w:ascii="Arial" w:hAnsi="Arial" w:cs="Arial"/>
          <w:color w:val="000000" w:themeColor="text1"/>
          <w:sz w:val="24"/>
          <w:szCs w:val="24"/>
        </w:rPr>
        <w:t xml:space="preserve">, limitado a 10% no mês, desde que a ocorrência seja imputável à contratada e não esteja abrangida por exclusão contratual comprovada.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Glosa não substitui multa ou sanção quando houver infração administrativa, nem poderá resultar em pagamento por serviço não prestado. A mesma ocorrência não deverá receber dupla penalização de natureza idêntica, devendo o gestor distinguir o desconto sobre a parcela mensal, a multa e demais consequências.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9.2. Pagamento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pagamento será efetuado mensalmente após a apresentação da nota fiscal, o recebimento regular da documentação exigida, o ateste do gestor do contrato e a liquidação da despesa, no prazo definido no edital e no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nota fiscal deverá discriminar competência, licença, componentes incluídos, eventuais glosas e valor líquido. Não haverá cobrança adicional por implantação, capacitação, atualização, aplicativo, suporte, exportação ou manutenção quando esses componentes estiverem incluídos na proposta e no objeto.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10. Obrigações da contratada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disponibilizar a solução integralmente conforme o TR, a proposta, a POC e 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manter a plataforma, o aplicativo, as integrações, os painéis, os módulos de obrigações, CAUC e processos, a segurança e o suporte durante a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concluir a implantação, a configuração, a importação inicial e a capacitação no prazo previsto no subitem 7.3;</w:t>
      </w:r>
    </w:p>
    <w:p>
      <w:pPr>
        <w:jc w:val="both"/>
        <w:rPr>
          <w:rFonts w:ascii="Arial" w:hAnsi="Arial" w:cs="Arial"/>
          <w:color w:val="000000" w:themeColor="text1"/>
          <w:sz w:val="24"/>
          <w:szCs w:val="24"/>
        </w:rPr>
      </w:pPr>
      <w:r>
        <w:rPr>
          <w:rFonts w:ascii="Arial" w:hAnsi="Arial" w:cs="Arial"/>
          <w:color w:val="000000" w:themeColor="text1"/>
          <w:sz w:val="24"/>
          <w:szCs w:val="24"/>
        </w:rPr>
        <w:t xml:space="preserve">d) fornecer equipe técnica qualificada e indicar responsável operacional;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manter disponibilidade, canais e prazos de suporte definidos neste TR;</w:t>
      </w:r>
    </w:p>
    <w:p>
      <w:pPr>
        <w:jc w:val="both"/>
        <w:rPr>
          <w:rFonts w:ascii="Arial" w:hAnsi="Arial" w:cs="Arial"/>
          <w:color w:val="000000" w:themeColor="text1"/>
          <w:sz w:val="24"/>
          <w:szCs w:val="24"/>
        </w:rPr>
      </w:pPr>
      <w:r>
        <w:rPr>
          <w:rFonts w:ascii="Arial" w:hAnsi="Arial" w:cs="Arial"/>
          <w:color w:val="000000" w:themeColor="text1"/>
          <w:sz w:val="24"/>
          <w:szCs w:val="24"/>
        </w:rPr>
        <w:t xml:space="preserve">f) atualizar regras, layouts e funcionalidades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fornecer relatórios de importação, erros, disponibilidade, incidentes e alterações;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proteger dados e manter confidencialidade;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garantir a segregação de acesso por usuário, perfil, órgão, unidade e processo;</w:t>
      </w:r>
    </w:p>
    <w:p>
      <w:pPr>
        <w:jc w:val="both"/>
        <w:rPr>
          <w:rFonts w:ascii="Arial" w:hAnsi="Arial" w:cs="Arial"/>
          <w:color w:val="000000" w:themeColor="text1"/>
          <w:sz w:val="24"/>
          <w:szCs w:val="24"/>
        </w:rPr>
      </w:pPr>
      <w:r>
        <w:rPr>
          <w:rFonts w:ascii="Arial" w:hAnsi="Arial" w:cs="Arial"/>
          <w:color w:val="000000" w:themeColor="text1"/>
          <w:sz w:val="24"/>
          <w:szCs w:val="24"/>
        </w:rPr>
        <w:t xml:space="preserve">j) não usar os dados municipais para finalidade incompatível com o objeto sem autorização;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manter backups, logs e continuidade do serviço;</w:t>
      </w:r>
    </w:p>
    <w:p>
      <w:pPr>
        <w:jc w:val="both"/>
        <w:rPr>
          <w:rFonts w:ascii="Arial" w:hAnsi="Arial" w:cs="Arial"/>
          <w:color w:val="000000" w:themeColor="text1"/>
          <w:sz w:val="24"/>
          <w:szCs w:val="24"/>
        </w:rPr>
      </w:pPr>
      <w:r>
        <w:rPr>
          <w:rFonts w:ascii="Arial" w:hAnsi="Arial" w:cs="Arial"/>
          <w:color w:val="000000" w:themeColor="text1"/>
          <w:sz w:val="24"/>
          <w:szCs w:val="24"/>
        </w:rPr>
        <w:t xml:space="preserve">l) atender solicitações dos fiscais e permitir auditoria das informações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m) fornecer exportação estruturada, documentação e apoio à transição;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 corrigir falhas sem custo adicional quando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manter regularidade e condições de habilitação durante a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p) responder por danos decorrentes de culpa ou dolo na execução, sem prejuízo da repartição de riscos;</w:t>
      </w:r>
    </w:p>
    <w:p>
      <w:pPr>
        <w:jc w:val="both"/>
        <w:rPr>
          <w:rFonts w:ascii="Arial" w:hAnsi="Arial" w:cs="Arial"/>
          <w:color w:val="000000" w:themeColor="text1"/>
          <w:sz w:val="24"/>
          <w:szCs w:val="24"/>
        </w:rPr>
      </w:pPr>
      <w:r>
        <w:rPr>
          <w:rFonts w:ascii="Arial" w:hAnsi="Arial" w:cs="Arial"/>
          <w:color w:val="000000" w:themeColor="text1"/>
          <w:sz w:val="24"/>
          <w:szCs w:val="24"/>
        </w:rPr>
        <w:t xml:space="preserve">q) não transferir ou ceder o contrato sem autorização quando exigida;</w:t>
      </w:r>
    </w:p>
    <w:p>
      <w:pPr>
        <w:jc w:val="both"/>
        <w:rPr>
          <w:rFonts w:ascii="Arial" w:hAnsi="Arial" w:cs="Arial"/>
          <w:color w:val="000000" w:themeColor="text1"/>
          <w:sz w:val="24"/>
          <w:szCs w:val="24"/>
        </w:rPr>
      </w:pPr>
      <w:r>
        <w:rPr>
          <w:rFonts w:ascii="Arial" w:hAnsi="Arial" w:cs="Arial"/>
          <w:color w:val="000000" w:themeColor="text1"/>
          <w:sz w:val="24"/>
          <w:szCs w:val="24"/>
        </w:rPr>
        <w:t xml:space="preserve">r) manter todas as demais obrigações previstas na proposta, edital e contrato.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11. Obrigações da contratante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emitir ordem de serviço e designar gestor e fiscais;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fornecer dados, acessos, arquivos e informações necessários, respeitando sigilo e proteção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 indicar usuários, perfis, responsáveis e bases documentais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 participar da implantação, homologação, capacitação e validação;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conferir os resultados, indicadores, relatórios e documentos produzidos;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não inserir dados além da finalidade e da política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g) comunicar falhas, incidentes, alterações e indisponibilidades percebidas;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manter infraestrutura de conectividade e sistemas de origem sob sua responsabilidade;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efetuar o pagamento após o ateste do gestor e a liquidação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guardar credenciais, controlar usuários e revogar acessos quando necessário;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observar a legislação, as normas internas e as orientações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l) fornecer feedback e participar de reuniões de acompanhamento;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cumprir as demais obrigações do edital, contrato e legislação.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12. Proteção de dados, sigilo e governança documental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documentos de obrigações, balancetes, processos, informações pessoais e dados financeiros poderão conter informações restritas. O acesso deverá seguir o princípio do menor privilégio e a necessidade de conhecimento. A contratada não poderá comercializar, ceder, divulgar ou reutilizar dados municipais fora das finalidades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tratamento de dados pessoais observará a Lei Geral de Proteção de Dados — LGPD, com finalidade limitada à execução do objeto contratual, sendo vedada a utilização de dados municipais para finalidade diversa, inclusive comercialização ou compartilhamento com terceiros sem autorização e base jurídica adequada.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13. Estimativa do valor e regras de precificação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estimativa de valor deverá ser elaborada em processo próprio, mediante pesquisa de preços com escopo uniforme e memória de cálculo. A pesquisa deverá considerar, no mínimo, a licença corporativa, 20 (vinte) usuários simultâneos incluídos, o preço unitário do usuário simultâneo adicional, a vigência de 36 (trinta e seis) meses, o aplicativo móvel integrado, a implantação, a capacitação, o suporte, as atualizações, a segurança, o backup e a exportação estruturada, apresentando o valor mensal, o valor por exercício financeiro e o valor global do período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proposta deverá apresentar, de forma comparável:</w:t>
      </w:r>
    </w:p>
    <w:tbl>
      <w:tblPr>
        <w:tblStyle w:val="TabeladeGradeClara"/>
        <w:tblW w:w="0" w:type="auto"/>
        <w:tblInd w:w="250" w:type="dxa"/>
        <w:tblLook w:val="04A0" w:firstRow="1" w:lastRow="0" w:firstColumn="1" w:lastColumn="0" w:noHBand="0" w:noVBand="1"/>
      </w:tblPr>
      <w:tblGrid>
        <w:gridCol w:w="1997"/>
        <w:gridCol w:w="7352"/>
      </w:tblGrid>
      <w:tr>
        <w:trPr>
          <w:tblHeader w:val="true"/>
        </w:trPr>
        <w:tc>
          <w:tcPr>
            <w:tcW w:w="199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35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Regra de apresentação</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integrada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Valor mensal, valor por exercício financeiro e valor global de 36 meses</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Implantação e capacitação</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Informar inclusão no preço mensal/global, sem cobrança posterior não prevista</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Usuários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Preço dos 20 usuários simultâneos incluídos e preço unitário do usuário simultâneo adicional</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publicação, manutenção e atualizações</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Integrações e importações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Identificar limites, custos e dependências de API, quando houver</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Suporte e SLA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todos os níveis de atendimento e consequências por indisponibilidade</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Reversibilidade</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exportação estruturada e apoio de saída sem custo indevido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 julgamento deverá considerar o </w:t>
      </w:r>
      <w:r>
        <w:rPr>
          <w:rFonts w:ascii="Arial" w:hAnsi="Arial" w:cs="Arial"/>
          <w:b/>
          <w:color w:val="000000" w:themeColor="text1"/>
          <w:sz w:val="24"/>
          <w:szCs w:val="24"/>
        </w:rPr>
        <w:t xml:space="preserve">menor preço global do lote único</w:t>
      </w:r>
      <w:r>
        <w:rPr>
          <w:rFonts w:ascii="Arial" w:hAnsi="Arial" w:cs="Arial"/>
          <w:color w:val="000000" w:themeColor="text1"/>
          <w:sz w:val="24"/>
          <w:szCs w:val="24"/>
        </w:rPr>
        <w:t xml:space="preserve">, ou critério diverso se tecnicamente justificado pela Administração e previsto no edital. A planilha de preços deverá deixar claro que os componentes são partes integradas de um mesmo objeto e que a contratada não poderá cobrar separadamente por funcionalidade incluída no objeto.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13.1.</w:t>
      </w:r>
      <w:r>
        <w:rPr>
          <w:rFonts w:ascii="Arial" w:hAnsi="Arial" w:cs="Arial"/>
          <w:color w:val="000000" w:themeColor="text1"/>
          <w:sz w:val="24"/>
          <w:szCs w:val="24"/>
        </w:rPr>
        <w:t xml:space="preserve"> Não há, até a presente data, pesquisa de preços concluída para o objeto ora definido. Dessa forma, </w:t>
      </w:r>
      <w:r>
        <w:rPr>
          <w:rFonts w:ascii="Arial" w:hAnsi="Arial" w:cs="Arial"/>
          <w:b/>
          <w:color w:val="000000" w:themeColor="text1"/>
          <w:sz w:val="24"/>
          <w:szCs w:val="24"/>
        </w:rPr>
        <w:t xml:space="preserve">este Termo de Referência não apresenta valor estimado da contratação</w:t>
      </w:r>
      <w:r>
        <w:rPr>
          <w:rFonts w:ascii="Arial" w:hAnsi="Arial" w:cs="Arial"/>
          <w:color w:val="000000" w:themeColor="text1"/>
          <w:sz w:val="24"/>
          <w:szCs w:val="24"/>
        </w:rPr>
        <w:t xml:space="preserve">, permanecendo essa informação como pendência a ser suprida pela Administração antes do prosseguimento da fase externa da licitação. Processo de pesquisa de preços: [INFORMAÇÃO A PREENCHER].</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14. Matriz de alocação de riscos</w:t>
      </w:r>
    </w:p>
    <w:tbl>
      <w:tblPr>
        <w:tblStyle w:val="TabeladeGradeClara"/>
        <w:tblW w:w="0" w:type="auto"/>
        <w:tblInd w:w="250" w:type="dxa"/>
        <w:tblLook w:val="04A0" w:firstRow="1" w:lastRow="0" w:firstColumn="1" w:lastColumn="0" w:noHBand="0" w:noVBand="1"/>
      </w:tblPr>
      <w:tblGrid>
        <w:gridCol w:w="2009"/>
        <w:gridCol w:w="760"/>
        <w:gridCol w:w="760"/>
        <w:gridCol w:w="1591"/>
        <w:gridCol w:w="4227"/>
      </w:tblGrid>
      <w:tr>
        <w:trPr>
          <w:tblHeader w:val="true"/>
        </w:trPr>
        <w:tc>
          <w:tcPr>
            <w:tcW w:w="200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Risco</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Probabilidade</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Impacto</w:t>
            </w:r>
          </w:p>
        </w:tc>
        <w:tc>
          <w:tcPr>
            <w:tcW w:w="159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Responsável principal</w:t>
            </w:r>
          </w:p>
        </w:tc>
        <w:tc>
          <w:tcPr>
            <w:tcW w:w="422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Tratamento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Dados de origem incompletos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Validação inicial, relatório de erros e correção na origem</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de importação por layout</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quanto ao processamento; Município quanto à origem</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Versionamento, comunicação e teste com arquivo de referência</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de fonte externa (CAUC, TCM-GO)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Indicar defasagem, exibir data da última consulta e usar fluxo alternativo autorizado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Atualização regulatória atrasada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Monitoramento, atualização e comunicação sem custo adicional ordinário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indevido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e usuários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Menor privilégio, logs, revogação, criptografia e treinamento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na implantação ou atraso de cronograma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implantação aprovado, marcos, comunicação de impedimentos e suspensão de prazo por pendência do Município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suporte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Cumprimento dos níveis de serviço definidos no TR, com glosa e comunicação de incidentes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Resistência de usuários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Média/Alta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Capacitação, suporte, implantação assistida e manual</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pagamento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Contratante</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Fluxo de ateste, liquidação e pagamento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Desatualização dos dados apresentados nos painéis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Exibição obrigatória de data e hora da última atualização, período de referência e fonte; alertas de defasagem; monitoramento das rotinas de carga e processamento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Interpretação de dado ainda não processado como informação oficial definitiva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Identificação visual do estágio do dado; diferenciação entre informação preliminar e processada; ressalva expressa nos indicadores dependentes de classificação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da plataforma ou perda de continuidade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SLA de disponibilidade, backup, plano de continuidade e recuperação, comunicação de incidentes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Dificuldade de reversibilidade ao término da contratação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Exportação estruturada, formato aberto, apoio técnico de saída e prazo de transição definido em contrato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ou vulnerabilidade de segurança da informação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Criptografia, controle de acesso, gestão de vulnerabilidades, notificação de incidentes em até 24 horas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Regressão funcional decorrente de atualização de versão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Controle de versões, testes de regressão, ambiente de homologação quando aplicável, procedimento de rollback e comunicação prévia de alterações relevantes</w:t>
            </w:r>
          </w:p>
        </w:tc>
      </w:tr>
    </w:tbl>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15. Sanções administrativas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Constituem infrações administrativas as condutas previstas na Lei nº 14.133/2021, inclusive dar causa à inexecução parcial ou total, ensejar retardamento injustificado, apresentar documentação falsa, comportar-se de modo inidôneo, fraudar a execução ou praticar ato lesivo ao certame ou ao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sanções observará legalidade, tipicidade, proporcionalidade, motivação, contraditório, ampla defesa, competência e processo administrativo próprio. Poderão ser aplicadas, conforme a gravidade e os arts. 155 a 163 da Lei nº 14.133/2021:</w:t>
      </w:r>
    </w:p>
    <w:p>
      <w:pPr>
        <w:jc w:val="both"/>
        <w:rPr>
          <w:rFonts w:ascii="Arial" w:hAnsi="Arial" w:cs="Arial"/>
          <w:color w:val="000000" w:themeColor="text1"/>
          <w:sz w:val="24"/>
          <w:szCs w:val="24"/>
        </w:rPr>
      </w:pPr>
      <w:r>
        <w:rPr>
          <w:rFonts w:ascii="Arial" w:hAnsi="Arial" w:cs="Arial"/>
          <w:color w:val="000000" w:themeColor="text1"/>
          <w:sz w:val="24"/>
          <w:szCs w:val="24"/>
        </w:rPr>
        <w:t xml:space="preserve">– advertência, quando cabível;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moratória por atraso injustificado, conforme percentual definido no edital/contrato e limitada a patamar proporcional;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compensatória por inexecução parcial ou total, conforme gravidade e valor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impedimento de licitar e contratar, quando presentes os requisitos legais;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 declaração de inidoneidade, nos casos e limites legais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Como referência contratual, o edital poderá prever multa moratória de </w:t>
      </w:r>
      <w:r>
        <w:rPr>
          <w:rFonts w:ascii="Arial" w:hAnsi="Arial" w:cs="Arial"/>
          <w:b/>
          <w:color w:val="000000" w:themeColor="text1"/>
          <w:sz w:val="24"/>
          <w:szCs w:val="24"/>
        </w:rPr>
        <w:t xml:space="preserve">0,5% por dia de atraso injustificado na implantação</w:t>
      </w:r>
      <w:r>
        <w:rPr>
          <w:rFonts w:ascii="Arial" w:hAnsi="Arial" w:cs="Arial"/>
          <w:color w:val="000000" w:themeColor="text1"/>
          <w:sz w:val="24"/>
          <w:szCs w:val="24"/>
        </w:rPr>
        <w:t xml:space="preserve">, limitada a 10% da parcela mensal ou do valor definido no instrumento convocatório, e multa compensatória entre </w:t>
      </w:r>
      <w:r>
        <w:rPr>
          <w:rFonts w:ascii="Arial" w:hAnsi="Arial" w:cs="Arial"/>
          <w:b/>
          <w:color w:val="000000" w:themeColor="text1"/>
          <w:sz w:val="24"/>
          <w:szCs w:val="24"/>
        </w:rPr>
        <w:t xml:space="preserve">5% e 20% do valor global</w:t>
      </w:r>
      <w:r>
        <w:rPr>
          <w:rFonts w:ascii="Arial" w:hAnsi="Arial" w:cs="Arial"/>
          <w:color w:val="000000" w:themeColor="text1"/>
          <w:sz w:val="24"/>
          <w:szCs w:val="24"/>
        </w:rPr>
        <w:t xml:space="preserve">, graduada conforme dano, reincidência e extensão da inexecução. Os percentuais deverão ser validados pela assessoria jurídica e pela regulamentação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multa não impede glosa por serviço não medido, desde que não haja dupla punição pelo mesmo fato e que a decisão identifique a natureza de cada consequência.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16. Garantia, subcontratação e propriedade dos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de garantia contratual deverá ser avaliada e justificada pela Administração no edital e no contrato, considerando riscos, valor, criticidade, proteção de dados e complexidade da solução.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subcontratação de infraestrutura, processamento ou serviços auxiliares dependerá das condições previstas no edital e no contrato. A contratada permanecerá integralmente responsável pela execução e deverá informar subcontratados que tenham acesso a dados ou ambientes municipais.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dados, documentos, registros, históricos, metadados, relatórios e informações produzidos ou inseridos pelo Município permanecerão sob controle institucional do Município. A licença não transfere à contratada propriedade sobre os dados públicos ou documentos municipais. Componentes proprietários da plataforma permanecem de titularidade da contratada, sem impedir a extração e o uso dos dados municipais.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17. Adequação orçamentária e classificação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adequação orçamentária e a classificação da despesa serão informadas pela Administração no processo administrativo, mediante indicação de dotação orçamentária específica, fonte de recursos e demonstração de compatibilidade com a Lei Orçamentária Anual e com o instrumento de planejamento vigente, previamente à publicação do edital.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Dotação orçamentária: [INFORMAÇÃO A PREENCHER]. Fonte de recursos: [INFORMAÇÃO A PREENCHER]. Programa/ação: [INFORMAÇÃO A PREENCHER].</w:t>
      </w:r>
    </w:p>
    <w:sectPr w:rsidR="00FE4E87" w:rsidRPr="00E80E04"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4E5F1" w14:textId="77777777" w:rsidR="00007FD6" w:rsidRDefault="00007FD6">
      <w:pPr>
        <w:spacing w:after="0" w:line="240" w:lineRule="auto"/>
      </w:pPr>
      <w:r>
        <w:separator/>
      </w:r>
    </w:p>
  </w:endnote>
  <w:endnote w:type="continuationSeparator" w:id="0">
    <w:p w14:paraId="2197C912" w14:textId="77777777" w:rsidR="00007FD6" w:rsidRDefault="0000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34705" w14:textId="77777777" w:rsidR="00007FD6" w:rsidRDefault="00007FD6">
      <w:pPr>
        <w:spacing w:after="0" w:line="240" w:lineRule="auto"/>
      </w:pPr>
      <w:r>
        <w:separator/>
      </w:r>
    </w:p>
  </w:footnote>
  <w:footnote w:type="continuationSeparator" w:id="0">
    <w:p w14:paraId="794C2F69" w14:textId="77777777" w:rsidR="00007FD6" w:rsidRDefault="00007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E83062"/>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B58298D"/>
    <w:multiLevelType w:val="hybridMultilevel"/>
    <w:tmpl w:val="644AC14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503D07D5"/>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78B63DE6"/>
    <w:multiLevelType w:val="hybridMultilevel"/>
    <w:tmpl w:val="BBE86A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D6"/>
    <w:rsid w:val="0001194B"/>
    <w:rsid w:val="00024325"/>
    <w:rsid w:val="00034616"/>
    <w:rsid w:val="0006063C"/>
    <w:rsid w:val="000751B0"/>
    <w:rsid w:val="00083F56"/>
    <w:rsid w:val="00085645"/>
    <w:rsid w:val="00087070"/>
    <w:rsid w:val="00092374"/>
    <w:rsid w:val="000E4F94"/>
    <w:rsid w:val="0015074B"/>
    <w:rsid w:val="00166A66"/>
    <w:rsid w:val="00231D3A"/>
    <w:rsid w:val="0029639D"/>
    <w:rsid w:val="002B2643"/>
    <w:rsid w:val="002E4F52"/>
    <w:rsid w:val="00326F90"/>
    <w:rsid w:val="003C6EA0"/>
    <w:rsid w:val="004010C0"/>
    <w:rsid w:val="00522842"/>
    <w:rsid w:val="005460B7"/>
    <w:rsid w:val="00585A01"/>
    <w:rsid w:val="005C1D1D"/>
    <w:rsid w:val="005F318B"/>
    <w:rsid w:val="006B6C1B"/>
    <w:rsid w:val="00707942"/>
    <w:rsid w:val="007D21AC"/>
    <w:rsid w:val="008065B0"/>
    <w:rsid w:val="00824509"/>
    <w:rsid w:val="00840D8B"/>
    <w:rsid w:val="008B5A6C"/>
    <w:rsid w:val="008F5B9B"/>
    <w:rsid w:val="008F760D"/>
    <w:rsid w:val="0090657D"/>
    <w:rsid w:val="00925702"/>
    <w:rsid w:val="009A691F"/>
    <w:rsid w:val="009F1F2E"/>
    <w:rsid w:val="00A2249D"/>
    <w:rsid w:val="00A34CD8"/>
    <w:rsid w:val="00AA1D8D"/>
    <w:rsid w:val="00B47730"/>
    <w:rsid w:val="00B67C79"/>
    <w:rsid w:val="00B9481D"/>
    <w:rsid w:val="00BA3E2E"/>
    <w:rsid w:val="00BE1F94"/>
    <w:rsid w:val="00C13DA7"/>
    <w:rsid w:val="00CB0664"/>
    <w:rsid w:val="00CE637D"/>
    <w:rsid w:val="00D71006"/>
    <w:rsid w:val="00D81DAA"/>
    <w:rsid w:val="00DD26D2"/>
    <w:rsid w:val="00E35B45"/>
    <w:rsid w:val="00E80E04"/>
    <w:rsid w:val="00EE2B89"/>
    <w:rsid w:val="00F31A54"/>
    <w:rsid w:val="00FC693F"/>
    <w:rsid w:val="00FE4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D3E60"/>
  <w14:defaultImageDpi w14:val="300"/>
  <w15:docId w15:val="{A36A303D-87DC-49A8-BA3B-D7E29EFE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7323D"/>
      <w:sz w:val="21"/>
    </w:rPr>
  </w:style>
  <w:style w:type="paragraph" w:styleId="Ttulo1">
    <w:name w:val="heading 1"/>
    <w:basedOn w:val="Normal"/>
    <w:next w:val="Normal"/>
    <w:link w:val="Ttulo1Char"/>
    <w:uiPriority w:val="9"/>
    <w:qFormat/>
    <w:rsid w:val="00FC693F"/>
    <w:pPr>
      <w:keepNext/>
      <w:keepLines/>
      <w:spacing w:before="280" w:after="140"/>
      <w:outlineLvl w:val="0"/>
    </w:pPr>
    <w:rPr>
      <w:rFonts w:asciiTheme="majorHAnsi" w:eastAsiaTheme="majorEastAsia" w:hAnsiTheme="majorHAnsi" w:cstheme="majorBidi"/>
      <w:b/>
      <w:bCs/>
      <w:color w:val="0B2B40"/>
      <w:sz w:val="32"/>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136F8A"/>
      <w:sz w:val="25"/>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AA6A6"/>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B73"/>
      <w:sz w:val="17"/>
    </w:rPr>
  </w:style>
  <w:style w:type="paragraph" w:styleId="NormalWeb">
    <w:name w:val="Normal (Web)"/>
    <w:basedOn w:val="Normal"/>
    <w:uiPriority w:val="99"/>
    <w:semiHidden/>
    <w:unhideWhenUsed/>
    <w:rsid w:val="003C6EA0"/>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paragraph" w:customStyle="1" w:styleId="MdSpace">
    <w:name w:val="MdSpace"/>
    <w:qFormat/>
    <w:rsid w:val="008F5B9B"/>
    <w:pPr>
      <w:spacing w:after="0" w:line="240" w:lineRule="auto"/>
    </w:pPr>
    <w:rPr>
      <w:rFonts w:ascii="Times New Roman" w:eastAsia="Times New Roman" w:hAnsi="Times New Roman" w:cs="Times New Roman"/>
      <w:sz w:val="12"/>
      <w:szCs w:val="12"/>
      <w:lang w:val="pt-BR" w:eastAsia="pt-BR"/>
    </w:rPr>
  </w:style>
  <w:style w:type="paragraph" w:customStyle="1" w:styleId="MdParagraph">
    <w:name w:val="MdParagraph"/>
    <w:qFormat/>
    <w:rsid w:val="008F5B9B"/>
    <w:pPr>
      <w:spacing w:before="120" w:after="120" w:line="240" w:lineRule="auto"/>
    </w:pPr>
    <w:rPr>
      <w:rFonts w:ascii="Times New Roman" w:eastAsia="Times New Roman" w:hAnsi="Times New Roman" w:cs="Times New Roman"/>
      <w:sz w:val="24"/>
      <w:szCs w:val="24"/>
      <w:lang w:val="pt-BR" w:eastAsia="pt-BR"/>
    </w:rPr>
  </w:style>
  <w:style w:type="paragraph" w:customStyle="1" w:styleId="MdTableHeader">
    <w:name w:val="MdTableHeader"/>
    <w:qFormat/>
    <w:rsid w:val="008F5B9B"/>
    <w:pPr>
      <w:spacing w:before="60" w:after="60" w:line="240" w:lineRule="auto"/>
    </w:pPr>
    <w:rPr>
      <w:rFonts w:ascii="Times New Roman" w:eastAsia="Times New Roman" w:hAnsi="Times New Roman" w:cs="Times New Roman"/>
      <w:b/>
      <w:bCs/>
      <w:lang w:val="pt-BR" w:eastAsia="pt-BR"/>
    </w:rPr>
  </w:style>
  <w:style w:type="paragraph" w:customStyle="1" w:styleId="MdTableCell">
    <w:name w:val="MdTableCell"/>
    <w:qFormat/>
    <w:rsid w:val="008F5B9B"/>
    <w:pPr>
      <w:spacing w:before="40" w:after="40" w:line="240" w:lineRule="auto"/>
    </w:pPr>
    <w:rPr>
      <w:rFonts w:ascii="Times New Roman" w:eastAsia="Times New Roman" w:hAnsi="Times New Roman" w:cs="Times New Roman"/>
      <w:sz w:val="20"/>
      <w:szCs w:val="20"/>
      <w:lang w:val="pt-BR" w:eastAsia="pt-BR"/>
    </w:rPr>
  </w:style>
  <w:style w:type="paragraph" w:customStyle="1" w:styleId="MdHeading2">
    <w:name w:val="MdHeading2"/>
    <w:qFormat/>
    <w:rsid w:val="008F5B9B"/>
    <w:pPr>
      <w:keepNext/>
      <w:spacing w:before="400" w:line="240" w:lineRule="auto"/>
      <w:outlineLvl w:val="1"/>
    </w:pPr>
    <w:rPr>
      <w:rFonts w:ascii="Times New Roman" w:eastAsia="Times New Roman" w:hAnsi="Times New Roman" w:cs="Times New Roman"/>
      <w:b/>
      <w:bCs/>
      <w:sz w:val="32"/>
      <w:szCs w:val="32"/>
      <w:lang w:val="pt-BR" w:eastAsia="pt-BR"/>
    </w:rPr>
  </w:style>
  <w:style w:type="paragraph" w:customStyle="1" w:styleId="MdHeading3">
    <w:name w:val="MdHeading3"/>
    <w:qFormat/>
    <w:rsid w:val="008F5B9B"/>
    <w:pPr>
      <w:keepNext/>
      <w:spacing w:before="320" w:after="160" w:line="240" w:lineRule="auto"/>
      <w:outlineLvl w:val="2"/>
    </w:pPr>
    <w:rPr>
      <w:rFonts w:ascii="Times New Roman" w:eastAsia="Times New Roman" w:hAnsi="Times New Roman" w:cs="Times New Roman"/>
      <w:b/>
      <w:bCs/>
      <w:sz w:val="28"/>
      <w:szCs w:val="28"/>
      <w:lang w:val="pt-BR" w:eastAsia="pt-BR"/>
    </w:rPr>
  </w:style>
  <w:style w:type="character" w:customStyle="1" w:styleId="MdStrong">
    <w:name w:val="MdStrong"/>
    <w:uiPriority w:val="99"/>
    <w:qFormat/>
    <w:rsid w:val="008F5B9B"/>
    <w:rPr>
      <w:b/>
      <w:bCs/>
    </w:rPr>
  </w:style>
  <w:style w:type="table" w:styleId="TabelaSimples1">
    <w:name w:val="Plain Table 1"/>
    <w:basedOn w:val="Tabelanormal"/>
    <w:uiPriority w:val="99"/>
    <w:rsid w:val="008F5B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99"/>
    <w:rsid w:val="000870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553755">
      <w:bodyDiv w:val="1"/>
      <w:marLeft w:val="0"/>
      <w:marRight w:val="0"/>
      <w:marTop w:val="0"/>
      <w:marBottom w:val="0"/>
      <w:divBdr>
        <w:top w:val="none" w:sz="0" w:space="0" w:color="auto"/>
        <w:left w:val="none" w:sz="0" w:space="0" w:color="auto"/>
        <w:bottom w:val="none" w:sz="0" w:space="0" w:color="auto"/>
        <w:right w:val="none" w:sz="0" w:space="0" w:color="auto"/>
      </w:divBdr>
    </w:div>
    <w:div w:id="1504389903">
      <w:bodyDiv w:val="1"/>
      <w:marLeft w:val="0"/>
      <w:marRight w:val="0"/>
      <w:marTop w:val="0"/>
      <w:marBottom w:val="0"/>
      <w:divBdr>
        <w:top w:val="none" w:sz="0" w:space="0" w:color="auto"/>
        <w:left w:val="none" w:sz="0" w:space="0" w:color="auto"/>
        <w:bottom w:val="none" w:sz="0" w:space="0" w:color="auto"/>
        <w:right w:val="none" w:sz="0" w:space="0" w:color="auto"/>
      </w:divBdr>
    </w:div>
    <w:div w:id="1734893390">
      <w:bodyDiv w:val="1"/>
      <w:marLeft w:val="0"/>
      <w:marRight w:val="0"/>
      <w:marTop w:val="0"/>
      <w:marBottom w:val="0"/>
      <w:divBdr>
        <w:top w:val="none" w:sz="0" w:space="0" w:color="auto"/>
        <w:left w:val="none" w:sz="0" w:space="0" w:color="auto"/>
        <w:bottom w:val="none" w:sz="0" w:space="0" w:color="auto"/>
        <w:right w:val="none" w:sz="0" w:space="0" w:color="auto"/>
      </w:divBdr>
      <w:divsChild>
        <w:div w:id="1406227021">
          <w:marLeft w:val="0"/>
          <w:marRight w:val="0"/>
          <w:marTop w:val="15"/>
          <w:marBottom w:val="15"/>
          <w:divBdr>
            <w:top w:val="single" w:sz="2" w:space="0" w:color="E5E7EB"/>
            <w:left w:val="single" w:sz="2" w:space="0" w:color="E5E7EB"/>
            <w:bottom w:val="single" w:sz="2" w:space="0" w:color="E5E7EB"/>
            <w:right w:val="single" w:sz="2" w:space="0" w:color="E5E7EB"/>
          </w:divBdr>
          <w:divsChild>
            <w:div w:id="6091214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5677406">
          <w:marLeft w:val="0"/>
          <w:marRight w:val="0"/>
          <w:marTop w:val="15"/>
          <w:marBottom w:val="15"/>
          <w:divBdr>
            <w:top w:val="single" w:sz="2" w:space="0" w:color="E5E7EB"/>
            <w:left w:val="single" w:sz="2" w:space="0" w:color="E5E7EB"/>
            <w:bottom w:val="single" w:sz="2" w:space="0" w:color="E5E7EB"/>
            <w:right w:val="single" w:sz="2" w:space="0" w:color="E5E7EB"/>
          </w:divBdr>
          <w:divsChild>
            <w:div w:id="16433463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24803774">
          <w:marLeft w:val="0"/>
          <w:marRight w:val="0"/>
          <w:marTop w:val="15"/>
          <w:marBottom w:val="15"/>
          <w:divBdr>
            <w:top w:val="single" w:sz="2" w:space="0" w:color="E5E7EB"/>
            <w:left w:val="single" w:sz="2" w:space="0" w:color="E5E7EB"/>
            <w:bottom w:val="single" w:sz="2" w:space="0" w:color="E5E7EB"/>
            <w:right w:val="single" w:sz="2" w:space="0" w:color="E5E7EB"/>
          </w:divBdr>
          <w:divsChild>
            <w:div w:id="2301629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5778818">
          <w:marLeft w:val="0"/>
          <w:marRight w:val="0"/>
          <w:marTop w:val="15"/>
          <w:marBottom w:val="15"/>
          <w:divBdr>
            <w:top w:val="single" w:sz="2" w:space="0" w:color="E5E7EB"/>
            <w:left w:val="single" w:sz="2" w:space="0" w:color="E5E7EB"/>
            <w:bottom w:val="single" w:sz="2" w:space="0" w:color="E5E7EB"/>
            <w:right w:val="single" w:sz="2" w:space="0" w:color="E5E7EB"/>
          </w:divBdr>
          <w:divsChild>
            <w:div w:id="6378759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5424830">
          <w:marLeft w:val="0"/>
          <w:marRight w:val="0"/>
          <w:marTop w:val="15"/>
          <w:marBottom w:val="15"/>
          <w:divBdr>
            <w:top w:val="single" w:sz="2" w:space="0" w:color="E5E7EB"/>
            <w:left w:val="single" w:sz="2" w:space="0" w:color="E5E7EB"/>
            <w:bottom w:val="single" w:sz="2" w:space="0" w:color="E5E7EB"/>
            <w:right w:val="single" w:sz="2" w:space="0" w:color="E5E7EB"/>
          </w:divBdr>
          <w:divsChild>
            <w:div w:id="12906254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C2E07-CEB6-4571-A96B-35C42AE6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11446</Words>
  <Characters>61810</Characters>
  <Application>Microsoft Office Word</Application>
  <DocSecurity>0</DocSecurity>
  <Lines>515</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Referência — Inteligência Contábil e Gestão Fiscal</vt:lpstr>
      <vt:lpstr/>
    </vt:vector>
  </TitlesOfParts>
  <Manager/>
  <Company/>
  <LinksUpToDate>false</LinksUpToDate>
  <CharactersWithSpaces>73110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 Inteligência Contábil e Gestão Fiscal</dc:title>
  <dc:subject>Termo de Referência — contratação de plataforma SaaS de inteligência contábil e gestão fiscal</dc:subject>
  <dc:creator>Prefeitura Municipal de Hidrolândia/GO</dc:creator>
  <cp:keywords>ETP, SaaS, gestão fiscal, inteligência artificial, TCM-GO, Hidrolândia</cp:keywords>
  <dc:description/>
  <cp:lastModifiedBy>Thyago Ferreira</cp:lastModifiedBy>
  <cp:revision>8</cp:revision>
  <dcterms:created xsi:type="dcterms:W3CDTF">2026-08-17T20:20:00Z</dcterms:created>
  <dcterms:modified xsi:type="dcterms:W3CDTF">2026-09-22T12:03:00Z</dcterms:modified>
  <cp:category/>
</cp:coreProperties>
</file>