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jc w:val="both"/>
        <w:rPr>
          <w:rFonts w:ascii="Arial" w:hAnsi="Arial" w:cs="Arial"/>
          <w:color w:val="000000" w:themeColor="text1"/>
          <w:sz w:val="24"/>
          <w:szCs w:val="24"/>
        </w:rPr>
      </w:pPr>
    </w:p>
    <w:p>
      <w:pPr>
        <w:jc w:val="both"/>
        <w:rPr>
          <w:rFonts w:ascii="Arial" w:hAnsi="Arial" w:cs="Arial"/>
          <w:b/>
          <w:color w:val="000000" w:themeColor="text1"/>
          <w:sz w:val="24"/>
          <w:szCs w:val="24"/>
        </w:rPr>
      </w:pPr>
      <w:r>
        <w:rPr>
          <w:rFonts w:ascii="Arial" w:hAnsi="Arial" w:cs="Arial"/>
          <w:b/>
          <w:color w:val="000000" w:themeColor="text1"/>
          <w:sz w:val="24"/>
          <w:szCs w:val="24"/>
        </w:rPr>
        <w:t>TERMO DE REFERÊNCIA</w:t>
      </w:r>
    </w:p>
    <w:p>
      <w:pPr>
        <w:jc w:val="both"/>
        <w:rPr>
          <w:rFonts w:ascii="Arial" w:hAnsi="Arial" w:cs="Arial"/>
          <w:color w:val="000000" w:themeColor="text1"/>
          <w:sz w:val="24"/>
          <w:szCs w:val="24"/>
        </w:rPr>
      </w:pPr>
    </w:p>
    <w:p>
      <w:pPr>
        <w:pStyle w:val="Ttulo1"/>
        <w:jc w:val="both"/>
        <w:rPr>
          <w:rFonts w:ascii="Arial" w:hAnsi="Arial" w:cs="Arial"/>
          <w:color w:val="000000" w:themeColor="text1"/>
          <w:sz w:val="24"/>
          <w:szCs w:val="24"/>
        </w:rPr>
      </w:pPr>
      <w:r>
        <w:rPr>
          <w:rFonts w:ascii="Arial" w:hAnsi="Arial" w:cs="Arial"/>
          <w:color w:val="000000" w:themeColor="text1"/>
          <w:sz w:val="24"/>
          <w:szCs w:val="24"/>
        </w:rPr>
        <w:t xml:space="preserve">1. Definição do objeto</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1.1. Objeto principal</w:t>
      </w:r>
    </w:p>
    <w:p>
      <w:pPr>
        <w:jc w:val="both"/>
        <w:rPr>
          <w:rFonts w:ascii="Arial" w:hAnsi="Arial" w:cs="Arial"/>
          <w:color w:val="000000" w:themeColor="text1"/>
          <w:sz w:val="24"/>
          <w:szCs w:val="24"/>
        </w:rPr>
      </w:pPr>
      <w:r>
        <w:rPr>
          <w:rFonts w:ascii="Arial" w:hAnsi="Arial" w:cs="Arial"/>
          <w:color w:val="000000" w:themeColor="text1"/>
          <w:sz w:val="24"/>
          <w:szCs w:val="24"/>
        </w:rPr>
        <w:t xml:space="preserve">Contratação de empresa especializada para fornecimento de licença de uso temporário de plataforma SaaS — Software as a Service — de inteligência contábil e gestão fiscal, hospedada em nuvem, com acesso pela web e por aplicativo móvel integrado (Android/iOS), do Município de Minaçu/GO.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solução deverá contemplar, de forma integrada, painéis analíticos executivos, gestão de entregas, obrigações e conformidade, acompanhamento de CAUC — Sistema de Informações sobre Requisitos Fiscais — e de processos do Tribunal de Contas dos Municípios do Estado de Goiás (TCM-GO), e mecanismos de integração, importação e rastreabilidade de dados.</w:t>
      </w:r>
    </w:p>
    <w:p>
      <w:pPr>
        <w:jc w:val="both"/>
        <w:rPr>
          <w:rFonts w:ascii="Arial" w:hAnsi="Arial" w:cs="Arial"/>
          <w:color w:val="000000" w:themeColor="text1"/>
          <w:sz w:val="24"/>
          <w:szCs w:val="24"/>
        </w:rPr>
      </w:pPr>
      <w:r>
        <w:rPr>
          <w:rFonts w:ascii="Arial" w:hAnsi="Arial" w:cs="Arial"/>
          <w:color w:val="000000" w:themeColor="text1"/>
          <w:sz w:val="24"/>
          <w:szCs w:val="24"/>
        </w:rPr>
        <w:t xml:space="preserve">A contratação compreende a disponibilização do ambiente, configuração inicial, implantação, importação ou integração de dados autorizados, capacitação, suporte técnico, manutenção corretiva e evolutiva, atualização de regras e layouts, segurança, backup, continuidade, disponibilização do aplicativo móvel integrado e exportação estruturada dos dados ao término da contratação, sem aquisição de licença perpétua ou transferência de propriedade do software.</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1.2. Natureza e regime de execução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O objeto caracteriza-se como serviço continuado de tecnologia da informação, remunerado mensalmente, com execução indireta e por preço global do conjunto integrado, observado o regime jurídico da Lei nº 14.133/2021 e a regulamentação municipal aplicável.</w:t>
      </w:r>
    </w:p>
    <w:p>
      <w:pPr>
        <w:jc w:val="both"/>
        <w:rPr>
          <w:rFonts w:ascii="Arial" w:hAnsi="Arial" w:cs="Arial"/>
          <w:color w:val="000000" w:themeColor="text1"/>
          <w:sz w:val="24"/>
          <w:szCs w:val="24"/>
        </w:rPr>
      </w:pPr>
      <w:r>
        <w:rPr>
          <w:rFonts w:ascii="Arial" w:hAnsi="Arial" w:cs="Arial"/>
          <w:color w:val="000000" w:themeColor="text1"/>
          <w:sz w:val="24"/>
          <w:szCs w:val="24"/>
        </w:rPr>
        <w:t xml:space="preserve">A continuidade decorre da necessidade permanente de manter os painéis, integrações, bases, alertas, atualizações regulatórias, suporte, segurança e disponibilidade em funcionamento, caracterizando serviço de natureza continuada apto à contratação por prazo plurianual. A vigência inicial, as diretrizes da contratação plurianual, a prorrogação e o reajuste observarão o disposto nos subitens 7.2 e 7.4 deste Termo de Referência, dependendo, em qualquer caso, de previsão editalícia e contratual, de atesto da vantajosidade, de disponibilidade orçamentária e do atendimento dos demais requisitos legais.</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1.3. Unidade de contratação e quantidade</w:t>
      </w:r>
    </w:p>
    <w:p>
      <w:pPr>
        <w:jc w:val="both"/>
        <w:rPr>
          <w:rFonts w:ascii="Arial" w:hAnsi="Arial" w:cs="Arial"/>
          <w:color w:val="000000" w:themeColor="text1"/>
          <w:sz w:val="24"/>
          <w:szCs w:val="24"/>
        </w:rPr>
      </w:pPr>
      <w:r>
        <w:rPr>
          <w:rFonts w:ascii="Arial" w:hAnsi="Arial" w:cs="Arial"/>
          <w:color w:val="000000" w:themeColor="text1"/>
          <w:sz w:val="24"/>
          <w:szCs w:val="24"/>
        </w:rPr>
        <w:t xml:space="preserve">A contratação será realizada em lote único, correspondente a 1 (uma) licença corporativa integrada, com 20 (vinte) usuários simultâneos incluídos, sem prejuízo da gestão de perfis e da criação de usuários nominais em quantidade superior, observado o limite de acessos simultâneos contratado, além de 1 (um) aplicativo móvel integrado à mesma base de dados, usuários, perfis e permissões da plataforma web.</w:t>
      </w:r>
    </w:p>
    <w:p>
      <w:pPr>
        <w:jc w:val="both"/>
        <w:rPr>
          <w:rFonts w:ascii="Arial" w:hAnsi="Arial" w:cs="Arial"/>
          <w:color w:val="000000" w:themeColor="text1"/>
          <w:sz w:val="24"/>
          <w:szCs w:val="24"/>
        </w:rPr>
      </w:pPr>
      <w:r>
        <w:rPr>
          <w:rFonts w:ascii="Arial" w:hAnsi="Arial" w:cs="Arial"/>
          <w:color w:val="000000" w:themeColor="text1"/>
          <w:sz w:val="24"/>
          <w:szCs w:val="24"/>
        </w:rPr>
        <w:t xml:space="preserve">A divisão descritiva da solução em núcleos funcionais não transforma o objeto em contratações independentes. Os módulos deverão operar sobre identidade, permissões, base de dados, integrações, trilhas de auditoria e política de segurança comuns.</w:t>
      </w:r>
    </w:p>
    <w:p>
      <w:pPr>
        <w:jc w:val="both"/>
        <w:rPr>
          <w:rFonts w:ascii="Arial" w:hAnsi="Arial" w:cs="Arial"/>
          <w:b/>
          <w:bCs/>
          <w:color w:val="000000" w:themeColor="text1"/>
          <w:sz w:val="24"/>
          <w:szCs w:val="24"/>
        </w:rPr>
      </w:pPr>
      <w:r>
        <w:rPr>
          <w:rFonts w:ascii="Arial" w:hAnsi="Arial" w:cs="Arial"/>
          <w:b/>
          <w:bCs/>
          <w:color w:val="000000" w:themeColor="text1"/>
          <w:sz w:val="24"/>
          <w:szCs w:val="24"/>
        </w:rPr>
        <w:t xml:space="preserve">1.4 Modalidade, forma, modo de disputa e critério de julgamento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contratação será realizada mediante licitação, </w:t>
      </w:r>
      <w:r>
        <w:rPr>
          <w:rFonts w:ascii="Arial" w:hAnsi="Arial" w:cs="Arial"/>
          <w:b/>
          <w:color w:val="000000" w:themeColor="text1"/>
          <w:sz w:val="24"/>
          <w:szCs w:val="24"/>
        </w:rPr>
        <w:t xml:space="preserve">na modalidade pregão</w:t>
      </w:r>
      <w:r>
        <w:rPr>
          <w:rFonts w:ascii="Arial" w:hAnsi="Arial" w:cs="Arial"/>
          <w:color w:val="000000" w:themeColor="text1"/>
          <w:sz w:val="24"/>
          <w:szCs w:val="24"/>
        </w:rPr>
        <w:t xml:space="preserve">, </w:t>
      </w:r>
      <w:r>
        <w:rPr>
          <w:rFonts w:ascii="Arial" w:hAnsi="Arial" w:cs="Arial"/>
          <w:b/>
          <w:color w:val="000000" w:themeColor="text1"/>
          <w:sz w:val="24"/>
          <w:szCs w:val="24"/>
        </w:rPr>
        <w:t xml:space="preserve">sob a forma eletrônica</w:t>
      </w:r>
      <w:r>
        <w:rPr>
          <w:rFonts w:ascii="Arial" w:hAnsi="Arial" w:cs="Arial"/>
          <w:color w:val="000000" w:themeColor="text1"/>
          <w:sz w:val="24"/>
          <w:szCs w:val="24"/>
        </w:rPr>
        <w:t xml:space="preserve">, para contratação de serviço comum de tecnologia da informação, uma vez que os padrões de desempenho e qualidade do objeto podem ser objetivamente definidos por meio de especificações usuais de mercado.</w:t>
      </w:r>
    </w:p>
    <w:p>
      <w:pPr>
        <w:jc w:val="both"/>
        <w:rPr>
          <w:rFonts w:ascii="Arial" w:hAnsi="Arial" w:cs="Arial"/>
          <w:color w:val="000000" w:themeColor="text1"/>
          <w:sz w:val="24"/>
          <w:szCs w:val="24"/>
        </w:rPr>
      </w:pPr>
      <w:r>
        <w:rPr>
          <w:rFonts w:ascii="Arial" w:hAnsi="Arial" w:cs="Arial"/>
          <w:color w:val="000000" w:themeColor="text1"/>
          <w:sz w:val="24"/>
          <w:szCs w:val="24"/>
        </w:rPr>
        <w:t xml:space="preserve">O critério de julgamento será o de menor preço, aferido pelo valor global do lote único, correspondente à execução integral do objeto, incluindo licença de uso, implantação, capacitação, suporte técnico, atualizações, aplicativo móvel, segurança, backup e exportação de dados, conforme as condições estabelecidas neste Termo de Referência.</w:t>
      </w:r>
    </w:p>
    <w:p>
      <w:pPr>
        <w:jc w:val="both"/>
        <w:rPr>
          <w:rFonts w:ascii="Arial" w:hAnsi="Arial" w:cs="Arial"/>
          <w:color w:val="000000" w:themeColor="text1"/>
          <w:sz w:val="24"/>
          <w:szCs w:val="24"/>
        </w:rPr>
      </w:pPr>
      <w:r>
        <w:rPr>
          <w:rFonts w:ascii="Arial" w:hAnsi="Arial" w:cs="Arial"/>
          <w:color w:val="000000" w:themeColor="text1"/>
          <w:sz w:val="24"/>
          <w:szCs w:val="24"/>
        </w:rPr>
        <w:t xml:space="preserve">O modo de disputa será definido no edital, observada a regulamentação aplicável e a decisão motivada da autoridade competente.</w:t>
      </w:r>
    </w:p>
    <w:p>
      <w:pPr>
        <w:jc w:val="both"/>
        <w:rPr>
          <w:rFonts w:ascii="Arial" w:hAnsi="Arial" w:cs="Arial"/>
          <w:color w:val="000000" w:themeColor="text1"/>
          <w:sz w:val="24"/>
          <w:szCs w:val="24"/>
        </w:rPr>
      </w:pPr>
      <w:r>
        <w:rPr>
          <w:rFonts w:ascii="Arial" w:hAnsi="Arial" w:cs="Arial"/>
          <w:color w:val="000000" w:themeColor="text1"/>
          <w:sz w:val="24"/>
          <w:szCs w:val="24"/>
        </w:rPr>
        <w:t xml:space="preserve">A Prova de Conceito será realizada somente pela licitante provisoriamente classificada em primeiro lugar, nos termos deste Termo de Referência e do edital, como mecanismo de verificação da conformidade técnica da solução ofertada, sem alteração do objeto ou criação de requisito não previsto.</w:t>
      </w:r>
    </w:p>
    <w:p>
      <w:pPr>
        <w:pStyle w:val="Ttulo1"/>
        <w:jc w:val="both"/>
        <w:rPr>
          <w:rFonts w:ascii="Arial" w:hAnsi="Arial" w:cs="Arial"/>
          <w:color w:val="000000" w:themeColor="text1"/>
          <w:sz w:val="24"/>
          <w:szCs w:val="24"/>
        </w:rPr>
      </w:pPr>
      <w:r>
        <w:rPr>
          <w:rFonts w:ascii="Arial" w:hAnsi="Arial" w:cs="Arial"/>
          <w:color w:val="000000" w:themeColor="text1"/>
          <w:sz w:val="24"/>
          <w:szCs w:val="24"/>
        </w:rPr>
        <w:t xml:space="preserve">2. Fundamentação e justificativa da contratação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presente contratação decorre da necessidade de aprimorar a capacidade da Administração Municipal de Minaçu/GO de transformar dados contábeis, orçamentários, financeiros e fiscais em informação gerencial confiável, tempestiva, integrada e útil à tomada de decisão.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Embora o Município de Minaçu disponha de sistema oficial responsável pelo registro e processamento das informações administrativas e contábeis — o SIAFIC municipal —, verifica-se que parcela relevante da análise gerencial ainda depende da consulta a relatórios individualizados, demonstrativos em PDF, planilhas paralelas e diferentes bases de informação. Para produzir uma visão consolidada da situação municipal, frequentemente são necessárias extrações, filtros, cruzamentos e tratamentos manuais realizados por servidores.</w:t>
      </w:r>
    </w:p>
    <w:p>
      <w:pPr>
        <w:jc w:val="both"/>
        <w:rPr>
          <w:rFonts w:ascii="Arial" w:hAnsi="Arial" w:cs="Arial"/>
          <w:color w:val="000000" w:themeColor="text1"/>
          <w:sz w:val="24"/>
          <w:szCs w:val="24"/>
        </w:rPr>
      </w:pPr>
      <w:r>
        <w:rPr>
          <w:rFonts w:ascii="Arial" w:hAnsi="Arial" w:cs="Arial"/>
          <w:color w:val="000000" w:themeColor="text1"/>
          <w:sz w:val="24"/>
          <w:szCs w:val="24"/>
        </w:rPr>
        <w:t xml:space="preserve">Esse modelo dificulta o acesso rápido à informação, aumenta o esforço operacional e reduz a capacidade da Administração de identificar tempestivamente situações que demandem atenção, como alterações relevantes no comportamento da receita e da despesa, aproximação de limites legais, obrigações pendentes, processos perante órgãos de controle e demais fatores capazes de afetar a gestão fiscal e administrativa.</w:t>
      </w:r>
    </w:p>
    <w:p>
      <w:pPr>
        <w:jc w:val="both"/>
        <w:rPr>
          <w:rFonts w:ascii="Arial" w:hAnsi="Arial" w:cs="Arial"/>
          <w:color w:val="000000" w:themeColor="text1"/>
          <w:sz w:val="24"/>
          <w:szCs w:val="24"/>
        </w:rPr>
      </w:pPr>
      <w:r>
        <w:rPr>
          <w:rFonts w:ascii="Arial" w:hAnsi="Arial" w:cs="Arial"/>
          <w:color w:val="000000" w:themeColor="text1"/>
          <w:sz w:val="24"/>
          <w:szCs w:val="24"/>
        </w:rPr>
        <w:t xml:space="preserve">O desafio existente, portanto, não consiste na inexistência de dados, mas na dificuldade de integrá-los, interpretá-los e convertê-los, em tempo adequado, em informação útil para diferentes níveis de gestão. Demonstrativos e bases estruturadas, como a Declaração de Contas Anuais — DCA, o Relatório Resumido da Execução Orçamentária — RREO, o Relatório de Gestão Fiscal — RGF e a Matriz de Saldos Contábeis — MSC, constituem fontes primárias legítimas para a composição de indicadores gerenciais e painéis analíticos, permanecendo, quanto à sua conferência e validação técnica, sob responsabilidade da contabilidade, da controladoria e do SIAFIC municipal.</w:t>
      </w:r>
    </w:p>
    <w:p>
      <w:pPr>
        <w:jc w:val="both"/>
        <w:rPr>
          <w:rFonts w:ascii="Arial" w:hAnsi="Arial" w:cs="Arial"/>
          <w:color w:val="000000" w:themeColor="text1"/>
          <w:sz w:val="24"/>
          <w:szCs w:val="24"/>
        </w:rPr>
      </w:pPr>
      <w:r>
        <w:rPr>
          <w:rFonts w:ascii="Arial" w:hAnsi="Arial" w:cs="Arial"/>
          <w:color w:val="000000" w:themeColor="text1"/>
          <w:sz w:val="24"/>
          <w:szCs w:val="24"/>
        </w:rPr>
        <w:t xml:space="preserve">Paralelamente, gestores municipais necessitam de acesso mais simples e tempestivo às informações produzidas pela Administração. Prefeito, secretários, controladoria, contabilidade e demais unidades autorizadas possuem necessidades distintas de análise, tornando relevante a disponibilização de indicadores que permitam compreender não apenas valores isolados, mas também sua composição, evolução, tendência, comparação e impacto sobre a gestão municipal.</w:t>
      </w:r>
    </w:p>
    <w:p>
      <w:pPr>
        <w:jc w:val="both"/>
        <w:rPr>
          <w:rFonts w:ascii="Arial" w:hAnsi="Arial" w:cs="Arial"/>
          <w:color w:val="000000" w:themeColor="text1"/>
          <w:sz w:val="24"/>
          <w:szCs w:val="24"/>
        </w:rPr>
      </w:pPr>
      <w:r>
        <w:rPr>
          <w:rFonts w:ascii="Arial" w:hAnsi="Arial" w:cs="Arial"/>
          <w:color w:val="000000" w:themeColor="text1"/>
          <w:sz w:val="24"/>
          <w:szCs w:val="24"/>
        </w:rPr>
        <w:t xml:space="preserve">A necessidade identificada alcança ainda o acompanhamento de obrigações administrativas e fiscais, da situação de adimplência perante o CAUC e de processos de prestação de contas perante o TCM-GO, informações que atualmente podem estar distribuídas em diferentes ambientes, dificultando uma visão consolidada das pendências e providências necessárias.</w:t>
      </w:r>
    </w:p>
    <w:p>
      <w:pPr>
        <w:jc w:val="both"/>
        <w:rPr>
          <w:rFonts w:ascii="Arial" w:hAnsi="Arial" w:cs="Arial"/>
          <w:color w:val="000000" w:themeColor="text1"/>
          <w:sz w:val="24"/>
          <w:szCs w:val="24"/>
        </w:rPr>
      </w:pPr>
      <w:r>
        <w:rPr>
          <w:rFonts w:ascii="Arial" w:hAnsi="Arial" w:cs="Arial"/>
          <w:color w:val="000000" w:themeColor="text1"/>
          <w:sz w:val="24"/>
          <w:szCs w:val="24"/>
        </w:rPr>
        <w:t xml:space="preserve">Diante desse diagnóstico, mostra-se necessária uma solução capaz de atuar como camada complementar de inteligência e gestão sobre as informações municipais, integrando painéis gerenciais, acompanhamento de obrigações e mecanismos de importação, integração e rastreabilidade de dados.</w:t>
      </w:r>
    </w:p>
    <w:p>
      <w:pPr>
        <w:jc w:val="both"/>
        <w:rPr>
          <w:rFonts w:ascii="Arial" w:hAnsi="Arial" w:cs="Arial"/>
          <w:color w:val="000000" w:themeColor="text1"/>
          <w:sz w:val="24"/>
          <w:szCs w:val="24"/>
        </w:rPr>
      </w:pPr>
      <w:r>
        <w:rPr>
          <w:rFonts w:ascii="Arial" w:hAnsi="Arial" w:cs="Arial"/>
          <w:color w:val="000000" w:themeColor="text1"/>
          <w:sz w:val="24"/>
          <w:szCs w:val="24"/>
        </w:rPr>
        <w:t xml:space="preserve">A solução pretendida não deverá substituir o SIAFIC, sistemas estruturantes, profissionais de contabilidade, controladoria, assessorias técnicas ou agentes públicos competentes. Sua finalidade será organizar, relacionar, analisar e apresentar as informações existentes de forma mais eficiente, aumentando a capacidade de compreensão, prevenção e tomada de decisão da Administração.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Nesse sentido, pretende-se substituir progressivamente um modelo caracterizado por informações fragmentadas e elevada dependência de procedimentos manuais por um ambiente integrado no qual os dados possam ser convertidos em informação gerencial rastreável, atualizada e acessível aos usuários autorizados.</w:t>
      </w:r>
    </w:p>
    <w:p>
      <w:pPr>
        <w:jc w:val="both"/>
        <w:rPr>
          <w:rFonts w:ascii="Arial" w:hAnsi="Arial" w:cs="Arial"/>
          <w:color w:val="000000" w:themeColor="text1"/>
          <w:sz w:val="24"/>
          <w:szCs w:val="24"/>
        </w:rPr>
      </w:pPr>
      <w:r>
        <w:rPr>
          <w:rFonts w:ascii="Arial" w:hAnsi="Arial" w:cs="Arial"/>
          <w:color w:val="000000" w:themeColor="text1"/>
          <w:sz w:val="24"/>
          <w:szCs w:val="24"/>
        </w:rPr>
        <w:t xml:space="preserve">A adoção de plataforma disponibilizada como Software as a Service — SaaS mostra-se adequada à necessidade identificada por possibilitar o acesso a solução já desenvolvida e operacional, com infraestrutura tecnológica, manutenção, atualizações, segurança, suporte e evolução incorporados à prestação do serviço, reduzindo a necessidade de estrutura própria para desenvolvimento e sustentação tecnológica.</w:t>
      </w:r>
    </w:p>
    <w:p>
      <w:pPr>
        <w:jc w:val="both"/>
        <w:rPr>
          <w:rFonts w:ascii="Arial" w:hAnsi="Arial" w:cs="Arial"/>
          <w:color w:val="000000" w:themeColor="text1"/>
          <w:sz w:val="24"/>
          <w:szCs w:val="24"/>
        </w:rPr>
      </w:pPr>
      <w:r>
        <w:rPr>
          <w:rFonts w:ascii="Arial" w:hAnsi="Arial" w:cs="Arial"/>
          <w:color w:val="000000" w:themeColor="text1"/>
          <w:sz w:val="24"/>
          <w:szCs w:val="24"/>
        </w:rPr>
        <w:t xml:space="preserve">A solução integrada também permite que os diferentes componentes compartilhem a mesma estrutura de dados, usuários, permissões e rastreabilidade, evitando a criação de ambientes isolados e novas fragmentações da informação, com o aplicativo móvel operando sobre a mesma base da plataforma web.</w:t>
      </w:r>
    </w:p>
    <w:p>
      <w:pPr>
        <w:jc w:val="both"/>
        <w:rPr>
          <w:rFonts w:ascii="Arial" w:hAnsi="Arial" w:cs="Arial"/>
          <w:color w:val="000000" w:themeColor="text1"/>
          <w:sz w:val="24"/>
          <w:szCs w:val="24"/>
        </w:rPr>
      </w:pPr>
      <w:r>
        <w:rPr>
          <w:rFonts w:ascii="Arial" w:hAnsi="Arial" w:cs="Arial"/>
          <w:color w:val="000000" w:themeColor="text1"/>
          <w:sz w:val="24"/>
          <w:szCs w:val="24"/>
        </w:rPr>
        <w:t xml:space="preserve">Espera-se, com a contratação, reduzir o intervalo entre a produção do dado e sua utilização na gestão, ampliar a capacidade de acompanhamento preventivo da Administração, reduzir atividades repetitivas de consolidação, melhorar a rastreabilidade das análises e proporcionar aos gestores instrumentos mais adequados para acompanhamento da realidade fiscal, orçamentária e financeira do Município.</w:t>
      </w:r>
    </w:p>
    <w:p>
      <w:pPr>
        <w:jc w:val="both"/>
        <w:rPr>
          <w:rFonts w:ascii="Arial" w:hAnsi="Arial" w:cs="Arial"/>
          <w:color w:val="000000" w:themeColor="text1"/>
          <w:sz w:val="24"/>
          <w:szCs w:val="24"/>
        </w:rPr>
      </w:pPr>
      <w:r>
        <w:rPr>
          <w:rFonts w:ascii="Arial" w:hAnsi="Arial" w:cs="Arial"/>
          <w:color w:val="000000" w:themeColor="text1"/>
          <w:sz w:val="24"/>
          <w:szCs w:val="24"/>
        </w:rPr>
        <w:t xml:space="preserve">Os benefícios pretendidos são de natureza gerencial, operacional e institucional. A solução deverá fornecer instrumentos para que os agentes públicos possam tomar decisões mais bem informadas, porém não deverá ser apresentada como garantia de determinado resultado fiscal, aprovação de contas, classificação em ranking, obtenção de CAPAG específica ou decisão favorável de órgão de controle, uma vez que tais resultados dependem de múltiplos fatores externos à plataforma e das próprias providências adotadas pela Administração.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Dessa forma, a motivação da contratação está fundamentada na necessidade de fortalecer a governança da informação e a inteligência gerencial da Administração Municipal, utilizando tecnologia para ampliar a capacidade de análise, acompanhamento e decisão, preservando a responsabilidade humana e a competência dos sistemas e agentes oficialmente responsáveis pelos registros e atos administrativos.</w:t>
      </w:r>
    </w:p>
    <w:p>
      <w:pPr>
        <w:pStyle w:val="Ttulo1"/>
        <w:jc w:val="both"/>
        <w:rPr>
          <w:rFonts w:ascii="Arial" w:hAnsi="Arial" w:cs="Arial"/>
          <w:color w:val="000000" w:themeColor="text1"/>
          <w:sz w:val="24"/>
          <w:szCs w:val="24"/>
        </w:rPr>
      </w:pPr>
      <w:r>
        <w:rPr>
          <w:rFonts w:ascii="Arial" w:hAnsi="Arial" w:cs="Arial"/>
          <w:color w:val="000000" w:themeColor="text1"/>
          <w:sz w:val="24"/>
          <w:szCs w:val="24"/>
        </w:rPr>
        <w:t xml:space="preserve">3. Descrição da solução como um todo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solução deverá funcionar como ecossistema integrado de leitura contábil e fiscal, análise gerencial, gestão de entregas e acompanhamento de processos. A arquitetura interna poderá ser definida pela contratada, desde que produza os resultados e controles exigidos neste Termo de Referência.</w:t>
      </w:r>
    </w:p>
    <w:p>
      <w:pPr>
        <w:jc w:val="both"/>
        <w:rPr>
          <w:rFonts w:ascii="Arial" w:hAnsi="Arial" w:cs="Arial"/>
          <w:color w:val="000000" w:themeColor="text1"/>
          <w:sz w:val="24"/>
          <w:szCs w:val="24"/>
        </w:rPr>
      </w:pPr>
      <w:r>
        <w:rPr>
          <w:rFonts w:ascii="Arial" w:hAnsi="Arial" w:cs="Arial"/>
          <w:color w:val="000000" w:themeColor="text1"/>
          <w:sz w:val="24"/>
          <w:szCs w:val="24"/>
        </w:rPr>
        <w:t xml:space="preserve">O conjunto mínimo deverá conter os seguintes componentes:</w:t>
      </w:r>
    </w:p>
    <w:tbl>
      <w:tblPr>
        <w:tblStyle w:val="TabeladeGradeClara"/>
        <w:tblW w:w="0" w:type="auto"/>
        <w:tblInd w:w="250" w:type="dxa"/>
        <w:tblLook w:val="04A0" w:firstRow="1" w:lastRow="0" w:firstColumn="1" w:lastColumn="0" w:noHBand="0" w:noVBand="1"/>
      </w:tblPr>
      <w:tblGrid>
        <w:gridCol w:w="1493"/>
        <w:gridCol w:w="7856"/>
      </w:tblGrid>
      <w:tr>
        <w:trPr>
          <w:tblHeader w:val="true"/>
        </w:trPr>
        <w:tc>
          <w:tcPr>
            <w:tcW w:w="1493"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Componente</w:t>
            </w:r>
          </w:p>
        </w:tc>
        <w:tc>
          <w:tcPr>
            <w:tcW w:w="7856"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Finalidade contratual</w:t>
            </w:r>
          </w:p>
        </w:tc>
      </w:tr>
      <w:tr>
        <w:tc>
          <w:tcPr>
            <w:tcW w:w="1493"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Plataforma web</w:t>
            </w:r>
          </w:p>
        </w:tc>
        <w:tc>
          <w:tcPr>
            <w:tcW w:w="7856"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Acesso aos painéis, obrigações, CAUC, processos do TCM-GO, alertas e administração de usuários e permissões</w:t>
            </w:r>
          </w:p>
        </w:tc>
      </w:tr>
      <w:tr>
        <w:tc>
          <w:tcPr>
            <w:tcW w:w="1493"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Aplicativo móvel</w:t>
            </w:r>
          </w:p>
        </w:tc>
        <w:tc>
          <w:tcPr>
            <w:tcW w:w="7856"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Consulta segura e integrada a painéis, alertas, obrigações, CAUC e processos, refletindo a mesma base e as mesmas permissões da plataforma web</w:t>
            </w:r>
          </w:p>
        </w:tc>
      </w:tr>
      <w:tr>
        <w:tc>
          <w:tcPr>
            <w:tcW w:w="1493"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Base de dados e integrações</w:t>
            </w:r>
          </w:p>
        </w:tc>
        <w:tc>
          <w:tcPr>
            <w:tcW w:w="7856"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Recepção, processamento e rastreabilidade de balancetes, demonstrativos e fontes autorizadas</w:t>
            </w:r>
          </w:p>
        </w:tc>
      </w:tr>
      <w:tr>
        <w:tc>
          <w:tcPr>
            <w:tcW w:w="1493"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Camada analítica</w:t>
            </w:r>
          </w:p>
        </w:tc>
        <w:tc>
          <w:tcPr>
            <w:tcW w:w="7856"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Dashboards, indicadores, comparações, filtros, séries históricas, relatórios e exportações</w:t>
            </w:r>
          </w:p>
        </w:tc>
      </w:tr>
      <w:tr>
        <w:tc>
          <w:tcPr>
            <w:tcW w:w="1493"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Gestão de conformidade</w:t>
            </w:r>
          </w:p>
        </w:tc>
        <w:tc>
          <w:tcPr>
            <w:tcW w:w="7856"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Obrigações, prazos, responsáveis, evidências, CAUC, TCM-GO e demais fontes autorizadas</w:t>
            </w:r>
          </w:p>
        </w:tc>
      </w:tr>
      <w:tr>
        <w:tc>
          <w:tcPr>
            <w:tcW w:w="1493"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Segurança e continuidade</w:t>
            </w:r>
          </w:p>
        </w:tc>
        <w:tc>
          <w:tcPr>
            <w:tcW w:w="7856"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Perfis, permissões, logs, trilhas de auditoria, criptografia, backup, suporte e reversibilidade</w:t>
            </w:r>
          </w:p>
        </w:tc>
      </w:tr>
    </w:tbl>
    <w:p>
      <w:pPr>
        <w:jc w:val="both"/>
        <w:rPr>
          <w:rFonts w:ascii="Arial" w:hAnsi="Arial" w:cs="Arial"/>
          <w:color w:val="000000" w:themeColor="text1"/>
          <w:sz w:val="24"/>
          <w:szCs w:val="24"/>
        </w:rPr>
      </w:pPr>
    </w:p>
    <w:p>
      <w:pPr>
        <w:jc w:val="both"/>
        <w:rPr>
          <w:rFonts w:ascii="Arial" w:hAnsi="Arial" w:cs="Arial"/>
          <w:color w:val="000000" w:themeColor="text1"/>
          <w:sz w:val="24"/>
          <w:szCs w:val="24"/>
        </w:rPr>
      </w:pPr>
      <w:r>
        <w:rPr>
          <w:rFonts w:ascii="Arial" w:hAnsi="Arial" w:cs="Arial"/>
          <w:color w:val="000000" w:themeColor="text1"/>
          <w:sz w:val="24"/>
          <w:szCs w:val="24"/>
        </w:rPr>
        <w:t xml:space="preserve">A solução deverá identificar a origem e a data de atualização das informações. Quando uma informação tiver sido lançada manualmente, deverá ser exibida como tal. Quando houver defasagem na fonte ou falha de integração, o sistema deverá mostrar o status correspondente e não poderá apresentar a informação como atualizada em tempo real.</w:t>
      </w:r>
    </w:p>
    <w:p>
      <w:pPr>
        <w:jc w:val="both"/>
        <w:rPr>
          <w:rFonts w:ascii="Arial" w:hAnsi="Arial" w:cs="Arial"/>
          <w:color w:val="000000" w:themeColor="text1"/>
          <w:sz w:val="24"/>
          <w:szCs w:val="24"/>
        </w:rPr>
      </w:pPr>
      <w:r>
        <w:rPr>
          <w:rFonts w:ascii="Arial" w:hAnsi="Arial" w:cs="Arial"/>
          <w:color w:val="000000" w:themeColor="text1"/>
          <w:sz w:val="24"/>
          <w:szCs w:val="24"/>
        </w:rPr>
        <w:t xml:space="preserve">DCA, RREO, RGF e MSC poderão ser utilizados como fontes de dados para composição de painéis e indicadores, não constituindo o objeto desta contratação a criação de módulo autônomo de validação, conferência ou cruzamento preventivo desses demonstrativos, tarefa que permanece sob responsabilidade da contabilidade, da controladoria e do SIAFIC municipal.</w:t>
      </w:r>
    </w:p>
    <w:p>
      <w:pPr>
        <w:pStyle w:val="Ttulo1"/>
        <w:jc w:val="both"/>
        <w:rPr>
          <w:rFonts w:ascii="Arial" w:hAnsi="Arial" w:cs="Arial"/>
          <w:color w:val="000000" w:themeColor="text1"/>
          <w:sz w:val="24"/>
          <w:szCs w:val="24"/>
        </w:rPr>
      </w:pPr>
      <w:r>
        <w:rPr>
          <w:rFonts w:ascii="Arial" w:hAnsi="Arial" w:cs="Arial"/>
          <w:color w:val="000000" w:themeColor="text1"/>
          <w:sz w:val="24"/>
          <w:szCs w:val="24"/>
        </w:rPr>
        <w:t xml:space="preserve">4. Requisitos gerais da contratação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solução deverá atender aos requisitos funcionais, técnicos, de segurança, desempenho e governança descritos nesta seção. Os requisitos foram numerados individualmente para permitir a elaboração de </w:t>
      </w:r>
      <w:r>
        <w:rPr>
          <w:rFonts w:ascii="Arial" w:hAnsi="Arial" w:cs="Arial"/>
          <w:b/>
          <w:color w:val="000000" w:themeColor="text1"/>
          <w:sz w:val="24"/>
          <w:szCs w:val="24"/>
        </w:rPr>
        <w:t xml:space="preserve">matriz de conformidade</w:t>
      </w:r>
      <w:r>
        <w:rPr>
          <w:rFonts w:ascii="Arial" w:hAnsi="Arial" w:cs="Arial"/>
          <w:color w:val="000000" w:themeColor="text1"/>
          <w:sz w:val="24"/>
          <w:szCs w:val="24"/>
        </w:rPr>
        <w:t xml:space="preserve">, na qual a licitante deverá declarar, item a item, o atendimento pleno, o atendimento parcial — com descrição objetiva da limitação — ou o não atendimento. Salvo indicação expressa em contrário, todos os requisitos são obrigatórios.</w:t>
      </w:r>
    </w:p>
    <w:p>
      <w:pPr>
        <w:jc w:val="both"/>
        <w:rPr>
          <w:rFonts w:ascii="Arial" w:hAnsi="Arial" w:cs="Arial"/>
          <w:color w:val="000000" w:themeColor="text1"/>
          <w:sz w:val="24"/>
          <w:szCs w:val="24"/>
        </w:rPr>
      </w:pPr>
      <w:r>
        <w:rPr>
          <w:rFonts w:ascii="Arial" w:hAnsi="Arial" w:cs="Arial"/>
          <w:color w:val="000000" w:themeColor="text1"/>
          <w:sz w:val="24"/>
          <w:szCs w:val="24"/>
        </w:rPr>
        <w:t xml:space="preserve">A comprovação do atendimento ocorrerá por declaração técnica, documentação, demonstração na Prova de Conceito, testes de aceite, relatórios de operação ou combinação desses meios, conforme o requisito e o edital. A declaração da licitante não substitui a comprovação quando o requisito for definido como essencial ou eliminatório.</w:t>
      </w:r>
    </w:p>
    <w:p>
      <w:pPr>
        <w:pStyle w:val="Ttulo1"/>
        <w:jc w:val="both"/>
        <w:rPr>
          <w:rFonts w:ascii="Arial" w:hAnsi="Arial" w:cs="Arial"/>
          <w:color w:val="000000" w:themeColor="text1"/>
          <w:sz w:val="24"/>
          <w:szCs w:val="24"/>
        </w:rPr>
      </w:pPr>
      <w:r>
        <w:rPr>
          <w:rFonts w:ascii="Arial" w:hAnsi="Arial" w:cs="Arial"/>
          <w:color w:val="000000" w:themeColor="text1"/>
          <w:sz w:val="24"/>
          <w:szCs w:val="24"/>
        </w:rPr>
        <w:t xml:space="preserve">5. Requisitos da plataforma</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5.1. Requisitos gerais da plataforma</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5.1.1. Modelo de fornecimento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5.1.1.1.</w:t>
      </w:r>
      <w:r>
        <w:rPr>
          <w:rFonts w:ascii="Arial" w:hAnsi="Arial" w:cs="Arial"/>
          <w:color w:val="000000" w:themeColor="text1"/>
          <w:sz w:val="24"/>
          <w:szCs w:val="24"/>
        </w:rPr>
        <w:t xml:space="preserve"> A solução deverá ser disponibilizada na modalidade </w:t>
      </w:r>
      <w:r>
        <w:rPr>
          <w:rFonts w:ascii="Arial" w:hAnsi="Arial" w:cs="Arial"/>
          <w:b/>
          <w:color w:val="000000" w:themeColor="text1"/>
          <w:sz w:val="24"/>
          <w:szCs w:val="24"/>
        </w:rPr>
        <w:t xml:space="preserve">SaaS — Software as a Service</w:t>
      </w:r>
      <w:r>
        <w:rPr>
          <w:rFonts w:ascii="Arial" w:hAnsi="Arial" w:cs="Arial"/>
          <w:color w:val="000000" w:themeColor="text1"/>
          <w:sz w:val="24"/>
          <w:szCs w:val="24"/>
        </w:rPr>
        <w:t xml:space="preserve">, hospedada em infraestrutura de nuvem sob responsabilidade da contratada, sem necessidade de instalação de servidores, bancos de dados ou componentes permanentes nas dependências da Administração.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5.1.1.2.</w:t>
      </w:r>
      <w:r>
        <w:rPr>
          <w:rFonts w:ascii="Arial" w:hAnsi="Arial" w:cs="Arial"/>
          <w:color w:val="000000" w:themeColor="text1"/>
          <w:sz w:val="24"/>
          <w:szCs w:val="24"/>
        </w:rPr>
        <w:t xml:space="preserve"> O acesso à plataforma web deverá ocorrer por navegadores atualizados, abrangendo, no mínimo, as duas últimas versões estáveis dos navegadores Google Chrome, Microsoft Edge e Mozilla Firefox, sem exigência de plugins, applets ou extensões adicionais para as funções ordinárias.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5.1.1.3.</w:t>
      </w:r>
      <w:r>
        <w:rPr>
          <w:rFonts w:ascii="Arial" w:hAnsi="Arial" w:cs="Arial"/>
          <w:color w:val="000000" w:themeColor="text1"/>
          <w:sz w:val="24"/>
          <w:szCs w:val="24"/>
        </w:rPr>
        <w:t xml:space="preserve"> A interface deverá ser responsiva e adaptar-se a desktop, notebook e tablet, sem prejuízo do aplicativo móvel previsto na seção 5.4.</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5.1.1.4.</w:t>
      </w:r>
      <w:r>
        <w:rPr>
          <w:rFonts w:ascii="Arial" w:hAnsi="Arial" w:cs="Arial"/>
          <w:color w:val="000000" w:themeColor="text1"/>
          <w:sz w:val="24"/>
          <w:szCs w:val="24"/>
        </w:rPr>
        <w:t xml:space="preserve"> O fornecimento deverá incluir, sem cobrança adicional fora do preço contratado, suporte técnico, manutenção corretiva, manutenção evolutiva e adaptativa, atualizações de versão, correções de segurança e atualizações decorrentes de alteração de legislação, manuais, layouts e regras públicas aplicáveis ao objeto.</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5.1.2. Controle de acesso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5.1.2.1.</w:t>
      </w:r>
      <w:r>
        <w:rPr>
          <w:rFonts w:ascii="Arial" w:hAnsi="Arial" w:cs="Arial"/>
          <w:color w:val="000000" w:themeColor="text1"/>
          <w:sz w:val="24"/>
          <w:szCs w:val="24"/>
        </w:rPr>
        <w:t xml:space="preserve"> O controle de acesso deverá utilizar perfis e permissões configuráveis por módulo, tela, operação e escopo.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5.1.2.2.</w:t>
      </w:r>
      <w:r>
        <w:rPr>
          <w:rFonts w:ascii="Arial" w:hAnsi="Arial" w:cs="Arial"/>
          <w:color w:val="000000" w:themeColor="text1"/>
          <w:sz w:val="24"/>
          <w:szCs w:val="24"/>
        </w:rPr>
        <w:t xml:space="preserve"> Todo novo módulo, tela ou relatório incorporado à plataforma deverá estar integrado ao sistema de permissões, sendo vedada a existência de funcionalidade fora do controle de perfis.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5.1.2.3.</w:t>
      </w:r>
      <w:r>
        <w:rPr>
          <w:rFonts w:ascii="Arial" w:hAnsi="Arial" w:cs="Arial"/>
          <w:color w:val="000000" w:themeColor="text1"/>
          <w:sz w:val="24"/>
          <w:szCs w:val="24"/>
        </w:rPr>
        <w:t xml:space="preserve"> Cada usuário deverá possuir credencial individual e intransferível, sendo vedado o uso de contas compartilhadas ou genéricas.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5.1.2.4.</w:t>
      </w:r>
      <w:r>
        <w:rPr>
          <w:rFonts w:ascii="Arial" w:hAnsi="Arial" w:cs="Arial"/>
          <w:color w:val="000000" w:themeColor="text1"/>
          <w:sz w:val="24"/>
          <w:szCs w:val="24"/>
        </w:rPr>
        <w:t xml:space="preserve"> A plataforma deverá registrar criação, alteração, bloqueio, revogação e último acesso dos usuários, bem como as ações administrativas relevantes.</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5.1.3. Parametrização e contexto de consulta</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5.1.3.1.</w:t>
      </w:r>
      <w:r>
        <w:rPr>
          <w:rFonts w:ascii="Arial" w:hAnsi="Arial" w:cs="Arial"/>
          <w:color w:val="000000" w:themeColor="text1"/>
          <w:sz w:val="24"/>
          <w:szCs w:val="24"/>
        </w:rPr>
        <w:t xml:space="preserve"> A plataforma deverá permitir configurar ou selecionar, conforme o módulo, exercício financeiro, órgão, unidade orçamentária ou gestora, fonte de recurso, período de referência e perfil do usuário.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5.1.3.2.</w:t>
      </w:r>
      <w:r>
        <w:rPr>
          <w:rFonts w:ascii="Arial" w:hAnsi="Arial" w:cs="Arial"/>
          <w:color w:val="000000" w:themeColor="text1"/>
          <w:sz w:val="24"/>
          <w:szCs w:val="24"/>
        </w:rPr>
        <w:t xml:space="preserve"> O sistema deverá suportar períodos mensal, bimestral, quadrimestral, semestral e anual quando compatíveis com o demonstrativo ou com a base de dados consultada.</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5.1.3.3.</w:t>
      </w:r>
      <w:r>
        <w:rPr>
          <w:rFonts w:ascii="Arial" w:hAnsi="Arial" w:cs="Arial"/>
          <w:color w:val="000000" w:themeColor="text1"/>
          <w:sz w:val="24"/>
          <w:szCs w:val="24"/>
        </w:rPr>
        <w:t xml:space="preserve"> Para cada base carregada — balancetes, demonstrativos, cadastros e integrações — a plataforma deverá registrar e exibir data e hora da última atualização, método de obtenção e status do processamento.</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5.1.4. Transparência sobre a origem da informação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5.1.4.1.</w:t>
      </w:r>
      <w:r>
        <w:rPr>
          <w:rFonts w:ascii="Arial" w:hAnsi="Arial" w:cs="Arial"/>
          <w:color w:val="000000" w:themeColor="text1"/>
          <w:sz w:val="24"/>
          <w:szCs w:val="24"/>
        </w:rPr>
        <w:t xml:space="preserve"> A plataforma deverá distinguir, em linguagem clara, se a informação exibida foi: importada de arquivo fornecido pela Administração; calculada pela plataforma; sincronizada ou atualizada por integração com fonte externa; informada manualmente por usuário identificado; ou marcada como pendente de atualização.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5.1.4.2.</w:t>
      </w:r>
      <w:r>
        <w:rPr>
          <w:rFonts w:ascii="Arial" w:hAnsi="Arial" w:cs="Arial"/>
          <w:color w:val="000000" w:themeColor="text1"/>
          <w:sz w:val="24"/>
          <w:szCs w:val="24"/>
        </w:rPr>
        <w:t xml:space="preserve"> Sempre que exibir valor calculado, a plataforma deverá disponibilizar memória de cálculo ou, no mínimo, fórmula, premissas, período, bases utilizadas e dados de origem.</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5.1.4.3.</w:t>
      </w:r>
      <w:r>
        <w:rPr>
          <w:rFonts w:ascii="Arial" w:hAnsi="Arial" w:cs="Arial"/>
          <w:color w:val="000000" w:themeColor="text1"/>
          <w:sz w:val="24"/>
          <w:szCs w:val="24"/>
        </w:rPr>
        <w:t xml:space="preserve"> A informação obtida por fonte externa deverá indicar a data da consulta ou sincronização. A plataforma não poderá apresentar como informação em tempo real dado cuja fonte esteja indisponível, desatualizada ou sujeita a defasagem, especialmente no caso do CAUC.</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5.1.5. Recursos padrão dos painéis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5.1.5.1.</w:t>
      </w:r>
      <w:r>
        <w:rPr>
          <w:rFonts w:ascii="Arial" w:hAnsi="Arial" w:cs="Arial"/>
          <w:color w:val="000000" w:themeColor="text1"/>
          <w:sz w:val="24"/>
          <w:szCs w:val="24"/>
        </w:rPr>
        <w:t xml:space="preserve"> Todos os painéis analíticos deverão oferecer, conforme pertinência do conteúdo, filtros por exercício, período, órgão, unidade, fonte de recurso e demais dimensões; comparação entre exercícios; séries históricas; evolução temporal; variação absoluta e percentual; exportação de relatórios em PDF; impressão adequada; e identificação da fonte e da data/hora da extração ou processamento.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5.1.5.2.</w:t>
      </w:r>
      <w:r>
        <w:rPr>
          <w:rFonts w:ascii="Arial" w:hAnsi="Arial" w:cs="Arial"/>
          <w:color w:val="000000" w:themeColor="text1"/>
          <w:sz w:val="24"/>
          <w:szCs w:val="24"/>
        </w:rPr>
        <w:t xml:space="preserve"> Os painéis deverão permitir detalhamento progressivo — drill-down — partindo do valor consolidado até o registro analítico de origem, sempre que a granularidade dos dados importados permitir.</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5.1.5.3.</w:t>
      </w:r>
      <w:r>
        <w:rPr>
          <w:rFonts w:ascii="Arial" w:hAnsi="Arial" w:cs="Arial"/>
          <w:color w:val="000000" w:themeColor="text1"/>
          <w:sz w:val="24"/>
          <w:szCs w:val="24"/>
        </w:rPr>
        <w:t xml:space="preserve"> Tabelas com grande volume deverão possuir paginação, ordenação e processamento compatíveis com bases extensas, sem exigir o carregamento integral de todos os registros no dispositivo do usuário.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5.1.5.4.</w:t>
      </w:r>
      <w:r>
        <w:rPr>
          <w:rFonts w:ascii="Arial" w:hAnsi="Arial" w:cs="Arial"/>
          <w:color w:val="000000" w:themeColor="text1"/>
          <w:sz w:val="24"/>
          <w:szCs w:val="24"/>
        </w:rPr>
        <w:t xml:space="preserve"> As exportações deverão respeitar as permissões do usuário e conservar, no próprio arquivo ou em metadados associados, a fonte, o período, a data-base e o usuário que realizou a operação.</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5.2. Módulo de painéis analíticos executivos</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5.2.1. Escopo mínimo de visões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5.2.1.1.</w:t>
      </w:r>
      <w:r>
        <w:rPr>
          <w:rFonts w:ascii="Arial" w:hAnsi="Arial" w:cs="Arial"/>
          <w:color w:val="000000" w:themeColor="text1"/>
          <w:sz w:val="24"/>
          <w:szCs w:val="24"/>
        </w:rPr>
        <w:t xml:space="preserve"> O módulo deverá contemplar, no mínimo, os grupos de painéis a seguir:</w:t>
      </w:r>
    </w:p>
    <w:tbl>
      <w:tblPr>
        <w:tblStyle w:val="TabeladeGradeClara"/>
        <w:tblW w:w="0" w:type="auto"/>
        <w:tblInd w:w="250" w:type="dxa"/>
        <w:tblLook w:val="04A0" w:firstRow="1" w:lastRow="0" w:firstColumn="1" w:lastColumn="0" w:noHBand="0" w:noVBand="1"/>
      </w:tblPr>
      <w:tblGrid>
        <w:gridCol w:w="1426"/>
        <w:gridCol w:w="7923"/>
      </w:tblGrid>
      <w:tr>
        <w:trPr>
          <w:tblHeader w:val="true"/>
        </w:trPr>
        <w:tc>
          <w:tcPr>
            <w:tcW w:w="1426"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Grupo</w:t>
            </w:r>
          </w:p>
        </w:tc>
        <w:tc>
          <w:tcPr>
            <w:tcW w:w="7923"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Conteúdo mínimo esperado</w:t>
            </w:r>
          </w:p>
        </w:tc>
      </w:tr>
      <w:tr>
        <w:tc>
          <w:tcPr>
            <w:tcW w:w="1426"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Receita</w:t>
            </w:r>
          </w:p>
        </w:tc>
        <w:tc>
          <w:tcPr>
            <w:tcW w:w="7923"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Visão geral de receita prevista e arrecadada; receitas próprias tributárias e demais; transferências correntes, com destaque para FPM, ICMS, IPVA, FUNDEB e demais repasses relevantes; análise por fonte; receitas vinculadas à educação e à saúde; RCL com memória de apuração; e consulta detalhada até o nível de desdobramento disponível.</w:t>
            </w:r>
          </w:p>
        </w:tc>
      </w:tr>
      <w:tr>
        <w:tc>
          <w:tcPr>
            <w:tcW w:w="1426"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Despesa</w:t>
            </w:r>
          </w:p>
        </w:tc>
        <w:tc>
          <w:tcPr>
            <w:tcW w:w="7923"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Análises por GND, órgão, unidade, função, subfunção, programa, elemento, subelemento, fonte e credor/fornecedor; estágios empenhado, liquidado e pago; saldos a liquidar e a pagar; e detalhamento por empenho quando a base permitir.</w:t>
            </w:r>
          </w:p>
        </w:tc>
      </w:tr>
      <w:tr>
        <w:tc>
          <w:tcPr>
            <w:tcW w:w="1426"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Despesas críticas</w:t>
            </w:r>
          </w:p>
        </w:tc>
        <w:tc>
          <w:tcPr>
            <w:tcW w:w="7923"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Painéis de combustíveis, diárias, obras e serviços de engenharia, folha de pagamento e encargos sociais; rankings de fornecedores ou empenhos; e séries comparativas, quando houver base suficiente.</w:t>
            </w:r>
          </w:p>
        </w:tc>
      </w:tr>
      <w:tr>
        <w:tc>
          <w:tcPr>
            <w:tcW w:w="1426"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Caixa e patrimônio</w:t>
            </w:r>
          </w:p>
        </w:tc>
        <w:tc>
          <w:tcPr>
            <w:tcW w:w="7923"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Disponibilidades financeiras; saldos bancários por conta e fonte; disponibilidade líquida; retenções e consignações; dívida consolidada e líquida; restos a pagar processados e não processados por exercício de inscrição.</w:t>
            </w:r>
          </w:p>
        </w:tc>
      </w:tr>
      <w:tr>
        <w:tc>
          <w:tcPr>
            <w:tcW w:w="1426"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Relações institucionais</w:t>
            </w:r>
          </w:p>
        </w:tc>
        <w:tc>
          <w:tcPr>
            <w:tcW w:w="7923"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Duodécimo repassado ao Poder Legislativo, com indicação do parâmetro constitucional aplicável; transferências financeiras concedidas e recebidas; obrigações previdenciárias INSS/RPPS, quando a base permitir; e demais indicadores institucionais disponíveis.</w:t>
            </w:r>
          </w:p>
        </w:tc>
      </w:tr>
      <w:tr>
        <w:tc>
          <w:tcPr>
            <w:tcW w:w="1426"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Indicadores legais</w:t>
            </w:r>
          </w:p>
        </w:tc>
        <w:tc>
          <w:tcPr>
            <w:tcW w:w="7923"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Despesa com pessoal/LRF sobre a RCL, por Poder/órgão, com limites de alerta, prudencial e máximo; aplicação em ASPS (Saúde); aplicação em MDE e FUNDEB (Educação); e demais indicadores definidos neste TR conforme a fonte e a legislação vigente, apurados a partir de DCA, RREO, RGF e MSC como fontes de dados.</w:t>
            </w:r>
          </w:p>
        </w:tc>
      </w:tr>
      <w:tr>
        <w:tc>
          <w:tcPr>
            <w:tcW w:w="1426"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Apresentação</w:t>
            </w:r>
          </w:p>
        </w:tc>
        <w:tc>
          <w:tcPr>
            <w:tcW w:w="7923"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Visões sintéticas para reuniões gerenciais, audiências públicas e conselhos de Saúde, Educação e FUNDEB, sem eliminar a consulta detalhada autorizada.</w:t>
            </w:r>
          </w:p>
        </w:tc>
      </w:tr>
    </w:tbl>
    <w:p>
      <w:pPr>
        <w:jc w:val="both"/>
        <w:rPr>
          <w:rFonts w:ascii="Arial" w:hAnsi="Arial" w:cs="Arial"/>
          <w:color w:val="000000" w:themeColor="text1"/>
          <w:sz w:val="24"/>
          <w:szCs w:val="24"/>
        </w:rPr>
      </w:pPr>
    </w:p>
    <w:p>
      <w:pPr>
        <w:jc w:val="both"/>
        <w:rPr>
          <w:rFonts w:ascii="Arial" w:hAnsi="Arial" w:cs="Arial"/>
          <w:color w:val="000000" w:themeColor="text1"/>
          <w:sz w:val="24"/>
          <w:szCs w:val="24"/>
        </w:rPr>
      </w:pPr>
      <w:r>
        <w:rPr>
          <w:rFonts w:ascii="Arial" w:hAnsi="Arial" w:cs="Arial"/>
          <w:b/>
          <w:color w:val="000000" w:themeColor="text1"/>
          <w:sz w:val="24"/>
          <w:szCs w:val="24"/>
        </w:rPr>
        <w:t xml:space="preserve">5.2.1.2.</w:t>
      </w:r>
      <w:r>
        <w:rPr>
          <w:rFonts w:ascii="Arial" w:hAnsi="Arial" w:cs="Arial"/>
          <w:color w:val="000000" w:themeColor="text1"/>
          <w:sz w:val="24"/>
          <w:szCs w:val="24"/>
        </w:rPr>
        <w:t xml:space="preserve"> Os grupos constituem conteúdo mínimo. Painéis adicionais poderão ser ofertados, desde que respeitem os requisitos de origem, memória de cálculo, permissões, exportação e rastreabilidade.</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5.2.1.3.</w:t>
      </w:r>
      <w:r>
        <w:rPr>
          <w:rFonts w:ascii="Arial" w:hAnsi="Arial" w:cs="Arial"/>
          <w:color w:val="000000" w:themeColor="text1"/>
          <w:sz w:val="24"/>
          <w:szCs w:val="24"/>
        </w:rPr>
        <w:t xml:space="preserve"> Além dos grupos previstos no subitem 5.2.1.1, o módulo deverá disponibilizar, no mínimo, as seguintes visões, com memória de cálculo, premissas, período de referência e identificação da origem dos dados: resultado orçamentário geral e por fonte de recurso; projeção gerencial do resultado orçamentário, identificada como estimativa e acompanhada das premissas adotadas; controle das alterações orçamentárias, abrangendo créditos adicionais, anulações, suplementações, remanejamentos, transposições e transferências, com saldo autorizado e execução correspondente; relação entre a Dívida Consolidada e a Receita Corrente Líquida — DC/RCL; disponibilidade de caixa líquida por fonte; controle de retenções e consignações; transferências financeiras concedidas e recebidas; e repasse do duodécimo ao Poder Legislativo, sempre que os dados importados permitirem a apuração.</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5.2.2. Comportamento analítico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5.2.2.1.</w:t>
      </w:r>
      <w:r>
        <w:rPr>
          <w:rFonts w:ascii="Arial" w:hAnsi="Arial" w:cs="Arial"/>
          <w:color w:val="000000" w:themeColor="text1"/>
          <w:sz w:val="24"/>
          <w:szCs w:val="24"/>
        </w:rPr>
        <w:t xml:space="preserve"> Os painéis deverão apresentar indicadores (KPIs) em destaque, gráficos de evolução e composição, tabelas detalhadas, ordenação por coluna e paginação quando o volume de registros exigir.</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5.2.2.2.</w:t>
      </w:r>
      <w:r>
        <w:rPr>
          <w:rFonts w:ascii="Arial" w:hAnsi="Arial" w:cs="Arial"/>
          <w:color w:val="000000" w:themeColor="text1"/>
          <w:sz w:val="24"/>
          <w:szCs w:val="24"/>
        </w:rPr>
        <w:t xml:space="preserve"> O usuário deverá conseguir comparar exercícios e períodos, identificar variações relevantes e acessar o detalhamento que compõe o resultado, sem que o painel oculte registros excluídos, pendentes ou rejeitados no processamento.</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5.2.3. Transparência metodológica dos indicadores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5.2.3.1.</w:t>
      </w:r>
      <w:r>
        <w:rPr>
          <w:rFonts w:ascii="Arial" w:hAnsi="Arial" w:cs="Arial"/>
          <w:color w:val="000000" w:themeColor="text1"/>
          <w:sz w:val="24"/>
          <w:szCs w:val="24"/>
        </w:rPr>
        <w:t xml:space="preserve"> Para cada indicador legal ou gerencial, a plataforma deverá informar fórmula, premissas, bases de incidência, deduções, exclusões, origem, período de referência e fundamentação normativa quando aplicável.</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5.2.3.2.</w:t>
      </w:r>
      <w:r>
        <w:rPr>
          <w:rFonts w:ascii="Arial" w:hAnsi="Arial" w:cs="Arial"/>
          <w:color w:val="000000" w:themeColor="text1"/>
          <w:sz w:val="24"/>
          <w:szCs w:val="24"/>
        </w:rPr>
        <w:t xml:space="preserve"> Quando o indicador depender de classificação, vinculação ou tratamento que não possa ser confirmado automaticamente, como marcação de despesa ASPS/MDE ou vinculação de fonte, o painel deverá apresentar ressalva explícita e permitir consulta aos dados de origem.</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5.3. Módulo de entregas, obrigações e conformidade</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5.3.1. Agenda de obrigações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5.3.1.1.</w:t>
      </w:r>
      <w:r>
        <w:rPr>
          <w:rFonts w:ascii="Arial" w:hAnsi="Arial" w:cs="Arial"/>
          <w:color w:val="000000" w:themeColor="text1"/>
          <w:sz w:val="24"/>
          <w:szCs w:val="24"/>
        </w:rPr>
        <w:t xml:space="preserve"> O módulo deverá permitir cadastrar obrigação, órgão destinatário, periodicidade, fundamentação, prazo, responsável, status, alertas, notificações e evidências de cumprimento, incluindo protocolos e recibos.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5.3.1.2.</w:t>
      </w:r>
      <w:r>
        <w:rPr>
          <w:rFonts w:ascii="Arial" w:hAnsi="Arial" w:cs="Arial"/>
          <w:color w:val="000000" w:themeColor="text1"/>
          <w:sz w:val="24"/>
          <w:szCs w:val="24"/>
        </w:rPr>
        <w:t xml:space="preserve"> Deverá contemplar, conforme disponibilidade, autorização e estabilidade técnica das fontes, o acompanhamento de obrigações perante órgãos externos quando tecnicamente possível.</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5.3.1.3.</w:t>
      </w:r>
      <w:r>
        <w:rPr>
          <w:rFonts w:ascii="Arial" w:hAnsi="Arial" w:cs="Arial"/>
          <w:color w:val="000000" w:themeColor="text1"/>
          <w:sz w:val="24"/>
          <w:szCs w:val="24"/>
        </w:rPr>
        <w:t xml:space="preserve"> O status deverá diferenciar, no mínimo, pendente, em andamento, entregue, entregue com atraso, dispensada, rejeitada, aguardando documento e aguardando validação.</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5.3.2. CAUC — Sistema de Informações sobre Requisitos Fiscais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5.3.2.1.</w:t>
      </w:r>
      <w:r>
        <w:rPr>
          <w:rFonts w:ascii="Arial" w:hAnsi="Arial" w:cs="Arial"/>
          <w:color w:val="000000" w:themeColor="text1"/>
          <w:sz w:val="24"/>
          <w:szCs w:val="24"/>
        </w:rPr>
        <w:t xml:space="preserve"> Quando houver acesso à fonte, a plataforma deverá exibir a situação de adimplência do Município, pendências identificadas, grupos de conformidade, histórico de consultas e data da última consulta.</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5.3.2.2.</w:t>
      </w:r>
      <w:r>
        <w:rPr>
          <w:rFonts w:ascii="Arial" w:hAnsi="Arial" w:cs="Arial"/>
          <w:color w:val="000000" w:themeColor="text1"/>
          <w:sz w:val="24"/>
          <w:szCs w:val="24"/>
        </w:rPr>
        <w:t xml:space="preserve"> A plataforma deverá indicar expressamente eventual indisponibilidade ou defasagem da fonte oficial, de modo a não apresentar informação desatualizada como se fosse consulta em tempo real, e não poderá garantir regularidade, desbloqueio de transferência ou ausência de restrição sem confirmação oficial.</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5.3.3. Acompanhamento de processos do TCM-GO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5.3.3.1.</w:t>
      </w:r>
      <w:r>
        <w:rPr>
          <w:rFonts w:ascii="Arial" w:hAnsi="Arial" w:cs="Arial"/>
          <w:color w:val="000000" w:themeColor="text1"/>
          <w:sz w:val="24"/>
          <w:szCs w:val="24"/>
        </w:rPr>
        <w:t xml:space="preserve"> O módulo deverá permitir cadastro ou importação de número de processo, órgão, exercício, unidade responsável, assunto, fase, situação, prazos, diligências, julgamento ou decisão, documentos vinculados e providências pendentes, com os respectivos alertas.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5.3.3.2.</w:t>
      </w:r>
      <w:r>
        <w:rPr>
          <w:rFonts w:ascii="Arial" w:hAnsi="Arial" w:cs="Arial"/>
          <w:color w:val="000000" w:themeColor="text1"/>
          <w:sz w:val="24"/>
          <w:szCs w:val="24"/>
        </w:rPr>
        <w:t xml:space="preserve"> O sistema deverá diferenciar informação publicada pela fonte oficial; importada de arquivo ou integração; lançada manualmente por usuário identificado; e aguardando atualização.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5.3.3.3.</w:t>
      </w:r>
      <w:r>
        <w:rPr>
          <w:rFonts w:ascii="Arial" w:hAnsi="Arial" w:cs="Arial"/>
          <w:color w:val="000000" w:themeColor="text1"/>
          <w:sz w:val="24"/>
          <w:szCs w:val="24"/>
        </w:rPr>
        <w:t xml:space="preserve"> Deverá permitir consulta consolidada por exercício, órgão, fase e existência de providência pendente, com alertas de prazos de diligência.</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5.4. Aplicativo móvel</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5.4.1.</w:t>
      </w:r>
      <w:r>
        <w:rPr>
          <w:rFonts w:ascii="Arial" w:hAnsi="Arial" w:cs="Arial"/>
          <w:color w:val="000000" w:themeColor="text1"/>
          <w:sz w:val="24"/>
          <w:szCs w:val="24"/>
        </w:rPr>
        <w:t xml:space="preserve"> A contratada deverá disponibilizar aplicativo móvel integrado à mesma base da plataforma web, sem replicação manual, refletindo os mesmos dados, cálculos, permissões e atualizações, com as adaptações próprias do dispositivo. O aplicativo e o sistema web constituem uma única solução SaaS, e não sistemas independentes.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5.4.2.</w:t>
      </w:r>
      <w:r>
        <w:rPr>
          <w:rFonts w:ascii="Arial" w:hAnsi="Arial" w:cs="Arial"/>
          <w:color w:val="000000" w:themeColor="text1"/>
          <w:sz w:val="24"/>
          <w:szCs w:val="24"/>
        </w:rPr>
        <w:t xml:space="preserve"> O aplicativo deverá utilizar autenticação segura e o mesmo controle de perfis da plataforma web. O usuário somente visualizará módulos e informações autorizados ao seu perfil.</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5.4.3.</w:t>
      </w:r>
      <w:r>
        <w:rPr>
          <w:rFonts w:ascii="Arial" w:hAnsi="Arial" w:cs="Arial"/>
          <w:color w:val="000000" w:themeColor="text1"/>
          <w:sz w:val="24"/>
          <w:szCs w:val="24"/>
        </w:rPr>
        <w:t xml:space="preserve"> O aplicativo deverá permitir, conforme o perfil do usuário, consulta a dashboard, painéis de receita e despesa, caixa e disponibilidades, indicadores legais, obrigações, CAUC, processos do TCM-GO e alertas, observadas as limitações próprias de dispositivos móveis.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5.4.4.</w:t>
      </w:r>
      <w:r>
        <w:rPr>
          <w:rFonts w:ascii="Arial" w:hAnsi="Arial" w:cs="Arial"/>
          <w:color w:val="000000" w:themeColor="text1"/>
          <w:sz w:val="24"/>
          <w:szCs w:val="24"/>
        </w:rPr>
        <w:t xml:space="preserve"> O aplicativo deverá estar disponível para Android e iOS, por loja oficial ou distribuição corporativa aceita pela Administração, sendo responsabilidade da contratada publicar, atualizar, manter e informar a versão.</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5.5. Integrações, importação e rastreabilidade</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5.5.1. Formatos e fontes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5.5.1.1.</w:t>
      </w:r>
      <w:r>
        <w:rPr>
          <w:rFonts w:ascii="Arial" w:hAnsi="Arial" w:cs="Arial"/>
          <w:color w:val="000000" w:themeColor="text1"/>
          <w:sz w:val="24"/>
          <w:szCs w:val="24"/>
        </w:rPr>
        <w:t xml:space="preserve"> A solução deverá aceitar balancetes e demais arquivos disponibilizados pela Administração, em formatos e layouts compatíveis com o SIAFIC municipal e com os padrões utilizados pelo TCM-GO.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5.5.1.2.</w:t>
      </w:r>
      <w:r>
        <w:rPr>
          <w:rFonts w:ascii="Arial" w:hAnsi="Arial" w:cs="Arial"/>
          <w:color w:val="000000" w:themeColor="text1"/>
          <w:sz w:val="24"/>
          <w:szCs w:val="24"/>
        </w:rPr>
        <w:t xml:space="preserve"> Integrações via API com sistemas oficiais somente serão exigidas quando houver interface oficial, autorização, estabilidade e disponibilidade técnica. A proposta deverá declarar as dependências e os fluxos alternativos quando a API estiver indisponível.</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5.5.2. Registro de cada importação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5.5.2.1.</w:t>
      </w:r>
      <w:r>
        <w:rPr>
          <w:rFonts w:ascii="Arial" w:hAnsi="Arial" w:cs="Arial"/>
          <w:color w:val="000000" w:themeColor="text1"/>
          <w:sz w:val="24"/>
          <w:szCs w:val="24"/>
        </w:rPr>
        <w:t xml:space="preserve"> Cada importação ou sincronização deverá registrar e exibir arquivos, linhas ou registros processados; aceitos; rejeitados; ignorados; pendentes; mensagens de erro; data/hora; usuário ou processo automático; origem; e versão do layout ou processamento.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5.5.2.2.</w:t>
      </w:r>
      <w:r>
        <w:rPr>
          <w:rFonts w:ascii="Arial" w:hAnsi="Arial" w:cs="Arial"/>
          <w:color w:val="000000" w:themeColor="text1"/>
          <w:sz w:val="24"/>
          <w:szCs w:val="24"/>
        </w:rPr>
        <w:t xml:space="preserve"> Reimportações de períodos já carregados deverão exigir confirmação explícita antes de substituir dados existentes, sendo vedada duplicação silenciosa ou substituição sem confirmação.</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5.5.3. Rastreabilidade e auditoria</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5.5.3.1.</w:t>
      </w:r>
      <w:r>
        <w:rPr>
          <w:rFonts w:ascii="Arial" w:hAnsi="Arial" w:cs="Arial"/>
          <w:color w:val="000000" w:themeColor="text1"/>
          <w:sz w:val="24"/>
          <w:szCs w:val="24"/>
        </w:rPr>
        <w:t xml:space="preserve"> A plataforma deverá manter vínculo entre qualquer informação exibida e o lote de dados que a originou, permitindo identificar arquivo ou fonte, data, usuário e versão.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5.5.3.2.</w:t>
      </w:r>
      <w:r>
        <w:rPr>
          <w:rFonts w:ascii="Arial" w:hAnsi="Arial" w:cs="Arial"/>
          <w:color w:val="000000" w:themeColor="text1"/>
          <w:sz w:val="24"/>
          <w:szCs w:val="24"/>
        </w:rPr>
        <w:t xml:space="preserve"> Deverá ser possível reprocessar lotes de forma controlada, sem perda do histórico anterior, registrando quem executou, quando e qual versão do processamento foi aplicada.</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5.5.3.3.</w:t>
      </w:r>
      <w:r>
        <w:rPr>
          <w:rFonts w:ascii="Arial" w:hAnsi="Arial" w:cs="Arial"/>
          <w:color w:val="000000" w:themeColor="text1"/>
          <w:sz w:val="24"/>
          <w:szCs w:val="24"/>
        </w:rPr>
        <w:t xml:space="preserve"> Os registros de importação e processamento deverão ser mantidos, no mínimo, durante a vigência contratual, sem prejuízo de prazo maior definido na política de retenção ou em obrigação legal.</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5.6. Segurança, privacidade e continuidade</w:t>
      </w:r>
    </w:p>
    <w:p>
      <w:pPr>
        <w:jc w:val="both"/>
        <w:rPr>
          <w:rFonts w:ascii="Arial" w:hAnsi="Arial" w:cs="Arial"/>
          <w:color w:val="000000" w:themeColor="text1"/>
          <w:sz w:val="24"/>
          <w:szCs w:val="24"/>
        </w:rPr>
      </w:pPr>
      <w:r>
        <w:rPr>
          <w:rFonts w:ascii="Arial" w:hAnsi="Arial" w:cs="Arial"/>
          <w:color w:val="000000" w:themeColor="text1"/>
          <w:sz w:val="24"/>
          <w:szCs w:val="24"/>
        </w:rPr>
        <w:t xml:space="preserve">Os requisitos a seguir não constituem módulo comercial autônomo, mas condição transversal aplicável a toda a plataforma, web e móvel.</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5.6.1.</w:t>
      </w:r>
      <w:r>
        <w:rPr>
          <w:rFonts w:ascii="Arial" w:hAnsi="Arial" w:cs="Arial"/>
          <w:color w:val="000000" w:themeColor="text1"/>
          <w:sz w:val="24"/>
          <w:szCs w:val="24"/>
        </w:rPr>
        <w:t xml:space="preserve"> Todas as comunicações externas entre usuários, aplicações, APIs e serviços disponibilizados pela solução deverão suportar conexão segura por HTTPS.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5.6.2.</w:t>
      </w:r>
      <w:r>
        <w:rPr>
          <w:rFonts w:ascii="Arial" w:hAnsi="Arial" w:cs="Arial"/>
          <w:color w:val="000000" w:themeColor="text1"/>
          <w:sz w:val="24"/>
          <w:szCs w:val="24"/>
        </w:rPr>
        <w:t xml:space="preserve"> O tratamento de dados deverá observar a Lei Geral de Proteção de Dados (LGPD), com finalidade limitada à execução do objeto, controles de acesso, minimização, segurança e responsabilização.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5.6.3.</w:t>
      </w:r>
      <w:r>
        <w:rPr>
          <w:rFonts w:ascii="Arial" w:hAnsi="Arial" w:cs="Arial"/>
          <w:color w:val="000000" w:themeColor="text1"/>
          <w:sz w:val="24"/>
          <w:szCs w:val="24"/>
        </w:rPr>
        <w:t xml:space="preserve"> A contratada deverá atuar como operadora dos dados sob controle da Administração, ressalvadas as hipóteses em que o contrato estabeleça distribuição distinta de papéis, responsabilidades e bases legais.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5.6.4.</w:t>
      </w:r>
      <w:r>
        <w:rPr>
          <w:rFonts w:ascii="Arial" w:hAnsi="Arial" w:cs="Arial"/>
          <w:color w:val="000000" w:themeColor="text1"/>
          <w:sz w:val="24"/>
          <w:szCs w:val="24"/>
        </w:rPr>
        <w:t xml:space="preserve"> É vedado utilizar dados do Município para finalidade diversa da execução do objeto, inclusive compartilhamento, comercialização ou criação de produto de terceiros, sem autorização expressa e base jurídica adequada.</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5.6.5.</w:t>
      </w:r>
      <w:r>
        <w:rPr>
          <w:rFonts w:ascii="Arial" w:hAnsi="Arial" w:cs="Arial"/>
          <w:color w:val="000000" w:themeColor="text1"/>
          <w:sz w:val="24"/>
          <w:szCs w:val="24"/>
        </w:rPr>
        <w:t xml:space="preserve"> Incidentes que possam acarretar risco ou dano deverão ser comunicados à Administração em até 24 horas da ciência, com descrição do ocorrido, dados afetados, medidas de contenção, responsável e plano de atualização.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5.6.6.</w:t>
      </w:r>
      <w:r>
        <w:rPr>
          <w:rFonts w:ascii="Arial" w:hAnsi="Arial" w:cs="Arial"/>
          <w:color w:val="000000" w:themeColor="text1"/>
          <w:sz w:val="24"/>
          <w:szCs w:val="24"/>
        </w:rPr>
        <w:t xml:space="preserve"> A solução deverá oferecer disponibilidade mensal mínima de referência de 99,5%, apurada por mês civil, excluídas janelas programadas comunicadas com antecedência mínima de 48 horas, preferencialmente fora do horário comercial, e eventos devidamente comprovados conforme o contrato.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5.6.7.</w:t>
      </w:r>
      <w:r>
        <w:rPr>
          <w:rFonts w:ascii="Arial" w:hAnsi="Arial" w:cs="Arial"/>
          <w:color w:val="000000" w:themeColor="text1"/>
          <w:sz w:val="24"/>
          <w:szCs w:val="24"/>
        </w:rPr>
        <w:t xml:space="preserve"> A plataforma deverá garantir autenticação segura; usuários individuais e intransferíveis; perfis e permissões configuráveis; controle de acesso baseado no princípio do menor privilégio; segregação de acesso por perfil, órgão e unidade; logs e trilhas de auditoria; rastreabilidade das ações realizadas na plataforma; criptografia em trânsito e em repouso; rotinas de backup e mecanismos de continuidade e recuperação; gestão de vulnerabilidades; exportação estruturada dos dados municipais; reversibilidade ao término da contratação; e suporte técnico e manutenção com níveis mínimos de atendimento.</w:t>
      </w:r>
    </w:p>
    <w:p>
      <w:pPr>
        <w:pStyle w:val="Ttulo1"/>
        <w:jc w:val="both"/>
        <w:rPr>
          <w:rFonts w:ascii="Arial" w:hAnsi="Arial" w:cs="Arial"/>
          <w:color w:val="000000" w:themeColor="text1"/>
          <w:sz w:val="24"/>
          <w:szCs w:val="24"/>
        </w:rPr>
      </w:pPr>
      <w:r>
        <w:rPr>
          <w:rFonts w:ascii="Arial" w:hAnsi="Arial" w:cs="Arial"/>
          <w:color w:val="000000" w:themeColor="text1"/>
          <w:sz w:val="24"/>
          <w:szCs w:val="24"/>
        </w:rPr>
        <w:t xml:space="preserve">6. Níveis de serviço e desempenho mínimo</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6.1. Disponibilidade</w:t>
      </w:r>
    </w:p>
    <w:p>
      <w:pPr>
        <w:jc w:val="both"/>
        <w:rPr>
          <w:rFonts w:ascii="Arial" w:hAnsi="Arial" w:cs="Arial"/>
          <w:color w:val="000000" w:themeColor="text1"/>
          <w:sz w:val="24"/>
          <w:szCs w:val="24"/>
        </w:rPr>
      </w:pPr>
      <w:r>
        <w:rPr>
          <w:rFonts w:ascii="Arial" w:hAnsi="Arial" w:cs="Arial"/>
          <w:color w:val="000000" w:themeColor="text1"/>
          <w:sz w:val="24"/>
          <w:szCs w:val="24"/>
        </w:rPr>
        <w:t xml:space="preserve">A plataforma web e os serviços essenciais deverão alcançar disponibilidade mensal mínima de </w:t>
      </w:r>
      <w:r>
        <w:rPr>
          <w:rFonts w:ascii="Arial" w:hAnsi="Arial" w:cs="Arial"/>
          <w:b/>
          <w:color w:val="000000" w:themeColor="text1"/>
          <w:sz w:val="24"/>
          <w:szCs w:val="24"/>
        </w:rPr>
        <w:t xml:space="preserve">99,5%</w:t>
      </w:r>
      <w:r>
        <w:rPr>
          <w:rFonts w:ascii="Arial" w:hAnsi="Arial" w:cs="Arial"/>
          <w:color w:val="000000" w:themeColor="text1"/>
          <w:sz w:val="24"/>
          <w:szCs w:val="24"/>
        </w:rPr>
        <w:t xml:space="preserve">, excluídas janelas de manutenção programada previamente comunicadas, indisponibilidades decorrentes de fato exclusivamente imputável ao Município, força maior comprovada ou indisponibilidade de fonte externa, desde que a contratada mantenha o serviço interno e comunique a ocorrência.</w:t>
      </w:r>
    </w:p>
    <w:p>
      <w:pPr>
        <w:jc w:val="both"/>
        <w:rPr>
          <w:rFonts w:ascii="Arial" w:hAnsi="Arial" w:cs="Arial"/>
          <w:color w:val="000000" w:themeColor="text1"/>
          <w:sz w:val="24"/>
          <w:szCs w:val="24"/>
        </w:rPr>
      </w:pPr>
      <w:r>
        <w:rPr>
          <w:rFonts w:ascii="Arial" w:hAnsi="Arial" w:cs="Arial"/>
          <w:color w:val="000000" w:themeColor="text1"/>
          <w:sz w:val="24"/>
          <w:szCs w:val="24"/>
        </w:rPr>
        <w:t xml:space="preserve">A apuração deverá utilizar a seguinte fórmula:</w:t>
      </w:r>
    </w:p>
    <w:p>
      <w:pPr>
        <w:jc w:val="both"/>
        <w:rPr>
          <w:rFonts w:ascii="Arial" w:hAnsi="Arial" w:cs="Arial"/>
          <w:color w:val="000000" w:themeColor="text1"/>
          <w:sz w:val="24"/>
          <w:szCs w:val="24"/>
        </w:rPr>
      </w:pPr>
      <w:r>
        <w:rPr>
          <w:rFonts w:ascii="Arial" w:hAnsi="Arial" w:cs="Arial"/>
          <w:color w:val="000000" w:themeColor="text1"/>
          <w:sz w:val="24"/>
          <w:szCs w:val="24"/>
        </w:rPr>
        <w:t xml:space="preserve">Disponibilidade mensal (%) = [minutos totais do período − minutos de indisponibilidade imputável à contratada] ÷ minutos totais do período × 100.</w:t>
      </w:r>
    </w:p>
    <w:p>
      <w:pPr>
        <w:jc w:val="both"/>
        <w:rPr>
          <w:rFonts w:ascii="Arial" w:hAnsi="Arial" w:cs="Arial"/>
          <w:color w:val="000000" w:themeColor="text1"/>
          <w:sz w:val="24"/>
          <w:szCs w:val="24"/>
        </w:rPr>
      </w:pPr>
      <w:r>
        <w:rPr>
          <w:rFonts w:ascii="Arial" w:hAnsi="Arial" w:cs="Arial"/>
          <w:color w:val="000000" w:themeColor="text1"/>
          <w:sz w:val="24"/>
          <w:szCs w:val="24"/>
        </w:rPr>
        <w:t xml:space="preserve">A contratada deverá fornecer relatório mensal com período de medição, incidentes, início, fim, causa, impacto, exclusões e cálculo do indicador.</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6.2. Suporte e incidentes</w:t>
      </w:r>
    </w:p>
    <w:p>
      <w:pPr>
        <w:jc w:val="both"/>
        <w:rPr>
          <w:rFonts w:ascii="Arial" w:hAnsi="Arial" w:cs="Arial"/>
          <w:color w:val="000000" w:themeColor="text1"/>
          <w:sz w:val="24"/>
          <w:szCs w:val="24"/>
        </w:rPr>
      </w:pPr>
      <w:r>
        <w:rPr>
          <w:rFonts w:ascii="Arial" w:hAnsi="Arial" w:cs="Arial"/>
          <w:color w:val="000000" w:themeColor="text1"/>
          <w:sz w:val="24"/>
          <w:szCs w:val="24"/>
        </w:rPr>
        <w:t xml:space="preserve">O suporte deverá ser prestado em horário comercial por canal de atendimento. Mensagens instantâneas poderão ser usadas como canal complementar, mas não substituirão o registro formal.</w:t>
      </w:r>
    </w:p>
    <w:tbl>
      <w:tblPr>
        <w:tblStyle w:val="TabeladeGradeClara"/>
        <w:tblW w:w="0" w:type="auto"/>
        <w:tblInd w:w="250" w:type="dxa"/>
        <w:tblLook w:val="04A0" w:firstRow="1" w:lastRow="0" w:firstColumn="1" w:lastColumn="0" w:noHBand="0" w:noVBand="1"/>
      </w:tblPr>
      <w:tblGrid>
        <w:gridCol w:w="721"/>
        <w:gridCol w:w="4008"/>
        <w:gridCol w:w="1169"/>
        <w:gridCol w:w="3451"/>
      </w:tblGrid>
      <w:tr>
        <w:trPr>
          <w:tblHeader w:val="true"/>
        </w:trPr>
        <w:tc>
          <w:tcPr>
            <w:tcW w:w="721"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Severidade</w:t>
            </w:r>
          </w:p>
        </w:tc>
        <w:tc>
          <w:tcPr>
            <w:tcW w:w="4008"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Exemplo</w:t>
            </w:r>
          </w:p>
        </w:tc>
        <w:tc>
          <w:tcPr>
            <w:tcW w:w="1169"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Início do atendimento</w:t>
            </w:r>
          </w:p>
        </w:tc>
        <w:tc>
          <w:tcPr>
            <w:tcW w:w="3451"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Meta de encaminhamento</w:t>
            </w:r>
          </w:p>
        </w:tc>
      </w:tr>
      <w:tr>
        <w:tc>
          <w:tcPr>
            <w:tcW w:w="72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Crítica/P1</w:t>
            </w:r>
          </w:p>
        </w:tc>
        <w:tc>
          <w:tcPr>
            <w:tcW w:w="4008"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Indisponibilidade geral, incidente de segurança ou perda de acesso amplo</w:t>
            </w:r>
          </w:p>
        </w:tc>
        <w:tc>
          <w:tcPr>
            <w:tcW w:w="116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Até 4 horas úteis</w:t>
            </w:r>
          </w:p>
        </w:tc>
        <w:tc>
          <w:tcPr>
            <w:tcW w:w="345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Plano de contingência no mesmo dia e atualização periódica</w:t>
            </w:r>
          </w:p>
        </w:tc>
      </w:tr>
      <w:tr>
        <w:tc>
          <w:tcPr>
            <w:tcW w:w="72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Alta/P2</w:t>
            </w:r>
          </w:p>
        </w:tc>
        <w:tc>
          <w:tcPr>
            <w:tcW w:w="4008"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Falha em módulo essencial que afeta grupo relevante</w:t>
            </w:r>
          </w:p>
        </w:tc>
        <w:tc>
          <w:tcPr>
            <w:tcW w:w="116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Até 8 horas úteis</w:t>
            </w:r>
          </w:p>
        </w:tc>
        <w:tc>
          <w:tcPr>
            <w:tcW w:w="345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Solução ou contorno em até 2 dias úteis, conforme complexidade</w:t>
            </w:r>
          </w:p>
        </w:tc>
      </w:tr>
      <w:tr>
        <w:tc>
          <w:tcPr>
            <w:tcW w:w="72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Média/P3</w:t>
            </w:r>
          </w:p>
        </w:tc>
        <w:tc>
          <w:tcPr>
            <w:tcW w:w="4008"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Falha parcial com alternativa de uso</w:t>
            </w:r>
          </w:p>
        </w:tc>
        <w:tc>
          <w:tcPr>
            <w:tcW w:w="116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Até 1 dia útil</w:t>
            </w:r>
          </w:p>
        </w:tc>
        <w:tc>
          <w:tcPr>
            <w:tcW w:w="345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Solução em até 5 dias úteis ou justificativa</w:t>
            </w:r>
          </w:p>
        </w:tc>
      </w:tr>
      <w:tr>
        <w:tc>
          <w:tcPr>
            <w:tcW w:w="72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Baixa/P4</w:t>
            </w:r>
          </w:p>
        </w:tc>
        <w:tc>
          <w:tcPr>
            <w:tcW w:w="4008"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Dúvida, ajuste visual ou melhoria não crítica</w:t>
            </w:r>
          </w:p>
        </w:tc>
        <w:tc>
          <w:tcPr>
            <w:tcW w:w="116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Até 2 dias úteis</w:t>
            </w:r>
          </w:p>
        </w:tc>
        <w:tc>
          <w:tcPr>
            <w:tcW w:w="345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Tratamento conforme planejamento e comunicação</w:t>
            </w:r>
          </w:p>
        </w:tc>
      </w:tr>
    </w:tbl>
    <w:p>
      <w:pPr>
        <w:jc w:val="both"/>
        <w:rPr>
          <w:rFonts w:ascii="Arial" w:hAnsi="Arial" w:cs="Arial"/>
          <w:color w:val="000000" w:themeColor="text1"/>
          <w:sz w:val="24"/>
          <w:szCs w:val="24"/>
        </w:rPr>
      </w:pPr>
    </w:p>
    <w:p>
      <w:pPr>
        <w:jc w:val="both"/>
        <w:rPr>
          <w:rFonts w:ascii="Arial" w:hAnsi="Arial" w:cs="Arial"/>
          <w:color w:val="000000" w:themeColor="text1"/>
          <w:sz w:val="24"/>
          <w:szCs w:val="24"/>
        </w:rPr>
      </w:pPr>
      <w:r>
        <w:rPr>
          <w:rFonts w:ascii="Arial" w:hAnsi="Arial" w:cs="Arial"/>
          <w:color w:val="000000" w:themeColor="text1"/>
          <w:sz w:val="24"/>
          <w:szCs w:val="24"/>
        </w:rPr>
        <w:t xml:space="preserve">Os prazos poderão ser detalhados no contrato, desde que não reduzam os níveis mínimos acima sem justificativa formal e aprovação da Administração.</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6.3. Atualizações regulatórias</w:t>
      </w:r>
    </w:p>
    <w:p>
      <w:pPr>
        <w:jc w:val="both"/>
        <w:rPr>
          <w:rFonts w:ascii="Arial" w:hAnsi="Arial" w:cs="Arial"/>
          <w:color w:val="000000" w:themeColor="text1"/>
          <w:sz w:val="24"/>
          <w:szCs w:val="24"/>
        </w:rPr>
      </w:pPr>
      <w:r>
        <w:rPr>
          <w:rFonts w:ascii="Arial" w:hAnsi="Arial" w:cs="Arial"/>
          <w:color w:val="000000" w:themeColor="text1"/>
          <w:sz w:val="24"/>
          <w:szCs w:val="24"/>
        </w:rPr>
        <w:t xml:space="preserve">A contratada deverá manter as funcionalidades, regras, integrações e layouts contratados compatíveis com alterações públicas de fontes e normas abrangidas pelo objeto, sem cobrança adicional de manutenção evolutiva ordinária. A atualização deverá ser comunicada, versionada e, quando possível, disponibilizada em ambiente de homologação antes da produção.</w:t>
      </w:r>
    </w:p>
    <w:p>
      <w:pPr>
        <w:pStyle w:val="Ttulo1"/>
        <w:jc w:val="both"/>
        <w:rPr>
          <w:rFonts w:ascii="Arial" w:hAnsi="Arial" w:cs="Arial"/>
          <w:color w:val="000000" w:themeColor="text1"/>
          <w:sz w:val="24"/>
          <w:szCs w:val="24"/>
        </w:rPr>
      </w:pPr>
      <w:r>
        <w:rPr>
          <w:rFonts w:ascii="Arial" w:hAnsi="Arial" w:cs="Arial"/>
          <w:color w:val="000000" w:themeColor="text1"/>
          <w:sz w:val="24"/>
          <w:szCs w:val="24"/>
        </w:rPr>
        <w:t xml:space="preserve">7. Quantidade, prazo e quadro de itens</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7.1. Quantitativo</w:t>
      </w:r>
    </w:p>
    <w:tbl>
      <w:tblPr>
        <w:tblStyle w:val="TabeladeGradeClara"/>
        <w:tblW w:w="0" w:type="auto"/>
        <w:tblInd w:w="250" w:type="dxa"/>
        <w:tblLook w:val="04A0" w:firstRow="1" w:lastRow="0" w:firstColumn="1" w:lastColumn="0" w:noHBand="0" w:noVBand="1"/>
      </w:tblPr>
      <w:tblGrid>
        <w:gridCol w:w="1092"/>
        <w:gridCol w:w="6071"/>
        <w:gridCol w:w="1092"/>
        <w:gridCol w:w="1092"/>
      </w:tblGrid>
      <w:tr>
        <w:trPr>
          <w:tblHeader w:val="true"/>
        </w:trPr>
        <w:tc>
          <w:tcPr>
            <w:tcW w:w="1092"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Item</w:t>
            </w:r>
          </w:p>
        </w:tc>
        <w:tc>
          <w:tcPr>
            <w:tcW w:w="6071"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Descrição</w:t>
            </w:r>
          </w:p>
        </w:tc>
        <w:tc>
          <w:tcPr>
            <w:tcW w:w="1092"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Unidade</w:t>
            </w:r>
          </w:p>
        </w:tc>
        <w:tc>
          <w:tcPr>
            <w:tcW w:w="1092"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Quantidade</w:t>
            </w:r>
          </w:p>
        </w:tc>
      </w:tr>
      <w:tr>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1</w:t>
            </w:r>
          </w:p>
        </w:tc>
        <w:tc>
          <w:tcPr>
            <w:tcW w:w="607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Licença corporativa integrada da plataforma SaaS de inteligência contábil e gestão fiscal — compreendendo painéis analíticos executivos, entregas/obrigações/conformidade, CAUC, processos do TCM-GO, integrações/importação/rastreabilidade e aplicativo móvel integrado —, incluindo implantação, capacitação, suporte, atualizações, segurança, backup e continuidade</w:t>
            </w:r>
          </w:p>
        </w:tc>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Mês</w:t>
            </w:r>
          </w:p>
        </w:tc>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36</w:t>
            </w:r>
          </w:p>
        </w:tc>
      </w:tr>
    </w:tbl>
    <w:p>
      <w:pPr>
        <w:jc w:val="both"/>
        <w:rPr>
          <w:rFonts w:ascii="Arial" w:hAnsi="Arial" w:cs="Arial"/>
          <w:color w:val="000000" w:themeColor="text1"/>
          <w:sz w:val="24"/>
          <w:szCs w:val="24"/>
        </w:rPr>
      </w:pPr>
    </w:p>
    <w:p>
      <w:pPr>
        <w:jc w:val="both"/>
        <w:rPr>
          <w:rFonts w:ascii="Arial" w:hAnsi="Arial" w:cs="Arial"/>
          <w:color w:val="000000" w:themeColor="text1"/>
          <w:sz w:val="24"/>
          <w:szCs w:val="24"/>
        </w:rPr>
      </w:pPr>
      <w:r>
        <w:rPr>
          <w:rFonts w:ascii="Arial" w:hAnsi="Arial" w:cs="Arial"/>
          <w:b/>
          <w:color w:val="000000" w:themeColor="text1"/>
          <w:sz w:val="24"/>
          <w:szCs w:val="24"/>
        </w:rPr>
        <w:t xml:space="preserve">7.1.1.</w:t>
      </w:r>
      <w:r>
        <w:rPr>
          <w:rFonts w:ascii="Arial" w:hAnsi="Arial" w:cs="Arial"/>
          <w:color w:val="000000" w:themeColor="text1"/>
          <w:sz w:val="24"/>
          <w:szCs w:val="24"/>
        </w:rPr>
        <w:t xml:space="preserve"> Os quantitativos de referência — 1 (uma) licença corporativa, 20 (vinte) usuários simultâneos e 1 (um) aplicativo móvel integrado — são os mesmos definidos no Estudo Técnico Preliminar, não havendo divergência entre os documentos quanto a esses parâmetros.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7.1.2.</w:t>
      </w:r>
      <w:r>
        <w:rPr>
          <w:rFonts w:ascii="Arial" w:hAnsi="Arial" w:cs="Arial"/>
          <w:color w:val="000000" w:themeColor="text1"/>
          <w:sz w:val="24"/>
          <w:szCs w:val="24"/>
        </w:rPr>
        <w:t xml:space="preserve"> [INFORMAÇÃO A PREENCHER] — preço unitário do usuário simultâneo adicional, quando aplicável, a ser definido a partir da pesquisa de preços.</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7.2. Vigência</w:t>
      </w:r>
    </w:p>
    <w:p>
      <w:pPr>
        <w:jc w:val="both"/>
        <w:rPr>
          <w:rFonts w:ascii="Arial" w:hAnsi="Arial" w:cs="Arial"/>
          <w:color w:val="000000" w:themeColor="text1"/>
          <w:sz w:val="24"/>
          <w:szCs w:val="24"/>
        </w:rPr>
      </w:pPr>
      <w:r>
        <w:rPr>
          <w:rFonts w:ascii="Arial" w:hAnsi="Arial" w:cs="Arial"/>
          <w:color w:val="000000" w:themeColor="text1"/>
          <w:sz w:val="24"/>
          <w:szCs w:val="24"/>
        </w:rPr>
        <w:t xml:space="preserve">A vigência inicial do contrato será de 36 (trinta e seis) meses, contados da assinatura ou da data de início definida no instrumento contratual, com fundamento no art. 106 da Lei nº 14.133/2021, que autoriza a celebração de contratos de serviços e fornecimentos contínuos com prazo de até 5 (cinco) anos, hipótese expressamente aplicável, por força do § 2º do mesmo artigo, à utilização de programas de informática.</w:t>
      </w:r>
    </w:p>
    <w:p>
      <w:pPr>
        <w:jc w:val="both"/>
        <w:rPr>
          <w:rFonts w:ascii="Arial" w:hAnsi="Arial" w:cs="Arial"/>
          <w:color w:val="000000" w:themeColor="text1"/>
          <w:sz w:val="24"/>
          <w:szCs w:val="24"/>
        </w:rPr>
      </w:pPr>
      <w:r>
        <w:rPr>
          <w:rFonts w:ascii="Arial" w:hAnsi="Arial" w:cs="Arial"/>
          <w:color w:val="000000" w:themeColor="text1"/>
          <w:sz w:val="24"/>
          <w:szCs w:val="24"/>
        </w:rPr>
        <w:t xml:space="preserve">A contratação plurianual observará as diretrizes do art. 106 da Lei nº 14.133/2021: (i) atestação, pela autoridade competente, da maior vantagem econômica decorrente do prazo plurianual; (ii) atestação, no início da contratação e a cada exercício financeiro, da existência de créditos orçamentários vinculados à contratação e da vantagem em sua manutenção; e (iii) faculdade de a Administração extinguir o contrato, sem ônus, quando não dispuser de créditos orçamentários para sua continuidade ou quando entender que o contrato não mais lhe oferece vantagem, hipótese em que a extinção ocorrerá na próxima data de aniversário do contrato, observada a antecedência mínima de 2 (dois) meses prevista no § 1º.</w:t>
      </w:r>
    </w:p>
    <w:p>
      <w:pPr>
        <w:jc w:val="both"/>
        <w:rPr>
          <w:rFonts w:ascii="Arial" w:hAnsi="Arial" w:cs="Arial"/>
          <w:color w:val="000000" w:themeColor="text1"/>
          <w:sz w:val="24"/>
          <w:szCs w:val="24"/>
        </w:rPr>
      </w:pPr>
      <w:r>
        <w:rPr>
          <w:rFonts w:ascii="Arial" w:hAnsi="Arial" w:cs="Arial"/>
          <w:color w:val="000000" w:themeColor="text1"/>
          <w:sz w:val="24"/>
          <w:szCs w:val="24"/>
        </w:rPr>
        <w:t xml:space="preserve">Por ultrapassar o exercício financeiro, a contratação observará o art. 105 da Lei nº 14.133/2021, exigindo-se previsão no plano plurianual e demonstração da disponibilidade de créditos orçamentários no momento da contratação e a cada exercício.</w:t>
      </w:r>
    </w:p>
    <w:p>
      <w:pPr>
        <w:jc w:val="both"/>
        <w:rPr>
          <w:rFonts w:ascii="Arial" w:hAnsi="Arial" w:cs="Arial"/>
          <w:color w:val="000000" w:themeColor="text1"/>
          <w:sz w:val="24"/>
          <w:szCs w:val="24"/>
        </w:rPr>
      </w:pPr>
      <w:r>
        <w:rPr>
          <w:rFonts w:ascii="Arial" w:hAnsi="Arial" w:cs="Arial"/>
          <w:color w:val="000000" w:themeColor="text1"/>
          <w:sz w:val="24"/>
          <w:szCs w:val="24"/>
        </w:rPr>
        <w:t xml:space="preserve">Encerrada a vigência inicial, o contrato poderá ser </w:t>
      </w:r>
      <w:r>
        <w:rPr>
          <w:rFonts w:ascii="Arial" w:hAnsi="Arial" w:cs="Arial"/>
          <w:b/>
          <w:color w:val="000000" w:themeColor="text1"/>
          <w:sz w:val="24"/>
          <w:szCs w:val="24"/>
        </w:rPr>
        <w:t xml:space="preserve">prorrogado sucessivamente, respeitada a vigência máxima decenal</w:t>
      </w:r>
      <w:r>
        <w:rPr>
          <w:rFonts w:ascii="Arial" w:hAnsi="Arial" w:cs="Arial"/>
          <w:color w:val="000000" w:themeColor="text1"/>
          <w:sz w:val="24"/>
          <w:szCs w:val="24"/>
        </w:rPr>
        <w:t xml:space="preserve"> prevista no art. 107 da Lei nº 14.133/2021, desde que haja previsão no edital e no contrato e que a autoridade competente ateste que as condições e os preços permanecem vantajosos, permitida a negociação com o contratado ou a extinção contratual sem ônus.</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7.3. Implantação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implantação deverá ser concluída em até 10 dias corridos contados da ordem de serviço e do fornecimento, pelo Município, dos acessos e arquivos necessários. O prazo deverá contemplar, no mínimo, mobilização, parametrização, criação de usuários, importação inicial, testes, capacitação, homologação e entrada em produção.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contagem do prazo será suspensa, mediante comunicação formal e tempestiva da contratada, enquanto pendente o fornecimento, pelo Município, dos dados, arquivos, acessos ou informações necessários à execução das etapas, retomando-se a contagem a partir da regularização da pendência. A suspensão deverá ser registrada pelo gestor do contrato e afasta a incidência de multa moratória no período correspondente.</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7.4. Reajuste, revisão e alterações contratuais</w:t>
      </w:r>
    </w:p>
    <w:p>
      <w:pPr>
        <w:jc w:val="both"/>
        <w:rPr>
          <w:rFonts w:ascii="Arial" w:hAnsi="Arial" w:cs="Arial"/>
          <w:color w:val="000000" w:themeColor="text1"/>
          <w:sz w:val="24"/>
          <w:szCs w:val="24"/>
        </w:rPr>
      </w:pPr>
      <w:r>
        <w:rPr>
          <w:rFonts w:ascii="Arial" w:hAnsi="Arial" w:cs="Arial"/>
          <w:color w:val="000000" w:themeColor="text1"/>
          <w:sz w:val="24"/>
          <w:szCs w:val="24"/>
        </w:rPr>
        <w:t xml:space="preserve">Os preços serão fixos e irreajustáveis pelo período de 12 (doze) meses, contado da data do orçamento estimado da contratação. Decorrido esse interregno, os valores poderão ser reajustados pela variação acumulada do IPCA/IBGE ou de outro índice setorial expressamente definido no edital, observado o intervalo mínimo de 12 (doze) meses entre reajustes, nos termos do art. 25, § 7º, da Lei nº 14.133/2021. A previsão de índice e de data-base é obrigatória em razão da duração plurianual do contrato.</w:t>
      </w:r>
    </w:p>
    <w:p>
      <w:pPr>
        <w:jc w:val="both"/>
        <w:rPr>
          <w:rFonts w:ascii="Arial" w:hAnsi="Arial" w:cs="Arial"/>
          <w:color w:val="000000" w:themeColor="text1"/>
          <w:sz w:val="24"/>
          <w:szCs w:val="24"/>
        </w:rPr>
      </w:pPr>
      <w:r>
        <w:rPr>
          <w:rFonts w:ascii="Arial" w:hAnsi="Arial" w:cs="Arial"/>
          <w:color w:val="000000" w:themeColor="text1"/>
          <w:sz w:val="24"/>
          <w:szCs w:val="24"/>
        </w:rPr>
        <w:t xml:space="preserve">O reajuste não se confunde com a revisão destinada ao restabelecimento do equilíbrio econômico-financeiro, cabível na hipótese do art. 124, II, "d", da Lei nº 14.133/2021, que dependerá de requerimento instruído com demonstração analítica do fato superveniente, imprevisível ou de consequências incalculáveis, e de decisão fundamentada da Administração.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Eventual acréscimo de usuários simultâneos ou de funcionalidades não previstas neste Termo de Referência dependerá de termo aditivo, pesquisa de preços, disponibilidade orçamentária e observância dos limites dos arts. 124 a 126 da Lei nº 14.133/2021, vedada a alteração do objeto por simples atualização de versão da plataforma.</w:t>
      </w:r>
    </w:p>
    <w:p>
      <w:pPr>
        <w:pStyle w:val="Ttulo1"/>
        <w:jc w:val="both"/>
        <w:rPr>
          <w:rFonts w:ascii="Arial" w:hAnsi="Arial" w:cs="Arial"/>
          <w:color w:val="000000" w:themeColor="text1"/>
          <w:sz w:val="24"/>
          <w:szCs w:val="24"/>
        </w:rPr>
      </w:pPr>
      <w:r>
        <w:rPr>
          <w:rFonts w:ascii="Arial" w:hAnsi="Arial" w:cs="Arial"/>
          <w:color w:val="000000" w:themeColor="text1"/>
          <w:sz w:val="24"/>
          <w:szCs w:val="24"/>
        </w:rPr>
        <w:t xml:space="preserve">8. Prova de Conceito — POC</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8.1. Finalidade e natureza</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8.1.1.</w:t>
      </w:r>
      <w:r>
        <w:rPr>
          <w:rFonts w:ascii="Arial" w:hAnsi="Arial" w:cs="Arial"/>
          <w:color w:val="000000" w:themeColor="text1"/>
          <w:sz w:val="24"/>
          <w:szCs w:val="24"/>
        </w:rPr>
        <w:t xml:space="preserve"> A Prova de Conceito — POC — será utilizada como critério de aceitabilidade técnica da proposta, destinada a comprovar, na prática e em sessão pública de demonstração, que a solução ofertada atende aos requisitos essenciais deste Termo de Referência, mediante funcionalidades já existentes, operacionais e disponíveis na plataforma apresentada.</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8.1.2.</w:t>
      </w:r>
      <w:r>
        <w:rPr>
          <w:rFonts w:ascii="Arial" w:hAnsi="Arial" w:cs="Arial"/>
          <w:color w:val="000000" w:themeColor="text1"/>
          <w:sz w:val="24"/>
          <w:szCs w:val="24"/>
        </w:rPr>
        <w:t xml:space="preserve"> A POC terá caráter eliminatório, não constituindo etapa de pontuação, classificação ou negociação técnica. A licitante será considerada aprovada ou reprovada conforme os critérios objetivos estabelecidos neste item.</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8.1.3.</w:t>
      </w:r>
      <w:r>
        <w:rPr>
          <w:rFonts w:ascii="Arial" w:hAnsi="Arial" w:cs="Arial"/>
          <w:color w:val="000000" w:themeColor="text1"/>
          <w:sz w:val="24"/>
          <w:szCs w:val="24"/>
        </w:rPr>
        <w:t xml:space="preserve"> A POC não será utilizada como: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instrumento para solicitar desenvolvimento sob encomenda durante a licitação;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b) meio de exigir demonstração de característica, integração, layout, parametrização ou requisito não previsto neste Termo de Referência;</w:t>
      </w:r>
    </w:p>
    <w:p>
      <w:pPr>
        <w:jc w:val="both"/>
        <w:rPr>
          <w:rFonts w:ascii="Arial" w:hAnsi="Arial" w:cs="Arial"/>
          <w:color w:val="000000" w:themeColor="text1"/>
          <w:sz w:val="24"/>
          <w:szCs w:val="24"/>
        </w:rPr>
      </w:pPr>
      <w:r>
        <w:rPr>
          <w:rFonts w:ascii="Arial" w:hAnsi="Arial" w:cs="Arial"/>
          <w:color w:val="000000" w:themeColor="text1"/>
          <w:sz w:val="24"/>
          <w:szCs w:val="24"/>
        </w:rPr>
        <w:t xml:space="preserve">c) mecanismo para avaliar preferência estética, opinião subjetiva ou estilo de apresentação sem correspondência com requisito funcional, técnico ou de segurança;</w:t>
      </w:r>
    </w:p>
    <w:p>
      <w:pPr>
        <w:jc w:val="both"/>
        <w:rPr>
          <w:rFonts w:ascii="Arial" w:hAnsi="Arial" w:cs="Arial"/>
          <w:color w:val="000000" w:themeColor="text1"/>
          <w:sz w:val="24"/>
          <w:szCs w:val="24"/>
        </w:rPr>
      </w:pPr>
      <w:r>
        <w:rPr>
          <w:rFonts w:ascii="Arial" w:hAnsi="Arial" w:cs="Arial"/>
          <w:color w:val="000000" w:themeColor="text1"/>
          <w:sz w:val="24"/>
          <w:szCs w:val="24"/>
        </w:rPr>
        <w:t xml:space="preserve">d) substituição da análise de habilitação, proposta comercial ou documentos exigidos no edital.</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8.1.4.</w:t>
      </w:r>
      <w:r>
        <w:rPr>
          <w:rFonts w:ascii="Arial" w:hAnsi="Arial" w:cs="Arial"/>
          <w:color w:val="000000" w:themeColor="text1"/>
          <w:sz w:val="24"/>
          <w:szCs w:val="24"/>
        </w:rPr>
        <w:t xml:space="preserve"> Todos os testes do roteiro da POC deverão corresponder a requisitos previstos na seção 5 deste Termo de Referência, com indicação expressa do requisito de referência na matriz de avaliação.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8.1.5.</w:t>
      </w:r>
      <w:r>
        <w:rPr>
          <w:rFonts w:ascii="Arial" w:hAnsi="Arial" w:cs="Arial"/>
          <w:color w:val="000000" w:themeColor="text1"/>
          <w:sz w:val="24"/>
          <w:szCs w:val="24"/>
        </w:rPr>
        <w:t xml:space="preserve"> A POC deverá avaliar o funcionamento real da solução, e não apenas a existência de telas ou declarações comerciais. A demonstração deverá permitir que a comissão observe entrada de dados, processamento, resultado, permissões, origem, rastreabilidade, exportação e registros de auditoria, conforme o teste aplicável.</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8.1.6.</w:t>
      </w:r>
      <w:r>
        <w:rPr>
          <w:rFonts w:ascii="Arial" w:hAnsi="Arial" w:cs="Arial"/>
          <w:color w:val="000000" w:themeColor="text1"/>
          <w:sz w:val="24"/>
          <w:szCs w:val="24"/>
        </w:rPr>
        <w:t xml:space="preserve"> Testes que dependam de fonte externa que possa estar indisponível — em especial CAUC e processos do TCM-GO — poderão ser demonstrados com dados controlados, simulados ou previamente sincronizados, representativos das funcionalidades exigidas, cabendo à licitante informar a data da última atualização e a limitação decorrente de eventual indisponibilidade da fonte, sem que essa circunstância, por si só, prejudique a avaliação.</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8.2. Convocação, prazo e participantes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8.2.1.</w:t>
      </w:r>
      <w:r>
        <w:rPr>
          <w:rFonts w:ascii="Arial" w:hAnsi="Arial" w:cs="Arial"/>
          <w:color w:val="000000" w:themeColor="text1"/>
          <w:sz w:val="24"/>
          <w:szCs w:val="24"/>
        </w:rPr>
        <w:t xml:space="preserve"> A licitante provisoriamente classificada em primeiro lugar, após a análise da proposta, será convocada para realizar a POC, presencialmente ou por videoconferência, a critério da Administração e conforme as regras do edital.</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8.2.2.</w:t>
      </w:r>
      <w:r>
        <w:rPr>
          <w:rFonts w:ascii="Arial" w:hAnsi="Arial" w:cs="Arial"/>
          <w:color w:val="000000" w:themeColor="text1"/>
          <w:sz w:val="24"/>
          <w:szCs w:val="24"/>
        </w:rPr>
        <w:t xml:space="preserve"> A licitante terá o prazo de até 5 (cinco) dias úteis, contados da convocação, para preparar e realizar a demonstração, salvo prazo diverso expressamente previsto no edital.</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8.2.3.</w:t>
      </w:r>
      <w:r>
        <w:rPr>
          <w:rFonts w:ascii="Arial" w:hAnsi="Arial" w:cs="Arial"/>
          <w:color w:val="000000" w:themeColor="text1"/>
          <w:sz w:val="24"/>
          <w:szCs w:val="24"/>
        </w:rPr>
        <w:t xml:space="preserve"> A convocação deverá informar, no mínimo: a) o roteiro completo dos testes; b) a duração prevista e a possibilidade de divisão em sessões; c) o local ou a plataforma de videoconferência; d) os dados e arquivos de teste; e) os integrantes da comissão avaliadora; f) a forma de registro da sessão; g) os critérios de aprovação, reprovação e tratamento de falhas; h) os prazos para divulgação do resultado e eventual recurso, conforme o edital.</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8.2.4.</w:t>
      </w:r>
      <w:r>
        <w:rPr>
          <w:rFonts w:ascii="Arial" w:hAnsi="Arial" w:cs="Arial"/>
          <w:color w:val="000000" w:themeColor="text1"/>
          <w:sz w:val="24"/>
          <w:szCs w:val="24"/>
        </w:rPr>
        <w:t xml:space="preserve"> A licitante deverá indicar previamente os representantes que conduzirão a demonstração, sendo admitida a participação de equipe técnica suficiente para operar os módulos, desde que identificada e submetida às regras da sessão.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8.2.5.</w:t>
      </w:r>
      <w:r>
        <w:rPr>
          <w:rFonts w:ascii="Arial" w:hAnsi="Arial" w:cs="Arial"/>
          <w:color w:val="000000" w:themeColor="text1"/>
          <w:sz w:val="24"/>
          <w:szCs w:val="24"/>
        </w:rPr>
        <w:t xml:space="preserve"> A comissão avaliadora deverá ser composta por servidores ou agentes formalmente designados, com conhecimento compatível com os requisitos funcionais, contábeis, tecnológicos e de segurança a serem avaliados.</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8.3. Condições de realização</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8.3.1. Ambiente de demonstração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demonstração deverá ocorrer em ambiente de nuvem da própria licitante ou em ambiente de homologação funcionalmente equivalente, acessado por navegador e operado ao vivo pelos representantes da licitante.</w:t>
      </w:r>
    </w:p>
    <w:p>
      <w:pPr>
        <w:jc w:val="both"/>
        <w:rPr>
          <w:rFonts w:ascii="Arial" w:hAnsi="Arial" w:cs="Arial"/>
          <w:color w:val="000000" w:themeColor="text1"/>
          <w:sz w:val="24"/>
          <w:szCs w:val="24"/>
        </w:rPr>
      </w:pPr>
      <w:r>
        <w:rPr>
          <w:rFonts w:ascii="Arial" w:hAnsi="Arial" w:cs="Arial"/>
          <w:color w:val="000000" w:themeColor="text1"/>
          <w:sz w:val="24"/>
          <w:szCs w:val="24"/>
        </w:rPr>
        <w:t xml:space="preserve">É vedada a apresentação baseada exclusivamente em slides, vídeos gravados, imagens, protótipos de tela, telas estáticas ou simulações que não correspondam ao sistema em funcionamento. Poderá ser utilizado material introdutório de apoio, limitado a 15 minutos, sem substituição da demonstração prática.</w:t>
      </w:r>
    </w:p>
    <w:p>
      <w:pPr>
        <w:jc w:val="both"/>
        <w:rPr>
          <w:rFonts w:ascii="Arial" w:hAnsi="Arial" w:cs="Arial"/>
          <w:color w:val="000000" w:themeColor="text1"/>
          <w:sz w:val="24"/>
          <w:szCs w:val="24"/>
        </w:rPr>
      </w:pPr>
      <w:r>
        <w:rPr>
          <w:rFonts w:ascii="Arial" w:hAnsi="Arial" w:cs="Arial"/>
          <w:color w:val="000000" w:themeColor="text1"/>
          <w:sz w:val="24"/>
          <w:szCs w:val="24"/>
        </w:rPr>
        <w:t xml:space="preserve">A licitante deverá informar eventuais limitações temporárias do ambiente, dependências de fonte externa, dados previamente sincronizados, componentes em modo de demonstração ou funcionalidades configuradas especificamente para a POC.</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8.3.2. Dados e arquivos de teste</w:t>
      </w:r>
    </w:p>
    <w:p>
      <w:pPr>
        <w:jc w:val="both"/>
        <w:rPr>
          <w:rFonts w:ascii="Arial" w:hAnsi="Arial" w:cs="Arial"/>
          <w:color w:val="000000" w:themeColor="text1"/>
          <w:sz w:val="24"/>
          <w:szCs w:val="24"/>
        </w:rPr>
      </w:pPr>
      <w:r>
        <w:rPr>
          <w:rFonts w:ascii="Arial" w:hAnsi="Arial" w:cs="Arial"/>
          <w:color w:val="000000" w:themeColor="text1"/>
          <w:sz w:val="24"/>
          <w:szCs w:val="24"/>
        </w:rPr>
        <w:t xml:space="preserve">Serão utilizados dados fictícios, anonimizados ou expressamente autorizados pela Administração, incluindo: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arquivo ou conjunto de arquivos de movimento contábil/orçamentário em layout compatível com o SIAFIC municipal ou formato estruturado equivalente, contendo registros válidos e registros propositalmente inválidos;</w:t>
      </w:r>
    </w:p>
    <w:p>
      <w:pPr>
        <w:jc w:val="both"/>
        <w:rPr>
          <w:rFonts w:ascii="Arial" w:hAnsi="Arial" w:cs="Arial"/>
          <w:color w:val="000000" w:themeColor="text1"/>
          <w:sz w:val="24"/>
          <w:szCs w:val="24"/>
        </w:rPr>
      </w:pPr>
      <w:r>
        <w:rPr>
          <w:rFonts w:ascii="Arial" w:hAnsi="Arial" w:cs="Arial"/>
          <w:color w:val="000000" w:themeColor="text1"/>
          <w:sz w:val="24"/>
          <w:szCs w:val="24"/>
        </w:rPr>
        <w:t xml:space="preserve">b) documento de teste simulando obrigação, prazo ou diligência de órgão externo, contendo itens, prazo e ao menos uma informação ausente ou que exija conferência;</w:t>
      </w:r>
    </w:p>
    <w:p>
      <w:pPr>
        <w:jc w:val="both"/>
        <w:rPr>
          <w:rFonts w:ascii="Arial" w:hAnsi="Arial" w:cs="Arial"/>
          <w:color w:val="000000" w:themeColor="text1"/>
          <w:sz w:val="24"/>
          <w:szCs w:val="24"/>
        </w:rPr>
      </w:pPr>
      <w:r>
        <w:rPr>
          <w:rFonts w:ascii="Arial" w:hAnsi="Arial" w:cs="Arial"/>
          <w:color w:val="000000" w:themeColor="text1"/>
          <w:sz w:val="24"/>
          <w:szCs w:val="24"/>
        </w:rPr>
        <w:t xml:space="preserve">c) dados simulados representativos de situação de adimplência no CAUC (pendências, grupos de conformidade e histórico) e de processo do TCM-GO (número, fase, situação, prazos e providências), utilizáveis quando o acesso em tempo real à fonte oficial não estiver disponível para fins de demonstração;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d) usuários e perfis de teste com permissões diferentes, inclusive perfil com acesso restrito a determinado órgão, unidade ou área.</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8.3.2.1.</w:t>
      </w:r>
      <w:r>
        <w:rPr>
          <w:rFonts w:ascii="Arial" w:hAnsi="Arial" w:cs="Arial"/>
          <w:color w:val="000000" w:themeColor="text1"/>
          <w:sz w:val="24"/>
          <w:szCs w:val="24"/>
        </w:rPr>
        <w:t xml:space="preserve"> Os arquivos de teste deverão ser disponibilizados à licitante juntamente com a convocação, para carga prévia no ambiente de demonstração.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8.3.2.2.</w:t>
      </w:r>
      <w:r>
        <w:rPr>
          <w:rFonts w:ascii="Arial" w:hAnsi="Arial" w:cs="Arial"/>
          <w:color w:val="000000" w:themeColor="text1"/>
          <w:sz w:val="24"/>
          <w:szCs w:val="24"/>
        </w:rPr>
        <w:t xml:space="preserve"> A comissão poderá apresentar, durante a sessão, variação dos mesmos arquivos, com valores ou registros distintos e mantendo o mesmo layout, para confirmar que o processamento é real e não pré-fabricado.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8.3.2.3.</w:t>
      </w:r>
      <w:r>
        <w:rPr>
          <w:rFonts w:ascii="Arial" w:hAnsi="Arial" w:cs="Arial"/>
          <w:color w:val="000000" w:themeColor="text1"/>
          <w:sz w:val="24"/>
          <w:szCs w:val="24"/>
        </w:rPr>
        <w:t xml:space="preserve"> A licitante não poderá exigir credenciais pessoais de servidores do Município ou acesso a sistemas oficiais, como TCM-GO ou CAUC, sem autorização expressa da Administração.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8.3.2.4.</w:t>
      </w:r>
      <w:r>
        <w:rPr>
          <w:rFonts w:ascii="Arial" w:hAnsi="Arial" w:cs="Arial"/>
          <w:color w:val="000000" w:themeColor="text1"/>
          <w:sz w:val="24"/>
          <w:szCs w:val="24"/>
        </w:rPr>
        <w:t xml:space="preserve"> Testes que dependam de fonte externa poderão ser realizados com dados previamente sincronizados ou arquivos fornecidos pela Administração, devendo a licitante informar a data da última atualização e a limitação decorrente da indisponibilidade da fonte.</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8.3.2.5.</w:t>
      </w:r>
      <w:r>
        <w:rPr>
          <w:rFonts w:ascii="Arial" w:hAnsi="Arial" w:cs="Arial"/>
          <w:color w:val="000000" w:themeColor="text1"/>
          <w:sz w:val="24"/>
          <w:szCs w:val="24"/>
        </w:rPr>
        <w:t xml:space="preserve"> Os dados de teste deverão ser utilizados exclusivamente para a POC, não podendo ser incorporados a bases comerciais ou produtos de terceiros.</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8.3.3. Condução da sessão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demonstração será conduzida pelos representantes da licitante, que deverão operar o sistema ao vivo. A comissão poderá solicitar repetição de passos, alteração de filtros, consulta a registros, execução de variações razoáveis, demonstração de permissões, reprocessamento controlado e exportação, desde que dentro do escopo do roteiro.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comissão não poderá solicitar desenvolvimento, alteração estrutural da solução ou customização substancial durante a sessão. Poderá, entretanto, solicitar configuração ordinária, seleção de parâmetros, criação de usuário, carregamento de arquivos e execução de funções já existentes e previstas no objeto.</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8.3.4. Duração e sessões</w:t>
      </w:r>
    </w:p>
    <w:p>
      <w:pPr>
        <w:jc w:val="both"/>
        <w:rPr>
          <w:rFonts w:ascii="Arial" w:hAnsi="Arial" w:cs="Arial"/>
          <w:color w:val="000000" w:themeColor="text1"/>
          <w:sz w:val="24"/>
          <w:szCs w:val="24"/>
        </w:rPr>
      </w:pPr>
      <w:r>
        <w:rPr>
          <w:rFonts w:ascii="Arial" w:hAnsi="Arial" w:cs="Arial"/>
          <w:color w:val="000000" w:themeColor="text1"/>
          <w:sz w:val="24"/>
          <w:szCs w:val="24"/>
        </w:rPr>
        <w:t xml:space="preserve">A POC terá duração estimada de até 5 (cinco) horas ou conforme justificativa registrada pela comissão.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comissão poderá estabelecer intervalos, ordem dos testes e distribuição entre sessões, desde que preserve o roteiro, a isonomia e a possibilidade de acompanhamento pela licitante.</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8.4. Roteiro mínimo de testes</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8.4.1. Quadro geral</w:t>
      </w:r>
    </w:p>
    <w:tbl>
      <w:tblPr>
        <w:tblStyle w:val="TabeladeGradeClara"/>
        <w:tblW w:w="0" w:type="auto"/>
        <w:tblInd w:w="250" w:type="dxa"/>
        <w:tblLook w:val="04A0" w:firstRow="1" w:lastRow="0" w:firstColumn="1" w:lastColumn="0" w:noHBand="0" w:noVBand="1"/>
      </w:tblPr>
      <w:tblGrid>
        <w:gridCol w:w="1092"/>
        <w:gridCol w:w="1092"/>
        <w:gridCol w:w="6071"/>
        <w:gridCol w:w="1092"/>
      </w:tblGrid>
      <w:tr>
        <w:trPr>
          <w:tblHeader w:val="true"/>
        </w:trPr>
        <w:tc>
          <w:tcPr>
            <w:tcW w:w="1092"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Código</w:t>
            </w:r>
          </w:p>
        </w:tc>
        <w:tc>
          <w:tcPr>
            <w:tcW w:w="1092"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Grupo</w:t>
            </w:r>
          </w:p>
        </w:tc>
        <w:tc>
          <w:tcPr>
            <w:tcW w:w="6071"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Teste essencial</w:t>
            </w:r>
          </w:p>
        </w:tc>
        <w:tc>
          <w:tcPr>
            <w:tcW w:w="1092"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Requisito de referência</w:t>
            </w:r>
          </w:p>
        </w:tc>
      </w:tr>
      <w:tr>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POC-01</w:t>
            </w:r>
          </w:p>
        </w:tc>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Acesso e permissões</w:t>
            </w:r>
          </w:p>
        </w:tc>
        <w:tc>
          <w:tcPr>
            <w:tcW w:w="607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Criar usuário, aplicar perfil, demonstrar bloqueio de acesso não autorizado</w:t>
            </w:r>
          </w:p>
        </w:tc>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5.1.2</w:t>
            </w:r>
          </w:p>
        </w:tc>
      </w:tr>
      <w:tr>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POC-02</w:t>
            </w:r>
          </w:p>
        </w:tc>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Painéis analíticos e controles</w:t>
            </w:r>
          </w:p>
        </w:tc>
        <w:tc>
          <w:tcPr>
            <w:tcW w:w="607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Demonstrar resultados, indicadores, projeções, controles orçamentários/financeiros, filtros, drill-down, origem, data-base e exportação</w:t>
            </w:r>
          </w:p>
        </w:tc>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5.1.4, 5.1.5 e 5.2</w:t>
            </w:r>
          </w:p>
        </w:tc>
      </w:tr>
      <w:tr>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POC-03</w:t>
            </w:r>
          </w:p>
        </w:tc>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Importação</w:t>
            </w:r>
          </w:p>
        </w:tc>
        <w:tc>
          <w:tcPr>
            <w:tcW w:w="607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Processar arquivo com registros válidos e inválidos, exibir resumo e demonstrar reimportação controlada</w:t>
            </w:r>
          </w:p>
        </w:tc>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5.5</w:t>
            </w:r>
          </w:p>
        </w:tc>
      </w:tr>
      <w:tr>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POC-04</w:t>
            </w:r>
          </w:p>
        </w:tc>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Entregas, obrigações e CAUC</w:t>
            </w:r>
          </w:p>
        </w:tc>
        <w:tc>
          <w:tcPr>
            <w:tcW w:w="607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Criar obrigação com prazo, responsável, alerta e evidência; demonstrar acompanhamento da situação de adimplência no CAUC, com indicação de data da consulta e de eventual defasagem da fonte</w:t>
            </w:r>
          </w:p>
        </w:tc>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5.3.1 e 5.3.2</w:t>
            </w:r>
          </w:p>
        </w:tc>
      </w:tr>
      <w:tr>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POC-05</w:t>
            </w:r>
          </w:p>
        </w:tc>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Processos TCM-GO</w:t>
            </w:r>
          </w:p>
        </w:tc>
        <w:tc>
          <w:tcPr>
            <w:tcW w:w="607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Cadastrar processo, diligência, prazo, documento e providência, com distinção de origem da informação</w:t>
            </w:r>
          </w:p>
        </w:tc>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5.3.3</w:t>
            </w:r>
          </w:p>
        </w:tc>
      </w:tr>
      <w:tr>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POC-06</w:t>
            </w:r>
          </w:p>
        </w:tc>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Aplicativo móvel</w:t>
            </w:r>
          </w:p>
        </w:tc>
        <w:tc>
          <w:tcPr>
            <w:tcW w:w="607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Consultar painéis, indicadores e alertas, com as mesmas permissões da web</w:t>
            </w:r>
          </w:p>
        </w:tc>
        <w:tc>
          <w:tcPr>
            <w:tcW w:w="109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5.4</w:t>
            </w:r>
          </w:p>
        </w:tc>
      </w:tr>
    </w:tbl>
    <w:p>
      <w:pPr>
        <w:jc w:val="both"/>
        <w:rPr>
          <w:rFonts w:ascii="Arial" w:hAnsi="Arial" w:cs="Arial"/>
          <w:color w:val="000000" w:themeColor="text1"/>
          <w:sz w:val="24"/>
          <w:szCs w:val="24"/>
        </w:rPr>
      </w:pP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8.4.2. POC-01 — Acesso e permissões</w:t>
      </w:r>
    </w:p>
    <w:p>
      <w:pPr>
        <w:jc w:val="both"/>
        <w:rPr>
          <w:rFonts w:ascii="Arial" w:hAnsi="Arial" w:cs="Arial"/>
          <w:color w:val="000000" w:themeColor="text1"/>
          <w:sz w:val="24"/>
          <w:szCs w:val="24"/>
        </w:rPr>
      </w:pPr>
      <w:r>
        <w:rPr>
          <w:rFonts w:ascii="Arial" w:hAnsi="Arial" w:cs="Arial"/>
          <w:color w:val="000000" w:themeColor="text1"/>
          <w:sz w:val="24"/>
          <w:szCs w:val="24"/>
        </w:rPr>
        <w:t xml:space="preserve">A licitante deverá, ao vivo: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criar usuário de teste e vinculá-lo a perfil restrito e a órgão ou unidade de teste;</w:t>
      </w:r>
    </w:p>
    <w:p>
      <w:pPr>
        <w:jc w:val="both"/>
        <w:rPr>
          <w:rFonts w:ascii="Arial" w:hAnsi="Arial" w:cs="Arial"/>
          <w:color w:val="000000" w:themeColor="text1"/>
          <w:sz w:val="24"/>
          <w:szCs w:val="24"/>
        </w:rPr>
      </w:pPr>
      <w:r>
        <w:rPr>
          <w:rFonts w:ascii="Arial" w:hAnsi="Arial" w:cs="Arial"/>
          <w:color w:val="000000" w:themeColor="text1"/>
          <w:sz w:val="24"/>
          <w:szCs w:val="24"/>
        </w:rPr>
        <w:t xml:space="preserve">b) realizar login e demonstrar que módulos não autorizados não são exibidos na navegação;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c) demonstrar que tentativa de acesso direto a funcionalidade não autorizada, por URL ou requisição equivalente, é bloqueada pelo servidor, e não apenas ocultada na interface;</w:t>
      </w:r>
    </w:p>
    <w:p>
      <w:pPr>
        <w:jc w:val="both"/>
        <w:rPr>
          <w:rFonts w:ascii="Arial" w:hAnsi="Arial" w:cs="Arial"/>
          <w:color w:val="000000" w:themeColor="text1"/>
          <w:sz w:val="24"/>
          <w:szCs w:val="24"/>
        </w:rPr>
      </w:pPr>
      <w:r>
        <w:rPr>
          <w:rFonts w:ascii="Arial" w:hAnsi="Arial" w:cs="Arial"/>
          <w:color w:val="000000" w:themeColor="text1"/>
          <w:sz w:val="24"/>
          <w:szCs w:val="24"/>
        </w:rPr>
        <w:t xml:space="preserve">d) demonstrar que o usuário não visualiza dados de órgão ou unidade não autorizados ao seu perfil;</w:t>
      </w:r>
    </w:p>
    <w:p>
      <w:pPr>
        <w:jc w:val="both"/>
        <w:rPr>
          <w:rFonts w:ascii="Arial" w:hAnsi="Arial" w:cs="Arial"/>
          <w:color w:val="000000" w:themeColor="text1"/>
          <w:sz w:val="24"/>
          <w:szCs w:val="24"/>
        </w:rPr>
      </w:pPr>
      <w:r>
        <w:rPr>
          <w:rFonts w:ascii="Arial" w:hAnsi="Arial" w:cs="Arial"/>
          <w:color w:val="000000" w:themeColor="text1"/>
          <w:sz w:val="24"/>
          <w:szCs w:val="24"/>
        </w:rPr>
        <w:t xml:space="preserve">e) alterar uma permissão do perfil e demonstrar o reflexo no acesso do usuário.</w:t>
      </w:r>
    </w:p>
    <w:p>
      <w:pPr>
        <w:jc w:val="both"/>
        <w:rPr>
          <w:rFonts w:ascii="Arial" w:hAnsi="Arial" w:cs="Arial"/>
          <w:color w:val="000000" w:themeColor="text1"/>
          <w:sz w:val="24"/>
          <w:szCs w:val="24"/>
        </w:rPr>
      </w:pPr>
      <w:r>
        <w:rPr>
          <w:rFonts w:ascii="Arial" w:hAnsi="Arial" w:cs="Arial"/>
          <w:color w:val="000000" w:themeColor="text1"/>
          <w:sz w:val="24"/>
          <w:szCs w:val="24"/>
        </w:rPr>
        <w:t xml:space="preserve">Critério de aprovação: bloqueio comprovado na interface e na camada de servidor e segregação efetiva por órgão e unidade.</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8.4.3. POC-02 — Painéis analíticos, resultados e controles</w:t>
      </w:r>
    </w:p>
    <w:p>
      <w:pPr>
        <w:jc w:val="both"/>
        <w:rPr>
          <w:rFonts w:ascii="Arial" w:hAnsi="Arial" w:cs="Arial"/>
          <w:color w:val="000000" w:themeColor="text1"/>
          <w:sz w:val="24"/>
          <w:szCs w:val="24"/>
        </w:rPr>
      </w:pPr>
      <w:r>
        <w:rPr>
          <w:rFonts w:ascii="Arial" w:hAnsi="Arial" w:cs="Arial"/>
          <w:color w:val="000000" w:themeColor="text1"/>
          <w:sz w:val="24"/>
          <w:szCs w:val="24"/>
        </w:rPr>
        <w:t xml:space="preserve">A licitante deverá demonstrar, com os dados de teste carregados, os painéis, resultados e controles abaixo, observando a origem, a data-base, as fórmulas, as premissas, as ressalvas e a possibilidade de detalhamento até os registros de origem quando a base permitir:</w:t>
      </w:r>
    </w:p>
    <w:p>
      <w:pPr>
        <w:jc w:val="both"/>
        <w:rPr>
          <w:rFonts w:ascii="Arial" w:hAnsi="Arial" w:cs="Arial"/>
          <w:color w:val="000000" w:themeColor="text1"/>
          <w:sz w:val="24"/>
          <w:szCs w:val="24"/>
        </w:rPr>
      </w:pPr>
      <w:r>
        <w:rPr>
          <w:rFonts w:ascii="Arial" w:hAnsi="Arial" w:cs="Arial"/>
          <w:color w:val="000000" w:themeColor="text1"/>
          <w:sz w:val="24"/>
          <w:szCs w:val="24"/>
        </w:rPr>
        <w:t xml:space="preserve">a) Receita: visão geral da receita prevista e arrecadada, receitas próprias, transferências correntes e análise por fonte de recurso;</w:t>
      </w:r>
    </w:p>
    <w:p>
      <w:pPr>
        <w:jc w:val="both"/>
        <w:rPr>
          <w:rFonts w:ascii="Arial" w:hAnsi="Arial" w:cs="Arial"/>
          <w:color w:val="000000" w:themeColor="text1"/>
          <w:sz w:val="24"/>
          <w:szCs w:val="24"/>
        </w:rPr>
      </w:pPr>
      <w:r>
        <w:rPr>
          <w:rFonts w:ascii="Arial" w:hAnsi="Arial" w:cs="Arial"/>
          <w:color w:val="000000" w:themeColor="text1"/>
          <w:sz w:val="24"/>
          <w:szCs w:val="24"/>
        </w:rPr>
        <w:t xml:space="preserve">b) Despesa: despesa por órgão, unidade, função, programa, elemento, fornecedor e estágios empenhado, liquidado e pago;</w:t>
      </w:r>
    </w:p>
    <w:p>
      <w:pPr>
        <w:jc w:val="both"/>
        <w:rPr>
          <w:rFonts w:ascii="Arial" w:hAnsi="Arial" w:cs="Arial"/>
          <w:color w:val="000000" w:themeColor="text1"/>
          <w:sz w:val="24"/>
          <w:szCs w:val="24"/>
        </w:rPr>
      </w:pPr>
      <w:r>
        <w:rPr>
          <w:rFonts w:ascii="Arial" w:hAnsi="Arial" w:cs="Arial"/>
          <w:color w:val="000000" w:themeColor="text1"/>
          <w:sz w:val="24"/>
          <w:szCs w:val="24"/>
        </w:rPr>
        <w:t xml:space="preserve">c) Resultado orçamentário: geral e por fonte de recurso, demonstrando receitas, despesas, superávit ou déficit e memória de cálculo;</w:t>
      </w:r>
    </w:p>
    <w:p>
      <w:pPr>
        <w:jc w:val="both"/>
        <w:rPr>
          <w:rFonts w:ascii="Arial" w:hAnsi="Arial" w:cs="Arial"/>
          <w:color w:val="000000" w:themeColor="text1"/>
          <w:sz w:val="24"/>
          <w:szCs w:val="24"/>
        </w:rPr>
      </w:pPr>
      <w:r>
        <w:rPr>
          <w:rFonts w:ascii="Arial" w:hAnsi="Arial" w:cs="Arial"/>
          <w:color w:val="000000" w:themeColor="text1"/>
          <w:sz w:val="24"/>
          <w:szCs w:val="24"/>
        </w:rPr>
        <w:t xml:space="preserve">d) Receita Corrente Líquida — RCL: cálculo, composição, memória de apuração, período de referência e bases utilizadas;</w:t>
      </w:r>
    </w:p>
    <w:p>
      <w:pPr>
        <w:jc w:val="both"/>
        <w:rPr>
          <w:rFonts w:ascii="Arial" w:hAnsi="Arial" w:cs="Arial"/>
          <w:color w:val="000000" w:themeColor="text1"/>
          <w:sz w:val="24"/>
          <w:szCs w:val="24"/>
        </w:rPr>
      </w:pPr>
      <w:r>
        <w:rPr>
          <w:rFonts w:ascii="Arial" w:hAnsi="Arial" w:cs="Arial"/>
          <w:color w:val="000000" w:themeColor="text1"/>
          <w:sz w:val="24"/>
          <w:szCs w:val="24"/>
        </w:rPr>
        <w:t xml:space="preserve">e) Índice de despesa com pessoal: percentual sobre a RCL, com indicação do Poder/órgão, limites de alerta, prudencial e máximo, premissas e ressalvas;</w:t>
      </w:r>
    </w:p>
    <w:p>
      <w:pPr>
        <w:jc w:val="both"/>
        <w:rPr>
          <w:rFonts w:ascii="Arial" w:hAnsi="Arial" w:cs="Arial"/>
          <w:color w:val="000000" w:themeColor="text1"/>
          <w:sz w:val="24"/>
          <w:szCs w:val="24"/>
        </w:rPr>
      </w:pPr>
      <w:r>
        <w:rPr>
          <w:rFonts w:ascii="Arial" w:hAnsi="Arial" w:cs="Arial"/>
          <w:color w:val="000000" w:themeColor="text1"/>
          <w:sz w:val="24"/>
          <w:szCs w:val="24"/>
        </w:rPr>
        <w:t xml:space="preserve">f) Educação: aplicação em MDE e FUNDEB, com indicação da base de cálculo, percentual apurado, parâmetro de referência e dados que compõem o resultado;</w:t>
      </w:r>
    </w:p>
    <w:p>
      <w:pPr>
        <w:jc w:val="both"/>
        <w:rPr>
          <w:rFonts w:ascii="Arial" w:hAnsi="Arial" w:cs="Arial"/>
          <w:color w:val="000000" w:themeColor="text1"/>
          <w:sz w:val="24"/>
          <w:szCs w:val="24"/>
        </w:rPr>
      </w:pPr>
      <w:r>
        <w:rPr>
          <w:rFonts w:ascii="Arial" w:hAnsi="Arial" w:cs="Arial"/>
          <w:color w:val="000000" w:themeColor="text1"/>
          <w:sz w:val="24"/>
          <w:szCs w:val="24"/>
        </w:rPr>
        <w:t xml:space="preserve">g) Saúde: aplicação em ASPS, com indicação da base de cálculo, percentual apurado, parâmetro de referência e dados considerados;</w:t>
      </w:r>
    </w:p>
    <w:p>
      <w:pPr>
        <w:jc w:val="both"/>
        <w:rPr>
          <w:rFonts w:ascii="Arial" w:hAnsi="Arial" w:cs="Arial"/>
          <w:color w:val="000000" w:themeColor="text1"/>
          <w:sz w:val="24"/>
          <w:szCs w:val="24"/>
        </w:rPr>
      </w:pPr>
      <w:r>
        <w:rPr>
          <w:rFonts w:ascii="Arial" w:hAnsi="Arial" w:cs="Arial"/>
          <w:color w:val="000000" w:themeColor="text1"/>
          <w:sz w:val="24"/>
          <w:szCs w:val="24"/>
        </w:rPr>
        <w:t xml:space="preserve">h) Endividamento: Dívida Consolidada em relação à RCL — DC/RCL —, com memória de cálculo, período e composição dos valores;</w:t>
      </w:r>
    </w:p>
    <w:p>
      <w:pPr>
        <w:jc w:val="both"/>
        <w:rPr>
          <w:rFonts w:ascii="Arial" w:hAnsi="Arial" w:cs="Arial"/>
          <w:color w:val="000000" w:themeColor="text1"/>
          <w:sz w:val="24"/>
          <w:szCs w:val="24"/>
        </w:rPr>
      </w:pPr>
      <w:r>
        <w:rPr>
          <w:rFonts w:ascii="Arial" w:hAnsi="Arial" w:cs="Arial"/>
          <w:color w:val="000000" w:themeColor="text1"/>
          <w:sz w:val="24"/>
          <w:szCs w:val="24"/>
        </w:rPr>
        <w:t xml:space="preserve">i) Disponibilidade de caixa líquida: disponibilidades brutas, obrigações, deduções, disponibilidade líquida, fontes e período de referência;</w:t>
      </w:r>
    </w:p>
    <w:p>
      <w:pPr>
        <w:jc w:val="both"/>
        <w:rPr>
          <w:rFonts w:ascii="Arial" w:hAnsi="Arial" w:cs="Arial"/>
          <w:color w:val="000000" w:themeColor="text1"/>
          <w:sz w:val="24"/>
          <w:szCs w:val="24"/>
        </w:rPr>
      </w:pPr>
      <w:r>
        <w:rPr>
          <w:rFonts w:ascii="Arial" w:hAnsi="Arial" w:cs="Arial"/>
          <w:color w:val="000000" w:themeColor="text1"/>
          <w:sz w:val="24"/>
          <w:szCs w:val="24"/>
        </w:rPr>
        <w:t xml:space="preserve">j) Projeção do resultado orçamentário: premissas utilizadas, período projetado, receitas e despesas consideradas, metodologia e indicação de que se trata de estimativa gerencial;</w:t>
      </w:r>
    </w:p>
    <w:p>
      <w:pPr>
        <w:jc w:val="both"/>
        <w:rPr>
          <w:rFonts w:ascii="Arial" w:hAnsi="Arial" w:cs="Arial"/>
          <w:color w:val="000000" w:themeColor="text1"/>
          <w:sz w:val="24"/>
          <w:szCs w:val="24"/>
        </w:rPr>
      </w:pPr>
      <w:r>
        <w:rPr>
          <w:rFonts w:ascii="Arial" w:hAnsi="Arial" w:cs="Arial"/>
          <w:color w:val="000000" w:themeColor="text1"/>
          <w:sz w:val="24"/>
          <w:szCs w:val="24"/>
        </w:rPr>
        <w:t xml:space="preserve">k) Caixa e patrimônio: saldos bancários por conta, órgão ou fonte, retenções, consignações, dívida consolidada e restos a pagar;</w:t>
      </w:r>
    </w:p>
    <w:p>
      <w:pPr>
        <w:jc w:val="both"/>
        <w:rPr>
          <w:rFonts w:ascii="Arial" w:hAnsi="Arial" w:cs="Arial"/>
          <w:color w:val="000000" w:themeColor="text1"/>
          <w:sz w:val="24"/>
          <w:szCs w:val="24"/>
        </w:rPr>
      </w:pPr>
      <w:r>
        <w:rPr>
          <w:rFonts w:ascii="Arial" w:hAnsi="Arial" w:cs="Arial"/>
          <w:color w:val="000000" w:themeColor="text1"/>
          <w:sz w:val="24"/>
          <w:szCs w:val="24"/>
        </w:rPr>
        <w:t xml:space="preserve">l) Controle de alteração orçamentária: créditos adicionais, anulações, suplementações, remanejamentos, transposições, transferências, saldo autorizado e execução correspondente, quando os dados importados permitirem;</w:t>
      </w:r>
    </w:p>
    <w:p>
      <w:pPr>
        <w:jc w:val="both"/>
        <w:rPr>
          <w:rFonts w:ascii="Arial" w:hAnsi="Arial" w:cs="Arial"/>
          <w:color w:val="000000" w:themeColor="text1"/>
          <w:sz w:val="24"/>
          <w:szCs w:val="24"/>
        </w:rPr>
      </w:pPr>
      <w:r>
        <w:rPr>
          <w:rFonts w:ascii="Arial" w:hAnsi="Arial" w:cs="Arial"/>
          <w:color w:val="000000" w:themeColor="text1"/>
          <w:sz w:val="24"/>
          <w:szCs w:val="24"/>
        </w:rPr>
        <w:t xml:space="preserve">m) Controle de retenções: retenções tributárias, previdenciárias e consignações, valores retidos, recolhidos e pendentes, quando a base permitir;</w:t>
      </w:r>
    </w:p>
    <w:p>
      <w:pPr>
        <w:jc w:val="both"/>
        <w:rPr>
          <w:rFonts w:ascii="Arial" w:hAnsi="Arial" w:cs="Arial"/>
          <w:color w:val="000000" w:themeColor="text1"/>
          <w:sz w:val="24"/>
          <w:szCs w:val="24"/>
        </w:rPr>
      </w:pPr>
      <w:r>
        <w:rPr>
          <w:rFonts w:ascii="Arial" w:hAnsi="Arial" w:cs="Arial"/>
          <w:color w:val="000000" w:themeColor="text1"/>
          <w:sz w:val="24"/>
          <w:szCs w:val="24"/>
        </w:rPr>
        <w:t xml:space="preserve">n) Transferências financeiras: concedidas e recebidas, com origem, destino, período, valor e situação;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o) Duodécimo: repasses ao Poder Legislativo, valores previstos e realizados, evolução e limites ou parâmetros aplicáveis;</w:t>
      </w:r>
    </w:p>
    <w:p>
      <w:pPr>
        <w:jc w:val="both"/>
        <w:rPr>
          <w:rFonts w:ascii="Arial" w:hAnsi="Arial" w:cs="Arial"/>
          <w:color w:val="000000" w:themeColor="text1"/>
          <w:sz w:val="24"/>
          <w:szCs w:val="24"/>
        </w:rPr>
      </w:pPr>
      <w:r>
        <w:rPr>
          <w:rFonts w:ascii="Arial" w:hAnsi="Arial" w:cs="Arial"/>
          <w:color w:val="000000" w:themeColor="text1"/>
          <w:sz w:val="24"/>
          <w:szCs w:val="24"/>
        </w:rPr>
        <w:t xml:space="preserve">p) Análise gerencial: filtros por exercício, período, órgão, unidade e/ou fonte; comparação entre exercícios; séries históricas; variação absoluta e percentual; drill-down até registro analítico; indicação de origem e data-base;</w:t>
      </w:r>
    </w:p>
    <w:p>
      <w:pPr>
        <w:jc w:val="both"/>
        <w:rPr>
          <w:rFonts w:ascii="Arial" w:hAnsi="Arial" w:cs="Arial"/>
          <w:color w:val="000000" w:themeColor="text1"/>
          <w:sz w:val="24"/>
          <w:szCs w:val="24"/>
        </w:rPr>
      </w:pPr>
      <w:r>
        <w:rPr>
          <w:rFonts w:ascii="Arial" w:hAnsi="Arial" w:cs="Arial"/>
          <w:color w:val="000000" w:themeColor="text1"/>
          <w:sz w:val="24"/>
          <w:szCs w:val="24"/>
        </w:rPr>
        <w:t xml:space="preserve">q) Exportação: exportação dos painéis em relatório PDF, com identificação da fonte, período e data da extração.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Critério de aprovação: os painéis e controles essenciais deverão estar disponíveis e operacionais; os resultados deverão ser coerentes com os dados de teste.</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8.4.4. POC-03 — Importação e reimportação controlada</w:t>
      </w:r>
    </w:p>
    <w:p>
      <w:pPr>
        <w:jc w:val="both"/>
        <w:rPr>
          <w:rFonts w:ascii="Arial" w:hAnsi="Arial" w:cs="Arial"/>
          <w:color w:val="000000" w:themeColor="text1"/>
          <w:sz w:val="24"/>
          <w:szCs w:val="24"/>
        </w:rPr>
      </w:pPr>
      <w:r>
        <w:rPr>
          <w:rFonts w:ascii="Arial" w:hAnsi="Arial" w:cs="Arial"/>
          <w:color w:val="000000" w:themeColor="text1"/>
          <w:sz w:val="24"/>
          <w:szCs w:val="24"/>
        </w:rPr>
        <w:t xml:space="preserve">A licitante deverá:</w:t>
      </w:r>
    </w:p>
    <w:p>
      <w:pPr>
        <w:jc w:val="both"/>
        <w:rPr>
          <w:rFonts w:ascii="Arial" w:hAnsi="Arial" w:cs="Arial"/>
          <w:color w:val="000000" w:themeColor="text1"/>
          <w:sz w:val="24"/>
          <w:szCs w:val="24"/>
        </w:rPr>
      </w:pPr>
      <w:r>
        <w:rPr>
          <w:rFonts w:ascii="Arial" w:hAnsi="Arial" w:cs="Arial"/>
          <w:color w:val="000000" w:themeColor="text1"/>
          <w:sz w:val="24"/>
          <w:szCs w:val="24"/>
        </w:rPr>
        <w:t xml:space="preserve">a) importar, ao vivo, arquivo com registros válidos e inválidos;</w:t>
      </w:r>
    </w:p>
    <w:p>
      <w:pPr>
        <w:jc w:val="both"/>
        <w:rPr>
          <w:rFonts w:ascii="Arial" w:hAnsi="Arial" w:cs="Arial"/>
          <w:color w:val="000000" w:themeColor="text1"/>
          <w:sz w:val="24"/>
          <w:szCs w:val="24"/>
        </w:rPr>
      </w:pPr>
      <w:r>
        <w:rPr>
          <w:rFonts w:ascii="Arial" w:hAnsi="Arial" w:cs="Arial"/>
          <w:color w:val="000000" w:themeColor="text1"/>
          <w:sz w:val="24"/>
          <w:szCs w:val="24"/>
        </w:rPr>
        <w:t xml:space="preserve">b) exibir resumo contendo registros processados, aceitos, rejeitados, ignorados e pendentes, com mensagens de erro e indicação de linha ou registro sempre que possível;</w:t>
      </w:r>
    </w:p>
    <w:p>
      <w:pPr>
        <w:jc w:val="both"/>
        <w:rPr>
          <w:rFonts w:ascii="Arial" w:hAnsi="Arial" w:cs="Arial"/>
          <w:color w:val="000000" w:themeColor="text1"/>
          <w:sz w:val="24"/>
          <w:szCs w:val="24"/>
        </w:rPr>
      </w:pPr>
      <w:r>
        <w:rPr>
          <w:rFonts w:ascii="Arial" w:hAnsi="Arial" w:cs="Arial"/>
          <w:color w:val="000000" w:themeColor="text1"/>
          <w:sz w:val="24"/>
          <w:szCs w:val="24"/>
        </w:rPr>
        <w:t xml:space="preserve">c) exibir data/hora, usuário ou processo automático, origem e versão/layout;</w:t>
      </w:r>
    </w:p>
    <w:p>
      <w:pPr>
        <w:jc w:val="both"/>
        <w:rPr>
          <w:rFonts w:ascii="Arial" w:hAnsi="Arial" w:cs="Arial"/>
          <w:color w:val="000000" w:themeColor="text1"/>
          <w:sz w:val="24"/>
          <w:szCs w:val="24"/>
        </w:rPr>
      </w:pPr>
      <w:r>
        <w:rPr>
          <w:rFonts w:ascii="Arial" w:hAnsi="Arial" w:cs="Arial"/>
          <w:color w:val="000000" w:themeColor="text1"/>
          <w:sz w:val="24"/>
          <w:szCs w:val="24"/>
        </w:rPr>
        <w:t xml:space="preserve">d) demonstrar que os dados aceitos refletem nos painéis correspondentes;</w:t>
      </w:r>
    </w:p>
    <w:p>
      <w:pPr>
        <w:jc w:val="both"/>
        <w:rPr>
          <w:rFonts w:ascii="Arial" w:hAnsi="Arial" w:cs="Arial"/>
          <w:color w:val="000000" w:themeColor="text1"/>
          <w:sz w:val="24"/>
          <w:szCs w:val="24"/>
        </w:rPr>
      </w:pPr>
      <w:r>
        <w:rPr>
          <w:rFonts w:ascii="Arial" w:hAnsi="Arial" w:cs="Arial"/>
          <w:color w:val="000000" w:themeColor="text1"/>
          <w:sz w:val="24"/>
          <w:szCs w:val="24"/>
        </w:rPr>
        <w:t xml:space="preserve">e) reimportar o mesmo período e demonstrar confirmação explícita antes da substituição;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f) demonstrar inexistência de duplicação silenciosa e preservação do histórico anterior;</w:t>
      </w:r>
    </w:p>
    <w:p>
      <w:pPr>
        <w:jc w:val="both"/>
        <w:rPr>
          <w:rFonts w:ascii="Arial" w:hAnsi="Arial" w:cs="Arial"/>
          <w:color w:val="000000" w:themeColor="text1"/>
          <w:sz w:val="24"/>
          <w:szCs w:val="24"/>
        </w:rPr>
      </w:pPr>
      <w:r>
        <w:rPr>
          <w:rFonts w:ascii="Arial" w:hAnsi="Arial" w:cs="Arial"/>
          <w:color w:val="000000" w:themeColor="text1"/>
          <w:sz w:val="24"/>
          <w:szCs w:val="24"/>
        </w:rPr>
        <w:t xml:space="preserve">g) demonstrar reprocessamento controlado do lote sem perda dos metadados.</w:t>
      </w:r>
    </w:p>
    <w:p>
      <w:pPr>
        <w:jc w:val="both"/>
        <w:rPr>
          <w:rFonts w:ascii="Arial" w:hAnsi="Arial" w:cs="Arial"/>
          <w:color w:val="000000" w:themeColor="text1"/>
          <w:sz w:val="24"/>
          <w:szCs w:val="24"/>
        </w:rPr>
      </w:pPr>
      <w:r>
        <w:rPr>
          <w:rFonts w:ascii="Arial" w:hAnsi="Arial" w:cs="Arial"/>
          <w:color w:val="000000" w:themeColor="text1"/>
          <w:sz w:val="24"/>
          <w:szCs w:val="24"/>
        </w:rPr>
        <w:t xml:space="preserve">Critério de aprovação: registros inválidos identificados; resumo completo; reimportação sem duplicação; confirmação prévia; histórico preservado.</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8.4.5. POC-04 — Entregas, obrigações e CAUC</w:t>
      </w:r>
    </w:p>
    <w:p>
      <w:pPr>
        <w:jc w:val="both"/>
        <w:rPr>
          <w:rFonts w:ascii="Arial" w:hAnsi="Arial" w:cs="Arial"/>
          <w:color w:val="000000" w:themeColor="text1"/>
          <w:sz w:val="24"/>
          <w:szCs w:val="24"/>
        </w:rPr>
      </w:pPr>
      <w:r>
        <w:rPr>
          <w:rFonts w:ascii="Arial" w:hAnsi="Arial" w:cs="Arial"/>
          <w:color w:val="000000" w:themeColor="text1"/>
          <w:sz w:val="24"/>
          <w:szCs w:val="24"/>
        </w:rPr>
        <w:t xml:space="preserve">A licitante deverá:</w:t>
      </w:r>
    </w:p>
    <w:p>
      <w:pPr>
        <w:jc w:val="both"/>
        <w:rPr>
          <w:rFonts w:ascii="Arial" w:hAnsi="Arial" w:cs="Arial"/>
          <w:color w:val="000000" w:themeColor="text1"/>
          <w:sz w:val="24"/>
          <w:szCs w:val="24"/>
        </w:rPr>
      </w:pPr>
      <w:r>
        <w:rPr>
          <w:rFonts w:ascii="Arial" w:hAnsi="Arial" w:cs="Arial"/>
          <w:color w:val="000000" w:themeColor="text1"/>
          <w:sz w:val="24"/>
          <w:szCs w:val="24"/>
        </w:rPr>
        <w:t xml:space="preserve">a) cadastrar obrigação com descrição, órgão destinatário, prazo e responsável;</w:t>
      </w:r>
    </w:p>
    <w:p>
      <w:pPr>
        <w:jc w:val="both"/>
        <w:rPr>
          <w:rFonts w:ascii="Arial" w:hAnsi="Arial" w:cs="Arial"/>
          <w:color w:val="000000" w:themeColor="text1"/>
          <w:sz w:val="24"/>
          <w:szCs w:val="24"/>
        </w:rPr>
      </w:pPr>
      <w:r>
        <w:rPr>
          <w:rFonts w:ascii="Arial" w:hAnsi="Arial" w:cs="Arial"/>
          <w:color w:val="000000" w:themeColor="text1"/>
          <w:sz w:val="24"/>
          <w:szCs w:val="24"/>
        </w:rPr>
        <w:t xml:space="preserve">b) demonstrar alerta de proximidade ou vencimento;</w:t>
      </w:r>
    </w:p>
    <w:p>
      <w:pPr>
        <w:jc w:val="both"/>
        <w:rPr>
          <w:rFonts w:ascii="Arial" w:hAnsi="Arial" w:cs="Arial"/>
          <w:color w:val="000000" w:themeColor="text1"/>
          <w:sz w:val="24"/>
          <w:szCs w:val="24"/>
        </w:rPr>
      </w:pPr>
      <w:r>
        <w:rPr>
          <w:rFonts w:ascii="Arial" w:hAnsi="Arial" w:cs="Arial"/>
          <w:color w:val="000000" w:themeColor="text1"/>
          <w:sz w:val="24"/>
          <w:szCs w:val="24"/>
        </w:rPr>
        <w:t xml:space="preserve">c) registrar cumprimento com anexação de evidência;</w:t>
      </w:r>
    </w:p>
    <w:p>
      <w:pPr>
        <w:jc w:val="both"/>
        <w:rPr>
          <w:rFonts w:ascii="Arial" w:hAnsi="Arial" w:cs="Arial"/>
          <w:color w:val="000000" w:themeColor="text1"/>
          <w:sz w:val="24"/>
          <w:szCs w:val="24"/>
        </w:rPr>
      </w:pPr>
      <w:r>
        <w:rPr>
          <w:rFonts w:ascii="Arial" w:hAnsi="Arial" w:cs="Arial"/>
          <w:color w:val="000000" w:themeColor="text1"/>
          <w:sz w:val="24"/>
          <w:szCs w:val="24"/>
        </w:rPr>
        <w:t xml:space="preserve">d) alterar status e exibir histórico com usuário e data;</w:t>
      </w:r>
    </w:p>
    <w:p>
      <w:pPr>
        <w:jc w:val="both"/>
        <w:rPr>
          <w:rFonts w:ascii="Arial" w:hAnsi="Arial" w:cs="Arial"/>
          <w:color w:val="000000" w:themeColor="text1"/>
          <w:sz w:val="24"/>
          <w:szCs w:val="24"/>
        </w:rPr>
      </w:pPr>
      <w:r>
        <w:rPr>
          <w:rFonts w:ascii="Arial" w:hAnsi="Arial" w:cs="Arial"/>
          <w:color w:val="000000" w:themeColor="text1"/>
          <w:sz w:val="24"/>
          <w:szCs w:val="24"/>
        </w:rPr>
        <w:t xml:space="preserve">e) demonstrar consulta de obrigações pendentes por prazo, responsável e situação;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f) demonstrar a exibição da situação de adimplência no CAUC — a partir de dados reais quando disponíveis ou de dados simulados representativos, conforme o item 8.1.6 —, com indicação da data da consulta e alerta expresso caso a fonte esteja indisponível ou defasada.</w:t>
      </w:r>
    </w:p>
    <w:p>
      <w:pPr>
        <w:jc w:val="both"/>
        <w:rPr>
          <w:rFonts w:ascii="Arial" w:hAnsi="Arial" w:cs="Arial"/>
          <w:color w:val="000000" w:themeColor="text1"/>
          <w:sz w:val="24"/>
          <w:szCs w:val="24"/>
        </w:rPr>
      </w:pPr>
      <w:r>
        <w:rPr>
          <w:rFonts w:ascii="Arial" w:hAnsi="Arial" w:cs="Arial"/>
          <w:color w:val="000000" w:themeColor="text1"/>
          <w:sz w:val="24"/>
          <w:szCs w:val="24"/>
        </w:rPr>
        <w:t xml:space="preserve">Critério de aprovação: ciclo completo de obrigações — cadastro, alerta, evidência, alteração e histórico — demonstrado no sistema; painel do CAUC demonstrado com indicação clara da data e da origem da informação.</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8.4.6. POC-05 — Processos do TCM-GO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licitante deverá:</w:t>
      </w:r>
    </w:p>
    <w:p>
      <w:pPr>
        <w:jc w:val="both"/>
        <w:rPr>
          <w:rFonts w:ascii="Arial" w:hAnsi="Arial" w:cs="Arial"/>
          <w:color w:val="000000" w:themeColor="text1"/>
          <w:sz w:val="24"/>
          <w:szCs w:val="24"/>
        </w:rPr>
      </w:pPr>
      <w:r>
        <w:rPr>
          <w:rFonts w:ascii="Arial" w:hAnsi="Arial" w:cs="Arial"/>
          <w:color w:val="000000" w:themeColor="text1"/>
          <w:sz w:val="24"/>
          <w:szCs w:val="24"/>
        </w:rPr>
        <w:t xml:space="preserve">a) cadastrar processo com número, órgão, exercício, unidade responsável, assunto e fase;</w:t>
      </w:r>
    </w:p>
    <w:p>
      <w:pPr>
        <w:jc w:val="both"/>
        <w:rPr>
          <w:rFonts w:ascii="Arial" w:hAnsi="Arial" w:cs="Arial"/>
          <w:color w:val="000000" w:themeColor="text1"/>
          <w:sz w:val="24"/>
          <w:szCs w:val="24"/>
        </w:rPr>
      </w:pPr>
      <w:r>
        <w:rPr>
          <w:rFonts w:ascii="Arial" w:hAnsi="Arial" w:cs="Arial"/>
          <w:color w:val="000000" w:themeColor="text1"/>
          <w:sz w:val="24"/>
          <w:szCs w:val="24"/>
        </w:rPr>
        <w:t xml:space="preserve">b) registrar diligência vinculada, com prazo de resposta e providência pendente;</w:t>
      </w:r>
    </w:p>
    <w:p>
      <w:pPr>
        <w:jc w:val="both"/>
        <w:rPr>
          <w:rFonts w:ascii="Arial" w:hAnsi="Arial" w:cs="Arial"/>
          <w:color w:val="000000" w:themeColor="text1"/>
          <w:sz w:val="24"/>
          <w:szCs w:val="24"/>
        </w:rPr>
      </w:pPr>
      <w:r>
        <w:rPr>
          <w:rFonts w:ascii="Arial" w:hAnsi="Arial" w:cs="Arial"/>
          <w:color w:val="000000" w:themeColor="text1"/>
          <w:sz w:val="24"/>
          <w:szCs w:val="24"/>
        </w:rPr>
        <w:t xml:space="preserve">c) atribuir responsável à providência;</w:t>
      </w:r>
    </w:p>
    <w:p>
      <w:pPr>
        <w:jc w:val="both"/>
        <w:rPr>
          <w:rFonts w:ascii="Arial" w:hAnsi="Arial" w:cs="Arial"/>
          <w:color w:val="000000" w:themeColor="text1"/>
          <w:sz w:val="24"/>
          <w:szCs w:val="24"/>
        </w:rPr>
      </w:pPr>
      <w:r>
        <w:rPr>
          <w:rFonts w:ascii="Arial" w:hAnsi="Arial" w:cs="Arial"/>
          <w:color w:val="000000" w:themeColor="text1"/>
          <w:sz w:val="24"/>
          <w:szCs w:val="24"/>
        </w:rPr>
        <w:t xml:space="preserve">d) anexar ou vincular documento;</w:t>
      </w:r>
    </w:p>
    <w:p>
      <w:pPr>
        <w:jc w:val="both"/>
        <w:rPr>
          <w:rFonts w:ascii="Arial" w:hAnsi="Arial" w:cs="Arial"/>
          <w:color w:val="000000" w:themeColor="text1"/>
          <w:sz w:val="24"/>
          <w:szCs w:val="24"/>
        </w:rPr>
      </w:pPr>
      <w:r>
        <w:rPr>
          <w:rFonts w:ascii="Arial" w:hAnsi="Arial" w:cs="Arial"/>
          <w:color w:val="000000" w:themeColor="text1"/>
          <w:sz w:val="24"/>
          <w:szCs w:val="24"/>
        </w:rPr>
        <w:t xml:space="preserve">e) distinguir informação publicada, importada, lançada manualmente e aguardando atualização;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f) exibir consulta consolidada por exercício, órgão, fase e existência de providência pendente;</w:t>
      </w:r>
    </w:p>
    <w:p>
      <w:pPr>
        <w:jc w:val="both"/>
        <w:rPr>
          <w:rFonts w:ascii="Arial" w:hAnsi="Arial" w:cs="Arial"/>
          <w:color w:val="000000" w:themeColor="text1"/>
          <w:sz w:val="24"/>
          <w:szCs w:val="24"/>
        </w:rPr>
      </w:pPr>
      <w:r>
        <w:rPr>
          <w:rFonts w:ascii="Arial" w:hAnsi="Arial" w:cs="Arial"/>
          <w:color w:val="000000" w:themeColor="text1"/>
          <w:sz w:val="24"/>
          <w:szCs w:val="24"/>
        </w:rPr>
        <w:t xml:space="preserve">g) gerar alerta de prazo de diligência.</w:t>
      </w:r>
    </w:p>
    <w:p>
      <w:pPr>
        <w:jc w:val="both"/>
        <w:rPr>
          <w:rFonts w:ascii="Arial" w:hAnsi="Arial" w:cs="Arial"/>
          <w:color w:val="000000" w:themeColor="text1"/>
          <w:sz w:val="24"/>
          <w:szCs w:val="24"/>
        </w:rPr>
      </w:pPr>
      <w:r>
        <w:rPr>
          <w:rFonts w:ascii="Arial" w:hAnsi="Arial" w:cs="Arial"/>
          <w:color w:val="000000" w:themeColor="text1"/>
          <w:sz w:val="24"/>
          <w:szCs w:val="24"/>
        </w:rPr>
        <w:t xml:space="preserve">Critério de aprovação: atributos registráveis; origem da informação visível; prazo, responsável e providência acompanháveis.</w:t>
      </w:r>
    </w:p>
    <w:p>
      <w:pPr>
        <w:pStyle w:val="Ttulo3"/>
        <w:jc w:val="both"/>
        <w:rPr>
          <w:rFonts w:ascii="Arial" w:hAnsi="Arial" w:cs="Arial"/>
          <w:color w:val="000000" w:themeColor="text1"/>
          <w:sz w:val="24"/>
          <w:szCs w:val="24"/>
        </w:rPr>
      </w:pPr>
      <w:r>
        <w:rPr>
          <w:rFonts w:ascii="Arial" w:hAnsi="Arial" w:cs="Arial"/>
          <w:color w:val="000000" w:themeColor="text1"/>
          <w:sz w:val="24"/>
          <w:szCs w:val="24"/>
        </w:rPr>
        <w:t xml:space="preserve">8.4.7. POC-06 — Aplicativo móvel</w:t>
      </w:r>
    </w:p>
    <w:p>
      <w:pPr>
        <w:jc w:val="both"/>
        <w:rPr>
          <w:rFonts w:ascii="Arial" w:hAnsi="Arial" w:cs="Arial"/>
          <w:color w:val="000000" w:themeColor="text1"/>
          <w:sz w:val="24"/>
          <w:szCs w:val="24"/>
        </w:rPr>
      </w:pPr>
      <w:r>
        <w:rPr>
          <w:rFonts w:ascii="Arial" w:hAnsi="Arial" w:cs="Arial"/>
          <w:color w:val="000000" w:themeColor="text1"/>
          <w:sz w:val="24"/>
          <w:szCs w:val="24"/>
        </w:rPr>
        <w:t xml:space="preserve">A licitante deverá, em dispositivo móvel ou emulador funcional:</w:t>
      </w:r>
    </w:p>
    <w:p>
      <w:pPr>
        <w:jc w:val="both"/>
        <w:rPr>
          <w:rFonts w:ascii="Arial" w:hAnsi="Arial" w:cs="Arial"/>
          <w:color w:val="000000" w:themeColor="text1"/>
          <w:sz w:val="24"/>
          <w:szCs w:val="24"/>
        </w:rPr>
      </w:pPr>
      <w:r>
        <w:rPr>
          <w:rFonts w:ascii="Arial" w:hAnsi="Arial" w:cs="Arial"/>
          <w:color w:val="000000" w:themeColor="text1"/>
          <w:sz w:val="24"/>
          <w:szCs w:val="24"/>
        </w:rPr>
        <w:t xml:space="preserve">a) realizar login com usuário de teste e credencial compatível com a web;</w:t>
      </w:r>
    </w:p>
    <w:p>
      <w:pPr>
        <w:jc w:val="both"/>
        <w:rPr>
          <w:rFonts w:ascii="Arial" w:hAnsi="Arial" w:cs="Arial"/>
          <w:color w:val="000000" w:themeColor="text1"/>
          <w:sz w:val="24"/>
          <w:szCs w:val="24"/>
        </w:rPr>
      </w:pPr>
      <w:r>
        <w:rPr>
          <w:rFonts w:ascii="Arial" w:hAnsi="Arial" w:cs="Arial"/>
          <w:color w:val="000000" w:themeColor="text1"/>
          <w:sz w:val="24"/>
          <w:szCs w:val="24"/>
        </w:rPr>
        <w:t xml:space="preserve">b) consultar painéis de receita, despesa, caixa e ao menos um indicador legal;</w:t>
      </w:r>
    </w:p>
    <w:p>
      <w:pPr>
        <w:jc w:val="both"/>
        <w:rPr>
          <w:rFonts w:ascii="Arial" w:hAnsi="Arial" w:cs="Arial"/>
          <w:color w:val="000000" w:themeColor="text1"/>
          <w:sz w:val="24"/>
          <w:szCs w:val="24"/>
        </w:rPr>
      </w:pPr>
      <w:r>
        <w:rPr>
          <w:rFonts w:ascii="Arial" w:hAnsi="Arial" w:cs="Arial"/>
          <w:color w:val="000000" w:themeColor="text1"/>
          <w:sz w:val="24"/>
          <w:szCs w:val="24"/>
        </w:rPr>
        <w:t xml:space="preserve">c) demonstrar valores idênticos aos exibidos na web para os mesmos filtros, salvo atualização expressamente informada;</w:t>
      </w:r>
    </w:p>
    <w:p>
      <w:pPr>
        <w:jc w:val="both"/>
        <w:rPr>
          <w:rFonts w:ascii="Arial" w:hAnsi="Arial" w:cs="Arial"/>
          <w:color w:val="000000" w:themeColor="text1"/>
          <w:sz w:val="24"/>
          <w:szCs w:val="24"/>
        </w:rPr>
      </w:pPr>
      <w:r>
        <w:rPr>
          <w:rFonts w:ascii="Arial" w:hAnsi="Arial" w:cs="Arial"/>
          <w:color w:val="000000" w:themeColor="text1"/>
          <w:sz w:val="24"/>
          <w:szCs w:val="24"/>
        </w:rPr>
        <w:t xml:space="preserve">d) visualizar alertas e consultar obrigação ou processo acompanhado;</w:t>
      </w:r>
    </w:p>
    <w:p>
      <w:pPr>
        <w:jc w:val="both"/>
        <w:rPr>
          <w:rFonts w:ascii="Arial" w:hAnsi="Arial" w:cs="Arial"/>
          <w:color w:val="000000" w:themeColor="text1"/>
          <w:sz w:val="24"/>
          <w:szCs w:val="24"/>
        </w:rPr>
      </w:pPr>
      <w:r>
        <w:rPr>
          <w:rFonts w:ascii="Arial" w:hAnsi="Arial" w:cs="Arial"/>
          <w:color w:val="000000" w:themeColor="text1"/>
          <w:sz w:val="24"/>
          <w:szCs w:val="24"/>
        </w:rPr>
        <w:t xml:space="preserve">e) demonstrar que perfil restrito não visualiza módulos ou informações não autorizados;</w:t>
      </w:r>
    </w:p>
    <w:p>
      <w:pPr>
        <w:jc w:val="both"/>
        <w:rPr>
          <w:rFonts w:ascii="Arial" w:hAnsi="Arial" w:cs="Arial"/>
          <w:color w:val="000000" w:themeColor="text1"/>
          <w:sz w:val="24"/>
          <w:szCs w:val="24"/>
        </w:rPr>
      </w:pPr>
      <w:r>
        <w:rPr>
          <w:rFonts w:ascii="Arial" w:hAnsi="Arial" w:cs="Arial"/>
          <w:color w:val="000000" w:themeColor="text1"/>
          <w:sz w:val="24"/>
          <w:szCs w:val="24"/>
        </w:rPr>
        <w:t xml:space="preserve">f) demonstrar comunicação protegida e identificação da versão do aplicativo.</w:t>
      </w:r>
    </w:p>
    <w:p>
      <w:pPr>
        <w:jc w:val="both"/>
        <w:rPr>
          <w:rFonts w:ascii="Arial" w:hAnsi="Arial" w:cs="Arial"/>
          <w:color w:val="000000" w:themeColor="text1"/>
          <w:sz w:val="24"/>
          <w:szCs w:val="24"/>
        </w:rPr>
      </w:pPr>
      <w:r>
        <w:rPr>
          <w:rFonts w:ascii="Arial" w:hAnsi="Arial" w:cs="Arial"/>
          <w:color w:val="000000" w:themeColor="text1"/>
          <w:sz w:val="24"/>
          <w:szCs w:val="24"/>
        </w:rPr>
        <w:t xml:space="preserve">Critério de aprovação: mesma base de dados, paridade de permissões web/aplicativo e funcionamento das funções essenciais.</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8.5. Critérios de avaliação e julgamento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8.5.1.</w:t>
      </w:r>
      <w:r>
        <w:rPr>
          <w:rFonts w:ascii="Arial" w:hAnsi="Arial" w:cs="Arial"/>
          <w:color w:val="000000" w:themeColor="text1"/>
          <w:sz w:val="24"/>
          <w:szCs w:val="24"/>
        </w:rPr>
        <w:t xml:space="preserve"> Cada teste será avaliado pela comissão como: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Atendido — todos os passos e critérios de aprovação demonstrados;</w:t>
      </w:r>
    </w:p>
    <w:p>
      <w:pPr>
        <w:jc w:val="both"/>
        <w:rPr>
          <w:rFonts w:ascii="Arial" w:hAnsi="Arial" w:cs="Arial"/>
          <w:color w:val="000000" w:themeColor="text1"/>
          <w:sz w:val="24"/>
          <w:szCs w:val="24"/>
        </w:rPr>
      </w:pPr>
      <w:r>
        <w:rPr>
          <w:rFonts w:ascii="Arial" w:hAnsi="Arial" w:cs="Arial"/>
          <w:color w:val="000000" w:themeColor="text1"/>
          <w:sz w:val="24"/>
          <w:szCs w:val="24"/>
        </w:rPr>
        <w:t xml:space="preserve">b) Atendido parcialmente — funcionalidade existente e operacional, com lacuna pontual que não comprometa a essência do requisito e que seja registrada de forma específica em ata;</w:t>
      </w:r>
    </w:p>
    <w:p>
      <w:pPr>
        <w:jc w:val="both"/>
        <w:rPr>
          <w:rFonts w:ascii="Arial" w:hAnsi="Arial" w:cs="Arial"/>
          <w:color w:val="000000" w:themeColor="text1"/>
          <w:sz w:val="24"/>
          <w:szCs w:val="24"/>
        </w:rPr>
      </w:pPr>
      <w:r>
        <w:rPr>
          <w:rFonts w:ascii="Arial" w:hAnsi="Arial" w:cs="Arial"/>
          <w:color w:val="000000" w:themeColor="text1"/>
          <w:sz w:val="24"/>
          <w:szCs w:val="24"/>
        </w:rPr>
        <w:t xml:space="preserve">c) Não atendido — funcionalidade inexistente, inoperante, incompatível com o requisito, demonstrada apenas por simulação ou dependente de desenvolvimento substancial não disponível.</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8.5.2.</w:t>
      </w:r>
      <w:r>
        <w:rPr>
          <w:rFonts w:ascii="Arial" w:hAnsi="Arial" w:cs="Arial"/>
          <w:color w:val="000000" w:themeColor="text1"/>
          <w:sz w:val="24"/>
          <w:szCs w:val="24"/>
        </w:rPr>
        <w:t xml:space="preserve"> Para fins de julgamento, os testes do roteiro classificam-se em:</w:t>
      </w:r>
    </w:p>
    <w:p>
      <w:pPr>
        <w:jc w:val="both"/>
        <w:rPr>
          <w:rFonts w:ascii="Arial" w:hAnsi="Arial" w:cs="Arial"/>
          <w:color w:val="000000" w:themeColor="text1"/>
          <w:sz w:val="24"/>
          <w:szCs w:val="24"/>
        </w:rPr>
      </w:pPr>
      <w:r>
        <w:rPr>
          <w:rFonts w:ascii="Arial" w:hAnsi="Arial" w:cs="Arial"/>
          <w:color w:val="000000" w:themeColor="text1"/>
          <w:sz w:val="24"/>
          <w:szCs w:val="24"/>
        </w:rPr>
        <w:t xml:space="preserve">a) essenciais — POC-01, POC-02, POC-03 e POC-04 —, por corresponderem aos requisitos estruturantes de controle de acesso, análise gerencial, ingestão de dados e conformidade;</w:t>
      </w:r>
    </w:p>
    <w:p>
      <w:pPr>
        <w:jc w:val="both"/>
        <w:rPr>
          <w:rFonts w:ascii="Arial" w:hAnsi="Arial" w:cs="Arial"/>
          <w:color w:val="000000" w:themeColor="text1"/>
          <w:sz w:val="24"/>
          <w:szCs w:val="24"/>
        </w:rPr>
      </w:pPr>
      <w:r>
        <w:rPr>
          <w:rFonts w:ascii="Arial" w:hAnsi="Arial" w:cs="Arial"/>
          <w:color w:val="000000" w:themeColor="text1"/>
          <w:sz w:val="24"/>
          <w:szCs w:val="24"/>
        </w:rPr>
        <w:t xml:space="preserve">b) complementares — POC-05 e POC-06.</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8.5.3.</w:t>
      </w:r>
      <w:r>
        <w:rPr>
          <w:rFonts w:ascii="Arial" w:hAnsi="Arial" w:cs="Arial"/>
          <w:color w:val="000000" w:themeColor="text1"/>
          <w:sz w:val="24"/>
          <w:szCs w:val="24"/>
        </w:rPr>
        <w:t xml:space="preserve"> A licitante será considerada aprovada quando, cumulativamente: a) nenhum teste essencial for avaliado como não atendido; b) no máximo 2 (dois) testes essenciais forem avaliados como atendido parcialmente; c) no máximo 1 (um) teste complementar for avaliado como não atendido; e d) as lacunas identificadas sejam sanáveis por configuração, parametrização, carga de dados ou ajuste que não represente desenvolvimento substancial da solução.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8.5.3.1.</w:t>
      </w:r>
      <w:r>
        <w:rPr>
          <w:rFonts w:ascii="Arial" w:hAnsi="Arial" w:cs="Arial"/>
          <w:color w:val="000000" w:themeColor="text1"/>
          <w:sz w:val="24"/>
          <w:szCs w:val="24"/>
        </w:rPr>
        <w:t xml:space="preserve"> Considera-se atendimento parcial a funcionalidade existente e operacional cuja demonstração apresente lacuna pontual que não comprometa a finalidade do requisito. A comissão deverá descrever objetivamente, em ata, a lacuna observada e a sua repercussão sobre o uso pretendido.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8.5.3.2.</w:t>
      </w:r>
      <w:r>
        <w:rPr>
          <w:rFonts w:ascii="Arial" w:hAnsi="Arial" w:cs="Arial"/>
          <w:color w:val="000000" w:themeColor="text1"/>
          <w:sz w:val="24"/>
          <w:szCs w:val="24"/>
        </w:rPr>
        <w:t xml:space="preserve"> O não atendimento de teste complementar poderá ser reclassificado como atendimento parcial quando a licitante demonstrar, na mesma sessão, caminho alternativo que produza o mesmo resultado funcional, ainda que por fluxo diverso do descrito no roteiro.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8.5.3.3.</w:t>
      </w:r>
      <w:r>
        <w:rPr>
          <w:rFonts w:ascii="Arial" w:hAnsi="Arial" w:cs="Arial"/>
          <w:color w:val="000000" w:themeColor="text1"/>
          <w:sz w:val="24"/>
          <w:szCs w:val="24"/>
        </w:rPr>
        <w:t xml:space="preserve"> As pendências classificadas como atendimento parcial e o teste complementar não atendido serão consolidados em plano de regularização, registrado em ata, com prazo de saneamento até o término da implantação. O plano integrará as obrigações contratuais da adjudicatária e o seu descumprimento sujeitará a contratada às consequências previstas neste Termo de Referência, sem prejuízo da recusa do recebimento definitivo.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8.5.3.4.</w:t>
      </w:r>
      <w:r>
        <w:rPr>
          <w:rFonts w:ascii="Arial" w:hAnsi="Arial" w:cs="Arial"/>
          <w:color w:val="000000" w:themeColor="text1"/>
          <w:sz w:val="24"/>
          <w:szCs w:val="24"/>
        </w:rPr>
        <w:t xml:space="preserve"> A avaliação considerará a finalidade do requisito, e não a identidade de nomenclatura, de disposição de telas ou de sequência de operações. Solução que alcance o resultado exigido por meio diverso será considerada atendida.</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8.5.4.</w:t>
      </w:r>
      <w:r>
        <w:rPr>
          <w:rFonts w:ascii="Arial" w:hAnsi="Arial" w:cs="Arial"/>
          <w:color w:val="000000" w:themeColor="text1"/>
          <w:sz w:val="24"/>
          <w:szCs w:val="24"/>
        </w:rPr>
        <w:t xml:space="preserve"> Falha pontual de ambiente, conectividade, projeção ou indisponibilidade momentânea que não seja atribuível à solução não implicará reprovação automática. A comissão poderá autorizar uma repetição do passo afetado na mesma sessão ou, se tecnicamente inviável, em sessão complementar no primeiro dia útil subsequente, registrando a ocorrência e a justificativa. Indisponibilidade comprovada de fonte externa (CAUC ou TCM-GO) durante a sessão não implicará reprovação, aplicando-se o disposto no item 8.1.6.</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8.5.5.</w:t>
      </w:r>
      <w:r>
        <w:rPr>
          <w:rFonts w:ascii="Arial" w:hAnsi="Arial" w:cs="Arial"/>
          <w:color w:val="000000" w:themeColor="text1"/>
          <w:sz w:val="24"/>
          <w:szCs w:val="24"/>
        </w:rPr>
        <w:t xml:space="preserve"> A repetição prevista no item 8.5.4 não poderá ser utilizada para permitir desenvolvimento, correção estrutural ou alteração substancial da solução durante a POC. A repetição servirá apenas para eliminar dúvida decorrente de falha circunstancial comprovada.</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8.5.6.</w:t>
      </w:r>
      <w:r>
        <w:rPr>
          <w:rFonts w:ascii="Arial" w:hAnsi="Arial" w:cs="Arial"/>
          <w:color w:val="000000" w:themeColor="text1"/>
          <w:sz w:val="24"/>
          <w:szCs w:val="24"/>
        </w:rPr>
        <w:t xml:space="preserve"> A reprovação na POC implicará a desclassificação da proposta, com convocação da licitante subsequente na ordem de classificação para realização de novo procedimento, nos termos do edital e da legislação aplicável.</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8.5.7.</w:t>
      </w:r>
      <w:r>
        <w:rPr>
          <w:rFonts w:ascii="Arial" w:hAnsi="Arial" w:cs="Arial"/>
          <w:color w:val="000000" w:themeColor="text1"/>
          <w:sz w:val="24"/>
          <w:szCs w:val="24"/>
        </w:rPr>
        <w:t xml:space="preserve"> Não caberá à comissão exigir, durante a sessão, funcionalidade, layout, integração, parametrização ou desempenho não previsto neste Termo de Referência, nem reprovar a licitante por aspecto meramente estético ou preferência subjetiva.</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8.5.8.</w:t>
      </w:r>
      <w:r>
        <w:rPr>
          <w:rFonts w:ascii="Arial" w:hAnsi="Arial" w:cs="Arial"/>
          <w:color w:val="000000" w:themeColor="text1"/>
          <w:sz w:val="24"/>
          <w:szCs w:val="24"/>
        </w:rPr>
        <w:t xml:space="preserve"> A avaliação deverá considerar exclusivamente a funcionalidade demonstrada, os requisitos de referência, os critérios de aprovação e as evidências registradas, vedada a criação de requisito novo durante a sessão.</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8.6. Registro, ata e resultado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8.6.1.</w:t>
      </w:r>
      <w:r>
        <w:rPr>
          <w:rFonts w:ascii="Arial" w:hAnsi="Arial" w:cs="Arial"/>
          <w:color w:val="000000" w:themeColor="text1"/>
          <w:sz w:val="24"/>
          <w:szCs w:val="24"/>
        </w:rPr>
        <w:t xml:space="preserve"> A sessão será registrada em ata circunstanciada, assinada pela comissão e pelo(s) representante(s) da licitante, contendo: a) data, horário, local ou plataforma utilizada; b) identificação dos participantes; c) arquivos, dados e ambiente utilizados; d) sequência dos testes realizados; e) avaliação individual de cada teste; f) evidências apresentadas; g) ocorrências, falhas, repetições e justificativas; h) pendências ou lacunas classificadas como atendimento parcial; i) conclusão motivada pela aprovação ou reprovação.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8.6.2.</w:t>
      </w:r>
      <w:r>
        <w:rPr>
          <w:rFonts w:ascii="Arial" w:hAnsi="Arial" w:cs="Arial"/>
          <w:color w:val="000000" w:themeColor="text1"/>
          <w:sz w:val="24"/>
          <w:szCs w:val="24"/>
        </w:rPr>
        <w:t xml:space="preserve"> A sessão poderá ser gravada em áudio, vídeo ou captura de tela, mediante ciência prévia dos participantes. A gravação, quando realizada, integrará o processo administrativo e será tratada conforme as regras de acesso, sigilo e proteção de dados aplicáveis.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8.6.3.</w:t>
      </w:r>
      <w:r>
        <w:rPr>
          <w:rFonts w:ascii="Arial" w:hAnsi="Arial" w:cs="Arial"/>
          <w:color w:val="000000" w:themeColor="text1"/>
          <w:sz w:val="24"/>
          <w:szCs w:val="24"/>
        </w:rPr>
        <w:t xml:space="preserve"> A comissão poderá anexar à ata arquivos exportados, relatórios, capturas de tela, logs, registros de processamento e demais evidências necessárias à reconstituição dos testes.</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8.6.4.</w:t>
      </w:r>
      <w:r>
        <w:rPr>
          <w:rFonts w:ascii="Arial" w:hAnsi="Arial" w:cs="Arial"/>
          <w:color w:val="000000" w:themeColor="text1"/>
          <w:sz w:val="24"/>
          <w:szCs w:val="24"/>
        </w:rPr>
        <w:t xml:space="preserve"> O resultado da POC será divulgado em até 3 (três) dias úteis após o encerramento da sessão, contendo a motivação da avaliação de cada teste, assegurados os prazos e meios recursais previstos no edital.</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8.6.5.</w:t>
      </w:r>
      <w:r>
        <w:rPr>
          <w:rFonts w:ascii="Arial" w:hAnsi="Arial" w:cs="Arial"/>
          <w:color w:val="000000" w:themeColor="text1"/>
          <w:sz w:val="24"/>
          <w:szCs w:val="24"/>
        </w:rPr>
        <w:t xml:space="preserve"> A decisão de reprovação deverá indicar o(s) teste(s) não atendido(s), a exigência correspondente, o fato observado e a evidência registrada, não sendo suficiente fundamentação genérica.</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8.6.6.</w:t>
      </w:r>
      <w:r>
        <w:rPr>
          <w:rFonts w:ascii="Arial" w:hAnsi="Arial" w:cs="Arial"/>
          <w:color w:val="000000" w:themeColor="text1"/>
          <w:sz w:val="24"/>
          <w:szCs w:val="24"/>
        </w:rPr>
        <w:t xml:space="preserve"> Os dados, documentos e credenciais de teste utilizados na POC deverão ser excluídos do ambiente da licitante após a homologação do certame ou após o encerramento definitivo da disputa, conforme o que ocorrer por último, mediante declaração de eliminação, ressalvadas as retenções exigidas por lei ou necessárias à defesa em processo administrativo ou judicial.</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8.6.7.</w:t>
      </w:r>
      <w:r>
        <w:rPr>
          <w:rFonts w:ascii="Arial" w:hAnsi="Arial" w:cs="Arial"/>
          <w:color w:val="000000" w:themeColor="text1"/>
          <w:sz w:val="24"/>
          <w:szCs w:val="24"/>
        </w:rPr>
        <w:t xml:space="preserve"> A licitante deverá informar à Administração, no prazo definido na convocação, a conclusão da eliminação dos dados de teste e eventuais dados que tenham sido mantidos, indicando fundamento, finalidade e prazo de retenção.</w:t>
      </w:r>
    </w:p>
    <w:p>
      <w:pPr>
        <w:pStyle w:val="Ttulo1"/>
        <w:jc w:val="both"/>
        <w:rPr>
          <w:rFonts w:ascii="Arial" w:hAnsi="Arial" w:cs="Arial"/>
          <w:color w:val="000000" w:themeColor="text1"/>
          <w:sz w:val="24"/>
          <w:szCs w:val="24"/>
        </w:rPr>
      </w:pPr>
      <w:r>
        <w:rPr>
          <w:rFonts w:ascii="Arial" w:hAnsi="Arial" w:cs="Arial"/>
          <w:color w:val="000000" w:themeColor="text1"/>
          <w:sz w:val="24"/>
          <w:szCs w:val="24"/>
        </w:rPr>
        <w:t xml:space="preserve">9. Modelo de gestão e fiscalização do contrato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execução deverá ser acompanhada e fiscalizada por servidor(es) formalmente designado(s), nos termos do art. 117 da Lei nº 14.133/2021. A designação deverá indicar gestor, fiscal técnico, fiscal administrativo e substitutos quando aplicável.</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9.1. Glosas e descontos</w:t>
      </w:r>
    </w:p>
    <w:p>
      <w:pPr>
        <w:jc w:val="both"/>
        <w:rPr>
          <w:rFonts w:ascii="Arial" w:hAnsi="Arial" w:cs="Arial"/>
          <w:color w:val="000000" w:themeColor="text1"/>
          <w:sz w:val="24"/>
          <w:szCs w:val="24"/>
        </w:rPr>
      </w:pPr>
      <w:r>
        <w:rPr>
          <w:rFonts w:ascii="Arial" w:hAnsi="Arial" w:cs="Arial"/>
          <w:color w:val="000000" w:themeColor="text1"/>
          <w:sz w:val="24"/>
          <w:szCs w:val="24"/>
        </w:rPr>
        <w:t xml:space="preserve">As glosas incidirão somente sobre a parcela mensal correspondente ao período de apuração em que verificada a ocorrência e dependerão de registro da ocorrência, manifestação da contratada e decisão do gestor, sem prejuízo do contraditório quando a medida tiver natureza sancionatória.</w:t>
      </w:r>
    </w:p>
    <w:p>
      <w:pPr>
        <w:jc w:val="both"/>
        <w:rPr>
          <w:rFonts w:ascii="Arial" w:hAnsi="Arial" w:cs="Arial"/>
          <w:color w:val="000000" w:themeColor="text1"/>
          <w:sz w:val="24"/>
          <w:szCs w:val="24"/>
        </w:rPr>
      </w:pPr>
      <w:r>
        <w:rPr>
          <w:rFonts w:ascii="Arial" w:hAnsi="Arial" w:cs="Arial"/>
          <w:color w:val="000000" w:themeColor="text1"/>
          <w:sz w:val="24"/>
          <w:szCs w:val="24"/>
        </w:rPr>
        <w:t xml:space="preserve">Para disponibilidade inferior à meta, poderá ser aplicado desconto de </w:t>
      </w:r>
      <w:r>
        <w:rPr>
          <w:rFonts w:ascii="Arial" w:hAnsi="Arial" w:cs="Arial"/>
          <w:b/>
          <w:color w:val="000000" w:themeColor="text1"/>
          <w:sz w:val="24"/>
          <w:szCs w:val="24"/>
        </w:rPr>
        <w:t xml:space="preserve">2% do valor mensal por cada ponto percentual completo ou fração proporcional de indisponibilidade abaixo de 99,5%</w:t>
      </w:r>
      <w:r>
        <w:rPr>
          <w:rFonts w:ascii="Arial" w:hAnsi="Arial" w:cs="Arial"/>
          <w:color w:val="000000" w:themeColor="text1"/>
          <w:sz w:val="24"/>
          <w:szCs w:val="24"/>
        </w:rPr>
        <w:t xml:space="preserve">, limitado a 10% do valor mensal, sem prejuízo de outras medidas quando houver reincidência ou interrupção grave.</w:t>
      </w:r>
    </w:p>
    <w:p>
      <w:pPr>
        <w:jc w:val="both"/>
        <w:rPr>
          <w:rFonts w:ascii="Arial" w:hAnsi="Arial" w:cs="Arial"/>
          <w:color w:val="000000" w:themeColor="text1"/>
          <w:sz w:val="24"/>
          <w:szCs w:val="24"/>
        </w:rPr>
      </w:pPr>
      <w:r>
        <w:rPr>
          <w:rFonts w:ascii="Arial" w:hAnsi="Arial" w:cs="Arial"/>
          <w:color w:val="000000" w:themeColor="text1"/>
          <w:sz w:val="24"/>
          <w:szCs w:val="24"/>
        </w:rPr>
        <w:t xml:space="preserve">Para incidente P1 não atendido no prazo, poderá ser aplicado desconto de </w:t>
      </w:r>
      <w:r>
        <w:rPr>
          <w:rFonts w:ascii="Arial" w:hAnsi="Arial" w:cs="Arial"/>
          <w:b/>
          <w:color w:val="000000" w:themeColor="text1"/>
          <w:sz w:val="24"/>
          <w:szCs w:val="24"/>
        </w:rPr>
        <w:t xml:space="preserve">1% do valor mensal por ocorrência</w:t>
      </w:r>
      <w:r>
        <w:rPr>
          <w:rFonts w:ascii="Arial" w:hAnsi="Arial" w:cs="Arial"/>
          <w:color w:val="000000" w:themeColor="text1"/>
          <w:sz w:val="24"/>
          <w:szCs w:val="24"/>
        </w:rPr>
        <w:t xml:space="preserve">, limitado a 10% no mês, desde que a ocorrência seja imputável à contratada e não esteja abrangida por exclusão contratual comprovada.</w:t>
      </w:r>
    </w:p>
    <w:p>
      <w:pPr>
        <w:jc w:val="both"/>
        <w:rPr>
          <w:rFonts w:ascii="Arial" w:hAnsi="Arial" w:cs="Arial"/>
          <w:color w:val="000000" w:themeColor="text1"/>
          <w:sz w:val="24"/>
          <w:szCs w:val="24"/>
        </w:rPr>
      </w:pPr>
      <w:r>
        <w:rPr>
          <w:rFonts w:ascii="Arial" w:hAnsi="Arial" w:cs="Arial"/>
          <w:color w:val="000000" w:themeColor="text1"/>
          <w:sz w:val="24"/>
          <w:szCs w:val="24"/>
        </w:rPr>
        <w:t xml:space="preserve">Glosa não substitui multa ou sanção quando houver infração administrativa, nem poderá resultar em pagamento por serviço não prestado. A mesma ocorrência não deverá receber dupla penalização de natureza idêntica, devendo o gestor distinguir o desconto sobre a parcela mensal, a multa e demais consequências.</w:t>
      </w:r>
    </w:p>
    <w:p>
      <w:pPr>
        <w:pStyle w:val="Ttulo2"/>
        <w:jc w:val="both"/>
        <w:rPr>
          <w:rFonts w:ascii="Arial" w:hAnsi="Arial" w:cs="Arial"/>
          <w:color w:val="000000" w:themeColor="text1"/>
          <w:sz w:val="24"/>
          <w:szCs w:val="24"/>
        </w:rPr>
      </w:pPr>
      <w:r>
        <w:rPr>
          <w:rFonts w:ascii="Arial" w:hAnsi="Arial" w:cs="Arial"/>
          <w:color w:val="000000" w:themeColor="text1"/>
          <w:sz w:val="24"/>
          <w:szCs w:val="24"/>
        </w:rPr>
        <w:t xml:space="preserve">9.2. Pagamento</w:t>
      </w:r>
    </w:p>
    <w:p>
      <w:pPr>
        <w:jc w:val="both"/>
        <w:rPr>
          <w:rFonts w:ascii="Arial" w:hAnsi="Arial" w:cs="Arial"/>
          <w:color w:val="000000" w:themeColor="text1"/>
          <w:sz w:val="24"/>
          <w:szCs w:val="24"/>
        </w:rPr>
      </w:pPr>
      <w:r>
        <w:rPr>
          <w:rFonts w:ascii="Arial" w:hAnsi="Arial" w:cs="Arial"/>
          <w:color w:val="000000" w:themeColor="text1"/>
          <w:sz w:val="24"/>
          <w:szCs w:val="24"/>
        </w:rPr>
        <w:t xml:space="preserve">O pagamento será efetuado mensalmente após a apresentação da nota fiscal, o recebimento regular da documentação exigida, o ateste do gestor do contrato e a liquidação da despesa, no prazo definido no edital e no contrato.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nota fiscal deverá discriminar competência, licença, componentes incluídos, eventuais glosas e valor líquido. Não haverá cobrança adicional por implantação, capacitação, atualização, aplicativo, suporte, exportação ou manutenção quando esses componentes estiverem incluídos na proposta e no objeto.</w:t>
      </w:r>
    </w:p>
    <w:p>
      <w:pPr>
        <w:pStyle w:val="Ttulo1"/>
        <w:jc w:val="both"/>
        <w:rPr>
          <w:rFonts w:ascii="Arial" w:hAnsi="Arial" w:cs="Arial"/>
          <w:color w:val="000000" w:themeColor="text1"/>
          <w:sz w:val="24"/>
          <w:szCs w:val="24"/>
        </w:rPr>
      </w:pPr>
      <w:r>
        <w:rPr>
          <w:rFonts w:ascii="Arial" w:hAnsi="Arial" w:cs="Arial"/>
          <w:color w:val="000000" w:themeColor="text1"/>
          <w:sz w:val="24"/>
          <w:szCs w:val="24"/>
        </w:rPr>
        <w:t xml:space="preserve">10. Obrigações da contratada</w:t>
      </w:r>
    </w:p>
    <w:p>
      <w:pPr>
        <w:jc w:val="both"/>
        <w:rPr>
          <w:rFonts w:ascii="Arial" w:hAnsi="Arial" w:cs="Arial"/>
          <w:color w:val="000000" w:themeColor="text1"/>
          <w:sz w:val="24"/>
          <w:szCs w:val="24"/>
        </w:rPr>
      </w:pPr>
      <w:r>
        <w:rPr>
          <w:rFonts w:ascii="Arial" w:hAnsi="Arial" w:cs="Arial"/>
          <w:color w:val="000000" w:themeColor="text1"/>
          <w:sz w:val="24"/>
          <w:szCs w:val="24"/>
        </w:rPr>
        <w:t xml:space="preserve">A contratada deverá:</w:t>
      </w:r>
    </w:p>
    <w:p>
      <w:pPr>
        <w:jc w:val="both"/>
        <w:rPr>
          <w:rFonts w:ascii="Arial" w:hAnsi="Arial" w:cs="Arial"/>
          <w:color w:val="000000" w:themeColor="text1"/>
          <w:sz w:val="24"/>
          <w:szCs w:val="24"/>
        </w:rPr>
      </w:pPr>
      <w:r>
        <w:rPr>
          <w:rFonts w:ascii="Arial" w:hAnsi="Arial" w:cs="Arial"/>
          <w:color w:val="000000" w:themeColor="text1"/>
          <w:sz w:val="24"/>
          <w:szCs w:val="24"/>
        </w:rPr>
        <w:t xml:space="preserve">a) disponibilizar a solução integralmente conforme o TR, a proposta, a POC e o contrato;</w:t>
      </w:r>
    </w:p>
    <w:p>
      <w:pPr>
        <w:jc w:val="both"/>
        <w:rPr>
          <w:rFonts w:ascii="Arial" w:hAnsi="Arial" w:cs="Arial"/>
          <w:color w:val="000000" w:themeColor="text1"/>
          <w:sz w:val="24"/>
          <w:szCs w:val="24"/>
        </w:rPr>
      </w:pPr>
      <w:r>
        <w:rPr>
          <w:rFonts w:ascii="Arial" w:hAnsi="Arial" w:cs="Arial"/>
          <w:color w:val="000000" w:themeColor="text1"/>
          <w:sz w:val="24"/>
          <w:szCs w:val="24"/>
        </w:rPr>
        <w:t xml:space="preserve">b) manter a plataforma, o aplicativo, as integrações, os painéis, os módulos de obrigações, CAUC e processos, a segurança e o suporte durante a vigência;</w:t>
      </w:r>
    </w:p>
    <w:p>
      <w:pPr>
        <w:jc w:val="both"/>
        <w:rPr>
          <w:rFonts w:ascii="Arial" w:hAnsi="Arial" w:cs="Arial"/>
          <w:color w:val="000000" w:themeColor="text1"/>
          <w:sz w:val="24"/>
          <w:szCs w:val="24"/>
        </w:rPr>
      </w:pPr>
      <w:r>
        <w:rPr>
          <w:rFonts w:ascii="Arial" w:hAnsi="Arial" w:cs="Arial"/>
          <w:color w:val="000000" w:themeColor="text1"/>
          <w:sz w:val="24"/>
          <w:szCs w:val="24"/>
        </w:rPr>
        <w:t xml:space="preserve">c) concluir a implantação, a configuração, a importação inicial e a capacitação no prazo previsto no subitem 7.3;</w:t>
      </w:r>
    </w:p>
    <w:p>
      <w:pPr>
        <w:jc w:val="both"/>
        <w:rPr>
          <w:rFonts w:ascii="Arial" w:hAnsi="Arial" w:cs="Arial"/>
          <w:color w:val="000000" w:themeColor="text1"/>
          <w:sz w:val="24"/>
          <w:szCs w:val="24"/>
        </w:rPr>
      </w:pPr>
      <w:r>
        <w:rPr>
          <w:rFonts w:ascii="Arial" w:hAnsi="Arial" w:cs="Arial"/>
          <w:color w:val="000000" w:themeColor="text1"/>
          <w:sz w:val="24"/>
          <w:szCs w:val="24"/>
        </w:rPr>
        <w:t xml:space="preserve">d) fornecer equipe técnica qualificada e indicar responsável operacional;</w:t>
      </w:r>
    </w:p>
    <w:p>
      <w:pPr>
        <w:jc w:val="both"/>
        <w:rPr>
          <w:rFonts w:ascii="Arial" w:hAnsi="Arial" w:cs="Arial"/>
          <w:color w:val="000000" w:themeColor="text1"/>
          <w:sz w:val="24"/>
          <w:szCs w:val="24"/>
        </w:rPr>
      </w:pPr>
      <w:r>
        <w:rPr>
          <w:rFonts w:ascii="Arial" w:hAnsi="Arial" w:cs="Arial"/>
          <w:color w:val="000000" w:themeColor="text1"/>
          <w:sz w:val="24"/>
          <w:szCs w:val="24"/>
        </w:rPr>
        <w:t xml:space="preserve">e) manter disponibilidade, canais e prazos de suporte definidos neste TR;</w:t>
      </w:r>
    </w:p>
    <w:p>
      <w:pPr>
        <w:jc w:val="both"/>
        <w:rPr>
          <w:rFonts w:ascii="Arial" w:hAnsi="Arial" w:cs="Arial"/>
          <w:color w:val="000000" w:themeColor="text1"/>
          <w:sz w:val="24"/>
          <w:szCs w:val="24"/>
        </w:rPr>
      </w:pPr>
      <w:r>
        <w:rPr>
          <w:rFonts w:ascii="Arial" w:hAnsi="Arial" w:cs="Arial"/>
          <w:color w:val="000000" w:themeColor="text1"/>
          <w:sz w:val="24"/>
          <w:szCs w:val="24"/>
        </w:rPr>
        <w:t xml:space="preserve">f) atualizar regras, layouts e funcionalidades abrangidas pelo objeto;</w:t>
      </w:r>
    </w:p>
    <w:p>
      <w:pPr>
        <w:jc w:val="both"/>
        <w:rPr>
          <w:rFonts w:ascii="Arial" w:hAnsi="Arial" w:cs="Arial"/>
          <w:color w:val="000000" w:themeColor="text1"/>
          <w:sz w:val="24"/>
          <w:szCs w:val="24"/>
        </w:rPr>
      </w:pPr>
      <w:r>
        <w:rPr>
          <w:rFonts w:ascii="Arial" w:hAnsi="Arial" w:cs="Arial"/>
          <w:color w:val="000000" w:themeColor="text1"/>
          <w:sz w:val="24"/>
          <w:szCs w:val="24"/>
        </w:rPr>
        <w:t xml:space="preserve">g) fornecer relatórios de importação, erros, disponibilidade, incidentes e alterações;</w:t>
      </w:r>
    </w:p>
    <w:p>
      <w:pPr>
        <w:jc w:val="both"/>
        <w:rPr>
          <w:rFonts w:ascii="Arial" w:hAnsi="Arial" w:cs="Arial"/>
          <w:color w:val="000000" w:themeColor="text1"/>
          <w:sz w:val="24"/>
          <w:szCs w:val="24"/>
        </w:rPr>
      </w:pPr>
      <w:r>
        <w:rPr>
          <w:rFonts w:ascii="Arial" w:hAnsi="Arial" w:cs="Arial"/>
          <w:color w:val="000000" w:themeColor="text1"/>
          <w:sz w:val="24"/>
          <w:szCs w:val="24"/>
        </w:rPr>
        <w:t xml:space="preserve">h) proteger dados e manter confidencialidade;</w:t>
      </w:r>
    </w:p>
    <w:p>
      <w:pPr>
        <w:jc w:val="both"/>
        <w:rPr>
          <w:rFonts w:ascii="Arial" w:hAnsi="Arial" w:cs="Arial"/>
          <w:color w:val="000000" w:themeColor="text1"/>
          <w:sz w:val="24"/>
          <w:szCs w:val="24"/>
        </w:rPr>
      </w:pPr>
      <w:r>
        <w:rPr>
          <w:rFonts w:ascii="Arial" w:hAnsi="Arial" w:cs="Arial"/>
          <w:color w:val="000000" w:themeColor="text1"/>
          <w:sz w:val="24"/>
          <w:szCs w:val="24"/>
        </w:rPr>
        <w:t xml:space="preserve">i) garantir a segregação de acesso por usuário, perfil, órgão, unidade e processo;</w:t>
      </w:r>
    </w:p>
    <w:p>
      <w:pPr>
        <w:jc w:val="both"/>
        <w:rPr>
          <w:rFonts w:ascii="Arial" w:hAnsi="Arial" w:cs="Arial"/>
          <w:color w:val="000000" w:themeColor="text1"/>
          <w:sz w:val="24"/>
          <w:szCs w:val="24"/>
        </w:rPr>
      </w:pPr>
      <w:r>
        <w:rPr>
          <w:rFonts w:ascii="Arial" w:hAnsi="Arial" w:cs="Arial"/>
          <w:color w:val="000000" w:themeColor="text1"/>
          <w:sz w:val="24"/>
          <w:szCs w:val="24"/>
        </w:rPr>
        <w:t xml:space="preserve">j) não usar os dados municipais para finalidade incompatível com o objeto sem autorização;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k) manter backups, logs e continuidade do serviço;</w:t>
      </w:r>
    </w:p>
    <w:p>
      <w:pPr>
        <w:jc w:val="both"/>
        <w:rPr>
          <w:rFonts w:ascii="Arial" w:hAnsi="Arial" w:cs="Arial"/>
          <w:color w:val="000000" w:themeColor="text1"/>
          <w:sz w:val="24"/>
          <w:szCs w:val="24"/>
        </w:rPr>
      </w:pPr>
      <w:r>
        <w:rPr>
          <w:rFonts w:ascii="Arial" w:hAnsi="Arial" w:cs="Arial"/>
          <w:color w:val="000000" w:themeColor="text1"/>
          <w:sz w:val="24"/>
          <w:szCs w:val="24"/>
        </w:rPr>
        <w:t xml:space="preserve">l) atender solicitações dos fiscais e permitir auditoria das informações contratuais;</w:t>
      </w:r>
    </w:p>
    <w:p>
      <w:pPr>
        <w:jc w:val="both"/>
        <w:rPr>
          <w:rFonts w:ascii="Arial" w:hAnsi="Arial" w:cs="Arial"/>
          <w:color w:val="000000" w:themeColor="text1"/>
          <w:sz w:val="24"/>
          <w:szCs w:val="24"/>
        </w:rPr>
      </w:pPr>
      <w:r>
        <w:rPr>
          <w:rFonts w:ascii="Arial" w:hAnsi="Arial" w:cs="Arial"/>
          <w:color w:val="000000" w:themeColor="text1"/>
          <w:sz w:val="24"/>
          <w:szCs w:val="24"/>
        </w:rPr>
        <w:t xml:space="preserve">m) fornecer exportação estruturada, documentação e apoio à transição;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n) corrigir falhas sem custo adicional quando abrangidas pelo objeto;</w:t>
      </w:r>
    </w:p>
    <w:p>
      <w:pPr>
        <w:jc w:val="both"/>
        <w:rPr>
          <w:rFonts w:ascii="Arial" w:hAnsi="Arial" w:cs="Arial"/>
          <w:color w:val="000000" w:themeColor="text1"/>
          <w:sz w:val="24"/>
          <w:szCs w:val="24"/>
        </w:rPr>
      </w:pPr>
      <w:r>
        <w:rPr>
          <w:rFonts w:ascii="Arial" w:hAnsi="Arial" w:cs="Arial"/>
          <w:color w:val="000000" w:themeColor="text1"/>
          <w:sz w:val="24"/>
          <w:szCs w:val="24"/>
        </w:rPr>
        <w:t xml:space="preserve">o) manter regularidade e condições de habilitação durante a execução;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p) responder por danos decorrentes de culpa ou dolo na execução, sem prejuízo da repartição de riscos;</w:t>
      </w:r>
    </w:p>
    <w:p>
      <w:pPr>
        <w:jc w:val="both"/>
        <w:rPr>
          <w:rFonts w:ascii="Arial" w:hAnsi="Arial" w:cs="Arial"/>
          <w:color w:val="000000" w:themeColor="text1"/>
          <w:sz w:val="24"/>
          <w:szCs w:val="24"/>
        </w:rPr>
      </w:pPr>
      <w:r>
        <w:rPr>
          <w:rFonts w:ascii="Arial" w:hAnsi="Arial" w:cs="Arial"/>
          <w:color w:val="000000" w:themeColor="text1"/>
          <w:sz w:val="24"/>
          <w:szCs w:val="24"/>
        </w:rPr>
        <w:t xml:space="preserve">q) não transferir ou ceder o contrato sem autorização quando exigida;</w:t>
      </w:r>
    </w:p>
    <w:p>
      <w:pPr>
        <w:jc w:val="both"/>
        <w:rPr>
          <w:rFonts w:ascii="Arial" w:hAnsi="Arial" w:cs="Arial"/>
          <w:color w:val="000000" w:themeColor="text1"/>
          <w:sz w:val="24"/>
          <w:szCs w:val="24"/>
        </w:rPr>
      </w:pPr>
      <w:r>
        <w:rPr>
          <w:rFonts w:ascii="Arial" w:hAnsi="Arial" w:cs="Arial"/>
          <w:color w:val="000000" w:themeColor="text1"/>
          <w:sz w:val="24"/>
          <w:szCs w:val="24"/>
        </w:rPr>
        <w:t xml:space="preserve">r) manter todas as demais obrigações previstas na proposta, edital e contrato.</w:t>
      </w:r>
    </w:p>
    <w:p>
      <w:pPr>
        <w:pStyle w:val="Ttulo1"/>
        <w:jc w:val="both"/>
        <w:rPr>
          <w:rFonts w:ascii="Arial" w:hAnsi="Arial" w:cs="Arial"/>
          <w:color w:val="000000" w:themeColor="text1"/>
          <w:sz w:val="24"/>
          <w:szCs w:val="24"/>
        </w:rPr>
      </w:pPr>
      <w:r>
        <w:rPr>
          <w:rFonts w:ascii="Arial" w:hAnsi="Arial" w:cs="Arial"/>
          <w:color w:val="000000" w:themeColor="text1"/>
          <w:sz w:val="24"/>
          <w:szCs w:val="24"/>
        </w:rPr>
        <w:t xml:space="preserve">11. Obrigações da contratante</w:t>
      </w:r>
    </w:p>
    <w:p>
      <w:pPr>
        <w:jc w:val="both"/>
        <w:rPr>
          <w:rFonts w:ascii="Arial" w:hAnsi="Arial" w:cs="Arial"/>
          <w:color w:val="000000" w:themeColor="text1"/>
          <w:sz w:val="24"/>
          <w:szCs w:val="24"/>
        </w:rPr>
      </w:pPr>
      <w:r>
        <w:rPr>
          <w:rFonts w:ascii="Arial" w:hAnsi="Arial" w:cs="Arial"/>
          <w:color w:val="000000" w:themeColor="text1"/>
          <w:sz w:val="24"/>
          <w:szCs w:val="24"/>
        </w:rPr>
        <w:t xml:space="preserve">A contratante deverá:</w:t>
      </w:r>
    </w:p>
    <w:p>
      <w:pPr>
        <w:jc w:val="both"/>
        <w:rPr>
          <w:rFonts w:ascii="Arial" w:hAnsi="Arial" w:cs="Arial"/>
          <w:color w:val="000000" w:themeColor="text1"/>
          <w:sz w:val="24"/>
          <w:szCs w:val="24"/>
        </w:rPr>
      </w:pPr>
      <w:r>
        <w:rPr>
          <w:rFonts w:ascii="Arial" w:hAnsi="Arial" w:cs="Arial"/>
          <w:color w:val="000000" w:themeColor="text1"/>
          <w:sz w:val="24"/>
          <w:szCs w:val="24"/>
        </w:rPr>
        <w:t xml:space="preserve">a) emitir ordem de serviço e designar gestor e fiscais;</w:t>
      </w:r>
    </w:p>
    <w:p>
      <w:pPr>
        <w:jc w:val="both"/>
        <w:rPr>
          <w:rFonts w:ascii="Arial" w:hAnsi="Arial" w:cs="Arial"/>
          <w:color w:val="000000" w:themeColor="text1"/>
          <w:sz w:val="24"/>
          <w:szCs w:val="24"/>
        </w:rPr>
      </w:pPr>
      <w:r>
        <w:rPr>
          <w:rFonts w:ascii="Arial" w:hAnsi="Arial" w:cs="Arial"/>
          <w:color w:val="000000" w:themeColor="text1"/>
          <w:sz w:val="24"/>
          <w:szCs w:val="24"/>
        </w:rPr>
        <w:t xml:space="preserve">b) fornecer dados, acessos, arquivos e informações necessários, respeitando sigilo e proteção de dados;</w:t>
      </w:r>
    </w:p>
    <w:p>
      <w:pPr>
        <w:jc w:val="both"/>
        <w:rPr>
          <w:rFonts w:ascii="Arial" w:hAnsi="Arial" w:cs="Arial"/>
          <w:color w:val="000000" w:themeColor="text1"/>
          <w:sz w:val="24"/>
          <w:szCs w:val="24"/>
        </w:rPr>
      </w:pPr>
      <w:r>
        <w:rPr>
          <w:rFonts w:ascii="Arial" w:hAnsi="Arial" w:cs="Arial"/>
          <w:color w:val="000000" w:themeColor="text1"/>
          <w:sz w:val="24"/>
          <w:szCs w:val="24"/>
        </w:rPr>
        <w:t xml:space="preserve">c) indicar usuários, perfis, responsáveis e bases documentais autorizadas;</w:t>
      </w:r>
    </w:p>
    <w:p>
      <w:pPr>
        <w:jc w:val="both"/>
        <w:rPr>
          <w:rFonts w:ascii="Arial" w:hAnsi="Arial" w:cs="Arial"/>
          <w:color w:val="000000" w:themeColor="text1"/>
          <w:sz w:val="24"/>
          <w:szCs w:val="24"/>
        </w:rPr>
      </w:pPr>
      <w:r>
        <w:rPr>
          <w:rFonts w:ascii="Arial" w:hAnsi="Arial" w:cs="Arial"/>
          <w:color w:val="000000" w:themeColor="text1"/>
          <w:sz w:val="24"/>
          <w:szCs w:val="24"/>
        </w:rPr>
        <w:t xml:space="preserve">d) participar da implantação, homologação, capacitação e validação;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e) conferir os resultados, indicadores, relatórios e documentos produzidos;</w:t>
      </w:r>
    </w:p>
    <w:p>
      <w:pPr>
        <w:jc w:val="both"/>
        <w:rPr>
          <w:rFonts w:ascii="Arial" w:hAnsi="Arial" w:cs="Arial"/>
          <w:color w:val="000000" w:themeColor="text1"/>
          <w:sz w:val="24"/>
          <w:szCs w:val="24"/>
        </w:rPr>
      </w:pPr>
      <w:r>
        <w:rPr>
          <w:rFonts w:ascii="Arial" w:hAnsi="Arial" w:cs="Arial"/>
          <w:color w:val="000000" w:themeColor="text1"/>
          <w:sz w:val="24"/>
          <w:szCs w:val="24"/>
        </w:rPr>
        <w:t xml:space="preserve">f) não inserir dados além da finalidade e da política autorizadas;</w:t>
      </w:r>
    </w:p>
    <w:p>
      <w:pPr>
        <w:jc w:val="both"/>
        <w:rPr>
          <w:rFonts w:ascii="Arial" w:hAnsi="Arial" w:cs="Arial"/>
          <w:color w:val="000000" w:themeColor="text1"/>
          <w:sz w:val="24"/>
          <w:szCs w:val="24"/>
        </w:rPr>
      </w:pPr>
      <w:r>
        <w:rPr>
          <w:rFonts w:ascii="Arial" w:hAnsi="Arial" w:cs="Arial"/>
          <w:color w:val="000000" w:themeColor="text1"/>
          <w:sz w:val="24"/>
          <w:szCs w:val="24"/>
        </w:rPr>
        <w:t xml:space="preserve">g) comunicar falhas, incidentes, alterações e indisponibilidades percebidas;</w:t>
      </w:r>
    </w:p>
    <w:p>
      <w:pPr>
        <w:jc w:val="both"/>
        <w:rPr>
          <w:rFonts w:ascii="Arial" w:hAnsi="Arial" w:cs="Arial"/>
          <w:color w:val="000000" w:themeColor="text1"/>
          <w:sz w:val="24"/>
          <w:szCs w:val="24"/>
        </w:rPr>
      </w:pPr>
      <w:r>
        <w:rPr>
          <w:rFonts w:ascii="Arial" w:hAnsi="Arial" w:cs="Arial"/>
          <w:color w:val="000000" w:themeColor="text1"/>
          <w:sz w:val="24"/>
          <w:szCs w:val="24"/>
        </w:rPr>
        <w:t xml:space="preserve">h) manter infraestrutura de conectividade e sistemas de origem sob sua responsabilidade;</w:t>
      </w:r>
    </w:p>
    <w:p>
      <w:pPr>
        <w:jc w:val="both"/>
        <w:rPr>
          <w:rFonts w:ascii="Arial" w:hAnsi="Arial" w:cs="Arial"/>
          <w:color w:val="000000" w:themeColor="text1"/>
          <w:sz w:val="24"/>
          <w:szCs w:val="24"/>
        </w:rPr>
      </w:pPr>
      <w:r>
        <w:rPr>
          <w:rFonts w:ascii="Arial" w:hAnsi="Arial" w:cs="Arial"/>
          <w:color w:val="000000" w:themeColor="text1"/>
          <w:sz w:val="24"/>
          <w:szCs w:val="24"/>
        </w:rPr>
        <w:t xml:space="preserve">i) efetuar o pagamento após o ateste do gestor e a liquidação da despesa;</w:t>
      </w:r>
    </w:p>
    <w:p>
      <w:pPr>
        <w:jc w:val="both"/>
        <w:rPr>
          <w:rFonts w:ascii="Arial" w:hAnsi="Arial" w:cs="Arial"/>
          <w:color w:val="000000" w:themeColor="text1"/>
          <w:sz w:val="24"/>
          <w:szCs w:val="24"/>
        </w:rPr>
      </w:pPr>
      <w:r>
        <w:rPr>
          <w:rFonts w:ascii="Arial" w:hAnsi="Arial" w:cs="Arial"/>
          <w:color w:val="000000" w:themeColor="text1"/>
          <w:sz w:val="24"/>
          <w:szCs w:val="24"/>
        </w:rPr>
        <w:t xml:space="preserve">j) guardar credenciais, controlar usuários e revogar acessos quando necessário;</w:t>
      </w:r>
    </w:p>
    <w:p>
      <w:pPr>
        <w:jc w:val="both"/>
        <w:rPr>
          <w:rFonts w:ascii="Arial" w:hAnsi="Arial" w:cs="Arial"/>
          <w:color w:val="000000" w:themeColor="text1"/>
          <w:sz w:val="24"/>
          <w:szCs w:val="24"/>
        </w:rPr>
      </w:pPr>
      <w:r>
        <w:rPr>
          <w:rFonts w:ascii="Arial" w:hAnsi="Arial" w:cs="Arial"/>
          <w:color w:val="000000" w:themeColor="text1"/>
          <w:sz w:val="24"/>
          <w:szCs w:val="24"/>
        </w:rPr>
        <w:t xml:space="preserve">k) observar a legislação, as normas internas e as orientações de segurança;</w:t>
      </w:r>
    </w:p>
    <w:p>
      <w:pPr>
        <w:jc w:val="both"/>
        <w:rPr>
          <w:rFonts w:ascii="Arial" w:hAnsi="Arial" w:cs="Arial"/>
          <w:color w:val="000000" w:themeColor="text1"/>
          <w:sz w:val="24"/>
          <w:szCs w:val="24"/>
        </w:rPr>
      </w:pPr>
      <w:r>
        <w:rPr>
          <w:rFonts w:ascii="Arial" w:hAnsi="Arial" w:cs="Arial"/>
          <w:color w:val="000000" w:themeColor="text1"/>
          <w:sz w:val="24"/>
          <w:szCs w:val="24"/>
        </w:rPr>
        <w:t xml:space="preserve">l) fornecer feedback e participar de reuniões de acompanhamento;</w:t>
      </w:r>
    </w:p>
    <w:p>
      <w:pPr>
        <w:jc w:val="both"/>
        <w:rPr>
          <w:rFonts w:ascii="Arial" w:hAnsi="Arial" w:cs="Arial"/>
          <w:color w:val="000000" w:themeColor="text1"/>
          <w:sz w:val="24"/>
          <w:szCs w:val="24"/>
        </w:rPr>
      </w:pPr>
      <w:r>
        <w:rPr>
          <w:rFonts w:ascii="Arial" w:hAnsi="Arial" w:cs="Arial"/>
          <w:color w:val="000000" w:themeColor="text1"/>
          <w:sz w:val="24"/>
          <w:szCs w:val="24"/>
        </w:rPr>
        <w:t xml:space="preserve">m) cumprir as demais obrigações do edital, contrato e legislação.</w:t>
      </w:r>
    </w:p>
    <w:p>
      <w:pPr>
        <w:pStyle w:val="Ttulo1"/>
        <w:jc w:val="both"/>
        <w:rPr>
          <w:rFonts w:ascii="Arial" w:hAnsi="Arial" w:cs="Arial"/>
          <w:color w:val="000000" w:themeColor="text1"/>
          <w:sz w:val="24"/>
          <w:szCs w:val="24"/>
        </w:rPr>
      </w:pPr>
      <w:r>
        <w:rPr>
          <w:rFonts w:ascii="Arial" w:hAnsi="Arial" w:cs="Arial"/>
          <w:color w:val="000000" w:themeColor="text1"/>
          <w:sz w:val="24"/>
          <w:szCs w:val="24"/>
        </w:rPr>
        <w:t xml:space="preserve">12. Proteção de dados, sigilo e governança documental</w:t>
      </w:r>
    </w:p>
    <w:p>
      <w:pPr>
        <w:jc w:val="both"/>
        <w:rPr>
          <w:rFonts w:ascii="Arial" w:hAnsi="Arial" w:cs="Arial"/>
          <w:color w:val="000000" w:themeColor="text1"/>
          <w:sz w:val="24"/>
          <w:szCs w:val="24"/>
        </w:rPr>
      </w:pPr>
      <w:r>
        <w:rPr>
          <w:rFonts w:ascii="Arial" w:hAnsi="Arial" w:cs="Arial"/>
          <w:color w:val="000000" w:themeColor="text1"/>
          <w:sz w:val="24"/>
          <w:szCs w:val="24"/>
        </w:rPr>
        <w:t xml:space="preserve">Os documentos de obrigações, balancetes, processos, informações pessoais e dados financeiros poderão conter informações restritas. O acesso deverá seguir o princípio do menor privilégio e a necessidade de conhecimento. A contratada não poderá comercializar, ceder, divulgar ou reutilizar dados municipais fora das finalidades contratuais.</w:t>
      </w:r>
    </w:p>
    <w:p>
      <w:pPr>
        <w:jc w:val="both"/>
        <w:rPr>
          <w:rFonts w:ascii="Arial" w:hAnsi="Arial" w:cs="Arial"/>
          <w:color w:val="000000" w:themeColor="text1"/>
          <w:sz w:val="24"/>
          <w:szCs w:val="24"/>
        </w:rPr>
      </w:pPr>
      <w:r>
        <w:rPr>
          <w:rFonts w:ascii="Arial" w:hAnsi="Arial" w:cs="Arial"/>
          <w:color w:val="000000" w:themeColor="text1"/>
          <w:sz w:val="24"/>
          <w:szCs w:val="24"/>
        </w:rPr>
        <w:t xml:space="preserve">O tratamento de dados pessoais observará a Lei Geral de Proteção de Dados — LGPD, com finalidade limitada à execução do objeto contratual, sendo vedada a utilização de dados municipais para finalidade diversa, inclusive comercialização ou compartilhamento com terceiros sem autorização e base jurídica adequada.</w:t>
      </w:r>
    </w:p>
    <w:p>
      <w:pPr>
        <w:pStyle w:val="Ttulo1"/>
        <w:jc w:val="both"/>
        <w:rPr>
          <w:rFonts w:ascii="Arial" w:hAnsi="Arial" w:cs="Arial"/>
          <w:color w:val="000000" w:themeColor="text1"/>
          <w:sz w:val="24"/>
          <w:szCs w:val="24"/>
        </w:rPr>
      </w:pPr>
      <w:r>
        <w:rPr>
          <w:rFonts w:ascii="Arial" w:hAnsi="Arial" w:cs="Arial"/>
          <w:color w:val="000000" w:themeColor="text1"/>
          <w:sz w:val="24"/>
          <w:szCs w:val="24"/>
        </w:rPr>
        <w:t xml:space="preserve">13. Estimativa do valor e regras de precificação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estimativa de valor deverá ser elaborada em processo próprio, mediante pesquisa de preços com escopo uniforme e memória de cálculo. A pesquisa deverá considerar, no mínimo, a licença corporativa, 20 (vinte) usuários simultâneos incluídos, o preço unitário do usuário simultâneo adicional, a vigência de 36 (trinta e seis) meses, o aplicativo móvel integrado, a implantação, a capacitação, o suporte, as atualizações, a segurança, o backup e a exportação estruturada, apresentando o valor mensal, o valor por exercício financeiro e o valor global do período contratual.</w:t>
      </w:r>
    </w:p>
    <w:p>
      <w:pPr>
        <w:jc w:val="both"/>
        <w:rPr>
          <w:rFonts w:ascii="Arial" w:hAnsi="Arial" w:cs="Arial"/>
          <w:color w:val="000000" w:themeColor="text1"/>
          <w:sz w:val="24"/>
          <w:szCs w:val="24"/>
        </w:rPr>
      </w:pPr>
      <w:r>
        <w:rPr>
          <w:rFonts w:ascii="Arial" w:hAnsi="Arial" w:cs="Arial"/>
          <w:color w:val="000000" w:themeColor="text1"/>
          <w:sz w:val="24"/>
          <w:szCs w:val="24"/>
        </w:rPr>
        <w:t xml:space="preserve">A proposta deverá apresentar, de forma comparável:</w:t>
      </w:r>
    </w:p>
    <w:tbl>
      <w:tblPr>
        <w:tblStyle w:val="TabeladeGradeClara"/>
        <w:tblW w:w="0" w:type="auto"/>
        <w:tblInd w:w="250" w:type="dxa"/>
        <w:tblLook w:val="04A0" w:firstRow="1" w:lastRow="0" w:firstColumn="1" w:lastColumn="0" w:noHBand="0" w:noVBand="1"/>
      </w:tblPr>
      <w:tblGrid>
        <w:gridCol w:w="1997"/>
        <w:gridCol w:w="7352"/>
      </w:tblGrid>
      <w:tr>
        <w:trPr>
          <w:tblHeader w:val="true"/>
        </w:trPr>
        <w:tc>
          <w:tcPr>
            <w:tcW w:w="1997"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Componente</w:t>
            </w:r>
          </w:p>
        </w:tc>
        <w:tc>
          <w:tcPr>
            <w:tcW w:w="7352"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Regra de apresentação</w:t>
            </w:r>
          </w:p>
        </w:tc>
      </w:tr>
      <w:tr>
        <w:tc>
          <w:tcPr>
            <w:tcW w:w="199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Licença integrada</w:t>
            </w:r>
          </w:p>
        </w:tc>
        <w:tc>
          <w:tcPr>
            <w:tcW w:w="735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Valor mensal, valor por exercício financeiro e valor global de 36 meses</w:t>
            </w:r>
          </w:p>
        </w:tc>
      </w:tr>
      <w:tr>
        <w:tc>
          <w:tcPr>
            <w:tcW w:w="199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Implantação e capacitação</w:t>
            </w:r>
          </w:p>
        </w:tc>
        <w:tc>
          <w:tcPr>
            <w:tcW w:w="735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Informar inclusão no preço mensal/global, sem cobrança posterior não prevista</w:t>
            </w:r>
          </w:p>
        </w:tc>
      </w:tr>
      <w:tr>
        <w:tc>
          <w:tcPr>
            <w:tcW w:w="199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Usuários</w:t>
            </w:r>
          </w:p>
        </w:tc>
        <w:tc>
          <w:tcPr>
            <w:tcW w:w="735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Preço dos 20 usuários simultâneos incluídos e preço unitário do usuário simultâneo adicional</w:t>
            </w:r>
          </w:p>
        </w:tc>
      </w:tr>
      <w:tr>
        <w:tc>
          <w:tcPr>
            <w:tcW w:w="199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Aplicativo móvel</w:t>
            </w:r>
          </w:p>
        </w:tc>
        <w:tc>
          <w:tcPr>
            <w:tcW w:w="735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Inclusão de publicação, manutenção e atualizações</w:t>
            </w:r>
          </w:p>
        </w:tc>
      </w:tr>
      <w:tr>
        <w:tc>
          <w:tcPr>
            <w:tcW w:w="199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Integrações e importações</w:t>
            </w:r>
          </w:p>
        </w:tc>
        <w:tc>
          <w:tcPr>
            <w:tcW w:w="735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Identificar limites, custos e dependências de API, quando houver</w:t>
            </w:r>
          </w:p>
        </w:tc>
      </w:tr>
      <w:tr>
        <w:tc>
          <w:tcPr>
            <w:tcW w:w="199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Suporte e SLA</w:t>
            </w:r>
          </w:p>
        </w:tc>
        <w:tc>
          <w:tcPr>
            <w:tcW w:w="735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Inclusão de todos os níveis de atendimento e consequências por indisponibilidade</w:t>
            </w:r>
          </w:p>
        </w:tc>
      </w:tr>
      <w:tr>
        <w:tc>
          <w:tcPr>
            <w:tcW w:w="199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Reversibilidade</w:t>
            </w:r>
          </w:p>
        </w:tc>
        <w:tc>
          <w:tcPr>
            <w:tcW w:w="7352"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Inclusão de exportação estruturada e apoio de saída sem custo indevido</w:t>
            </w:r>
          </w:p>
        </w:tc>
      </w:tr>
    </w:tbl>
    <w:p>
      <w:pPr>
        <w:jc w:val="both"/>
        <w:rPr>
          <w:rFonts w:ascii="Arial" w:hAnsi="Arial" w:cs="Arial"/>
          <w:color w:val="000000" w:themeColor="text1"/>
          <w:sz w:val="24"/>
          <w:szCs w:val="24"/>
        </w:rPr>
      </w:pPr>
    </w:p>
    <w:p>
      <w:pPr>
        <w:jc w:val="both"/>
        <w:rPr>
          <w:rFonts w:ascii="Arial" w:hAnsi="Arial" w:cs="Arial"/>
          <w:color w:val="000000" w:themeColor="text1"/>
          <w:sz w:val="24"/>
          <w:szCs w:val="24"/>
        </w:rPr>
      </w:pPr>
      <w:r>
        <w:rPr>
          <w:rFonts w:ascii="Arial" w:hAnsi="Arial" w:cs="Arial"/>
          <w:color w:val="000000" w:themeColor="text1"/>
          <w:sz w:val="24"/>
          <w:szCs w:val="24"/>
        </w:rPr>
        <w:t xml:space="preserve">O julgamento deverá considerar o </w:t>
      </w:r>
      <w:r>
        <w:rPr>
          <w:rFonts w:ascii="Arial" w:hAnsi="Arial" w:cs="Arial"/>
          <w:b/>
          <w:color w:val="000000" w:themeColor="text1"/>
          <w:sz w:val="24"/>
          <w:szCs w:val="24"/>
        </w:rPr>
        <w:t xml:space="preserve">menor preço global do lote único</w:t>
      </w:r>
      <w:r>
        <w:rPr>
          <w:rFonts w:ascii="Arial" w:hAnsi="Arial" w:cs="Arial"/>
          <w:color w:val="000000" w:themeColor="text1"/>
          <w:sz w:val="24"/>
          <w:szCs w:val="24"/>
        </w:rPr>
        <w:t xml:space="preserve">, ou critério diverso se tecnicamente justificado pela Administração e previsto no edital. A planilha de preços deverá deixar claro que os componentes são partes integradas de um mesmo objeto e que a contratada não poderá cobrar separadamente por funcionalidade incluída no objeto.</w:t>
      </w:r>
    </w:p>
    <w:p>
      <w:pPr>
        <w:jc w:val="both"/>
        <w:rPr>
          <w:rFonts w:ascii="Arial" w:hAnsi="Arial" w:cs="Arial"/>
          <w:color w:val="000000" w:themeColor="text1"/>
          <w:sz w:val="24"/>
          <w:szCs w:val="24"/>
        </w:rPr>
      </w:pPr>
      <w:r>
        <w:rPr>
          <w:rFonts w:ascii="Arial" w:hAnsi="Arial" w:cs="Arial"/>
          <w:b/>
          <w:color w:val="000000" w:themeColor="text1"/>
          <w:sz w:val="24"/>
          <w:szCs w:val="24"/>
        </w:rPr>
        <w:t xml:space="preserve">13.1.</w:t>
      </w:r>
      <w:r>
        <w:rPr>
          <w:rFonts w:ascii="Arial" w:hAnsi="Arial" w:cs="Arial"/>
          <w:color w:val="000000" w:themeColor="text1"/>
          <w:sz w:val="24"/>
          <w:szCs w:val="24"/>
        </w:rPr>
        <w:t xml:space="preserve"> Não há, até a presente data, pesquisa de preços concluída para o objeto ora definido. Dessa forma, </w:t>
      </w:r>
      <w:r>
        <w:rPr>
          <w:rFonts w:ascii="Arial" w:hAnsi="Arial" w:cs="Arial"/>
          <w:b/>
          <w:color w:val="000000" w:themeColor="text1"/>
          <w:sz w:val="24"/>
          <w:szCs w:val="24"/>
        </w:rPr>
        <w:t xml:space="preserve">este Termo de Referência não apresenta valor estimado da contratação</w:t>
      </w:r>
      <w:r>
        <w:rPr>
          <w:rFonts w:ascii="Arial" w:hAnsi="Arial" w:cs="Arial"/>
          <w:color w:val="000000" w:themeColor="text1"/>
          <w:sz w:val="24"/>
          <w:szCs w:val="24"/>
        </w:rPr>
        <w:t xml:space="preserve">, permanecendo essa informação como pendência a ser suprida pela Administração antes do prosseguimento da fase externa da licitação. Processo de pesquisa de preços: [INFORMAÇÃO A PREENCHER].</w:t>
      </w:r>
    </w:p>
    <w:p>
      <w:pPr>
        <w:pStyle w:val="Ttulo1"/>
        <w:jc w:val="both"/>
        <w:rPr>
          <w:rFonts w:ascii="Arial" w:hAnsi="Arial" w:cs="Arial"/>
          <w:color w:val="000000" w:themeColor="text1"/>
          <w:sz w:val="24"/>
          <w:szCs w:val="24"/>
        </w:rPr>
      </w:pPr>
      <w:r>
        <w:rPr>
          <w:rFonts w:ascii="Arial" w:hAnsi="Arial" w:cs="Arial"/>
          <w:color w:val="000000" w:themeColor="text1"/>
          <w:sz w:val="24"/>
          <w:szCs w:val="24"/>
        </w:rPr>
        <w:t xml:space="preserve">14. Matriz de alocação de riscos</w:t>
      </w:r>
    </w:p>
    <w:tbl>
      <w:tblPr>
        <w:tblStyle w:val="TabeladeGradeClara"/>
        <w:tblW w:w="0" w:type="auto"/>
        <w:tblInd w:w="250" w:type="dxa"/>
        <w:tblLook w:val="04A0" w:firstRow="1" w:lastRow="0" w:firstColumn="1" w:lastColumn="0" w:noHBand="0" w:noVBand="1"/>
      </w:tblPr>
      <w:tblGrid>
        <w:gridCol w:w="2009"/>
        <w:gridCol w:w="760"/>
        <w:gridCol w:w="760"/>
        <w:gridCol w:w="1591"/>
        <w:gridCol w:w="4227"/>
      </w:tblGrid>
      <w:tr>
        <w:trPr>
          <w:tblHeader w:val="true"/>
        </w:trPr>
        <w:tc>
          <w:tcPr>
            <w:tcW w:w="2009"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Risco</w:t>
            </w:r>
          </w:p>
        </w:tc>
        <w:tc>
          <w:tcPr>
            <w:tcW w:w="760"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Probabilidade</w:t>
            </w:r>
          </w:p>
        </w:tc>
        <w:tc>
          <w:tcPr>
            <w:tcW w:w="760"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Impacto</w:t>
            </w:r>
          </w:p>
        </w:tc>
        <w:tc>
          <w:tcPr>
            <w:tcW w:w="1591"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Responsável principal</w:t>
            </w:r>
          </w:p>
        </w:tc>
        <w:tc>
          <w:tcPr>
            <w:tcW w:w="4227" w:type="dxa"/>
          </w:tcPr>
          <w:p>
            <w:pPr>
              <w:jc w:val="both"/>
              <w:rPr>
                <w:rFonts w:ascii="Arial" w:hAnsi="Arial" w:cs="Arial"/>
                <w:color w:val="000000" w:themeColor="text1"/>
                <w:sz w:val="24"/>
                <w:szCs w:val="24"/>
              </w:rPr>
            </w:pPr>
            <w:r>
              <w:rPr>
                <w:rFonts w:ascii="Arial" w:hAnsi="Arial" w:cs="Arial"/>
                <w:b/>
                <w:color w:val="000000" w:themeColor="text1"/>
                <w:sz w:val="24"/>
                <w:szCs w:val="24"/>
              </w:rPr>
              <w:t xml:space="preserve">Tratamento</w:t>
            </w:r>
          </w:p>
        </w:tc>
      </w:tr>
      <w:tr>
        <w:tc>
          <w:tcPr>
            <w:tcW w:w="200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Dados de origem incompletos</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Média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Alto</w:t>
            </w:r>
          </w:p>
        </w:tc>
        <w:tc>
          <w:tcPr>
            <w:tcW w:w="159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Compartilhado</w:t>
            </w:r>
          </w:p>
        </w:tc>
        <w:tc>
          <w:tcPr>
            <w:tcW w:w="422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Validação inicial, relatório de erros e correção na origem</w:t>
            </w:r>
          </w:p>
        </w:tc>
      </w:tr>
      <w:tr>
        <w:tc>
          <w:tcPr>
            <w:tcW w:w="200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Falha de importação por layout</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Média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Alto</w:t>
            </w:r>
          </w:p>
        </w:tc>
        <w:tc>
          <w:tcPr>
            <w:tcW w:w="159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Contratada quanto ao processamento; Município quanto à origem</w:t>
            </w:r>
          </w:p>
        </w:tc>
        <w:tc>
          <w:tcPr>
            <w:tcW w:w="422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Versionamento, comunicação e teste com arquivo de referência</w:t>
            </w:r>
          </w:p>
        </w:tc>
      </w:tr>
      <w:tr>
        <w:tc>
          <w:tcPr>
            <w:tcW w:w="200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Indisponibilidade de fonte externa (CAUC, TCM-GO)</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Média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Médio/Alto</w:t>
            </w:r>
          </w:p>
        </w:tc>
        <w:tc>
          <w:tcPr>
            <w:tcW w:w="159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Compartilhado conforme causa</w:t>
            </w:r>
          </w:p>
        </w:tc>
        <w:tc>
          <w:tcPr>
            <w:tcW w:w="422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Indicar defasagem, exibir data da última consulta e usar fluxo alternativo autorizado</w:t>
            </w:r>
          </w:p>
        </w:tc>
      </w:tr>
      <w:tr>
        <w:tc>
          <w:tcPr>
            <w:tcW w:w="200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Atualização regulatória atrasada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Média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Alto</w:t>
            </w:r>
          </w:p>
        </w:tc>
        <w:tc>
          <w:tcPr>
            <w:tcW w:w="159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Contratada</w:t>
            </w:r>
          </w:p>
        </w:tc>
        <w:tc>
          <w:tcPr>
            <w:tcW w:w="422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Monitoramento, atualização e comunicação sem custo adicional ordinário</w:t>
            </w:r>
          </w:p>
        </w:tc>
      </w:tr>
      <w:tr>
        <w:tc>
          <w:tcPr>
            <w:tcW w:w="200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Acesso indevido</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Baixa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Alto</w:t>
            </w:r>
          </w:p>
        </w:tc>
        <w:tc>
          <w:tcPr>
            <w:tcW w:w="159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Contratada e usuários conforme causa</w:t>
            </w:r>
          </w:p>
        </w:tc>
        <w:tc>
          <w:tcPr>
            <w:tcW w:w="422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Menor privilégio, logs, revogação, criptografia e treinamento</w:t>
            </w:r>
          </w:p>
        </w:tc>
      </w:tr>
      <w:tr>
        <w:tc>
          <w:tcPr>
            <w:tcW w:w="200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Falha na implantação ou atraso de cronograma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Média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Alto</w:t>
            </w:r>
          </w:p>
        </w:tc>
        <w:tc>
          <w:tcPr>
            <w:tcW w:w="159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Compartilhado conforme causa</w:t>
            </w:r>
          </w:p>
        </w:tc>
        <w:tc>
          <w:tcPr>
            <w:tcW w:w="422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Plano de implantação aprovado, marcos, comunicação de impedimentos e suspensão de prazo por pendência do Município</w:t>
            </w:r>
          </w:p>
        </w:tc>
      </w:tr>
      <w:tr>
        <w:tc>
          <w:tcPr>
            <w:tcW w:w="200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Atraso de suporte</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Média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Médio</w:t>
            </w:r>
          </w:p>
        </w:tc>
        <w:tc>
          <w:tcPr>
            <w:tcW w:w="159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Contratada</w:t>
            </w:r>
          </w:p>
        </w:tc>
        <w:tc>
          <w:tcPr>
            <w:tcW w:w="422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Cumprimento dos níveis de serviço definidos no TR, com glosa e comunicação de incidentes</w:t>
            </w:r>
          </w:p>
        </w:tc>
      </w:tr>
      <w:tr>
        <w:tc>
          <w:tcPr>
            <w:tcW w:w="200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Resistência de usuários</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Média/Alta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Médio</w:t>
            </w:r>
          </w:p>
        </w:tc>
        <w:tc>
          <w:tcPr>
            <w:tcW w:w="159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Compartilhado</w:t>
            </w:r>
          </w:p>
        </w:tc>
        <w:tc>
          <w:tcPr>
            <w:tcW w:w="422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Capacitação, suporte, implantação assistida e manual</w:t>
            </w:r>
          </w:p>
        </w:tc>
      </w:tr>
      <w:tr>
        <w:tc>
          <w:tcPr>
            <w:tcW w:w="200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Atraso de pagamento</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Média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Médio</w:t>
            </w:r>
          </w:p>
        </w:tc>
        <w:tc>
          <w:tcPr>
            <w:tcW w:w="159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Contratante</w:t>
            </w:r>
          </w:p>
        </w:tc>
        <w:tc>
          <w:tcPr>
            <w:tcW w:w="422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Fluxo de ateste, liquidação e pagamento</w:t>
            </w:r>
          </w:p>
        </w:tc>
      </w:tr>
      <w:tr>
        <w:tc>
          <w:tcPr>
            <w:tcW w:w="200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Desatualização dos dados apresentados nos painéis</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Média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Alto</w:t>
            </w:r>
          </w:p>
        </w:tc>
        <w:tc>
          <w:tcPr>
            <w:tcW w:w="159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Compartilhado conforme causa</w:t>
            </w:r>
          </w:p>
        </w:tc>
        <w:tc>
          <w:tcPr>
            <w:tcW w:w="422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Exibição obrigatória de data e hora da última atualização, período de referência e fonte; alertas de defasagem; monitoramento das rotinas de carga e processamento</w:t>
            </w:r>
          </w:p>
        </w:tc>
      </w:tr>
      <w:tr>
        <w:tc>
          <w:tcPr>
            <w:tcW w:w="200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Interpretação de dado ainda não processado como informação oficial definitiva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Média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Alto</w:t>
            </w:r>
          </w:p>
        </w:tc>
        <w:tc>
          <w:tcPr>
            <w:tcW w:w="159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Compartilhado</w:t>
            </w:r>
          </w:p>
        </w:tc>
        <w:tc>
          <w:tcPr>
            <w:tcW w:w="422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Identificação visual do estágio do dado; diferenciação entre informação preliminar e processada; ressalva expressa nos indicadores dependentes de classificação</w:t>
            </w:r>
          </w:p>
        </w:tc>
      </w:tr>
      <w:tr>
        <w:tc>
          <w:tcPr>
            <w:tcW w:w="200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Indisponibilidade da plataforma ou perda de continuidade</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Baixa/Média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Alto</w:t>
            </w:r>
          </w:p>
        </w:tc>
        <w:tc>
          <w:tcPr>
            <w:tcW w:w="159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Contratada</w:t>
            </w:r>
          </w:p>
        </w:tc>
        <w:tc>
          <w:tcPr>
            <w:tcW w:w="422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SLA de disponibilidade, backup, plano de continuidade e recuperação, comunicação de incidentes</w:t>
            </w:r>
          </w:p>
        </w:tc>
      </w:tr>
      <w:tr>
        <w:tc>
          <w:tcPr>
            <w:tcW w:w="200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Dificuldade de reversibilidade ao término da contratação</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Baixa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Alto</w:t>
            </w:r>
          </w:p>
        </w:tc>
        <w:tc>
          <w:tcPr>
            <w:tcW w:w="159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Contratada</w:t>
            </w:r>
          </w:p>
        </w:tc>
        <w:tc>
          <w:tcPr>
            <w:tcW w:w="422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Exportação estruturada, formato aberto, apoio técnico de saída e prazo de transição definido em contrato</w:t>
            </w:r>
          </w:p>
        </w:tc>
      </w:tr>
      <w:tr>
        <w:tc>
          <w:tcPr>
            <w:tcW w:w="200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Falha ou vulnerabilidade de segurança da informação</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Baixa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Alto</w:t>
            </w:r>
          </w:p>
        </w:tc>
        <w:tc>
          <w:tcPr>
            <w:tcW w:w="159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Contratada</w:t>
            </w:r>
          </w:p>
        </w:tc>
        <w:tc>
          <w:tcPr>
            <w:tcW w:w="422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Criptografia, controle de acesso, gestão de vulnerabilidades, notificação de incidentes em até 24 horas</w:t>
            </w:r>
          </w:p>
        </w:tc>
      </w:tr>
      <w:tr>
        <w:tc>
          <w:tcPr>
            <w:tcW w:w="2009"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Regressão funcional decorrente de atualização de versão</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Baixa/Média</w:t>
            </w:r>
          </w:p>
        </w:tc>
        <w:tc>
          <w:tcPr>
            <w:tcW w:w="760"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Alto</w:t>
            </w:r>
          </w:p>
        </w:tc>
        <w:tc>
          <w:tcPr>
            <w:tcW w:w="1591"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Contratada</w:t>
            </w:r>
          </w:p>
        </w:tc>
        <w:tc>
          <w:tcPr>
            <w:tcW w:w="4227" w:type="dxa"/>
          </w:tcPr>
          <w:p>
            <w:pPr>
              <w:jc w:val="both"/>
              <w:rPr>
                <w:rFonts w:ascii="Arial" w:hAnsi="Arial" w:cs="Arial"/>
                <w:color w:val="000000" w:themeColor="text1"/>
                <w:sz w:val="24"/>
                <w:szCs w:val="24"/>
              </w:rPr>
            </w:pPr>
            <w:r>
              <w:rPr>
                <w:rFonts w:ascii="Arial" w:hAnsi="Arial" w:cs="Arial"/>
                <w:color w:val="000000" w:themeColor="text1"/>
                <w:sz w:val="24"/>
                <w:szCs w:val="24"/>
              </w:rPr>
              <w:t xml:space="preserve">Controle de versões, testes de regressão, ambiente de homologação quando aplicável, procedimento de rollback e comunicação prévia de alterações relevantes</w:t>
            </w:r>
          </w:p>
        </w:tc>
      </w:tr>
    </w:tbl>
    <w:p>
      <w:pPr>
        <w:jc w:val="both"/>
        <w:rPr>
          <w:rFonts w:ascii="Arial" w:hAnsi="Arial" w:cs="Arial"/>
          <w:color w:val="000000" w:themeColor="text1"/>
          <w:sz w:val="24"/>
          <w:szCs w:val="24"/>
        </w:rPr>
      </w:pPr>
    </w:p>
    <w:p>
      <w:pPr>
        <w:pStyle w:val="Ttulo1"/>
        <w:jc w:val="both"/>
        <w:rPr>
          <w:rFonts w:ascii="Arial" w:hAnsi="Arial" w:cs="Arial"/>
          <w:color w:val="000000" w:themeColor="text1"/>
          <w:sz w:val="24"/>
          <w:szCs w:val="24"/>
        </w:rPr>
      </w:pPr>
      <w:r>
        <w:rPr>
          <w:rFonts w:ascii="Arial" w:hAnsi="Arial" w:cs="Arial"/>
          <w:color w:val="000000" w:themeColor="text1"/>
          <w:sz w:val="24"/>
          <w:szCs w:val="24"/>
        </w:rPr>
        <w:t xml:space="preserve">15. Sanções administrativas</w:t>
      </w:r>
    </w:p>
    <w:p>
      <w:pPr>
        <w:jc w:val="both"/>
        <w:rPr>
          <w:rFonts w:ascii="Arial" w:hAnsi="Arial" w:cs="Arial"/>
          <w:color w:val="000000" w:themeColor="text1"/>
          <w:sz w:val="24"/>
          <w:szCs w:val="24"/>
        </w:rPr>
      </w:pPr>
      <w:r>
        <w:rPr>
          <w:rFonts w:ascii="Arial" w:hAnsi="Arial" w:cs="Arial"/>
          <w:color w:val="000000" w:themeColor="text1"/>
          <w:sz w:val="24"/>
          <w:szCs w:val="24"/>
        </w:rPr>
        <w:t xml:space="preserve">Constituem infrações administrativas as condutas previstas na Lei nº 14.133/2021, inclusive dar causa à inexecução parcial ou total, ensejar retardamento injustificado, apresentar documentação falsa, comportar-se de modo inidôneo, fraudar a execução ou praticar ato lesivo ao certame ou ao contrato.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aplicação de sanções observará legalidade, tipicidade, proporcionalidade, motivação, contraditório, ampla defesa, competência e processo administrativo próprio. Poderão ser aplicadas, conforme a gravidade e os arts. 155 a 163 da Lei nº 14.133/2021:</w:t>
      </w:r>
    </w:p>
    <w:p>
      <w:pPr>
        <w:jc w:val="both"/>
        <w:rPr>
          <w:rFonts w:ascii="Arial" w:hAnsi="Arial" w:cs="Arial"/>
          <w:color w:val="000000" w:themeColor="text1"/>
          <w:sz w:val="24"/>
          <w:szCs w:val="24"/>
        </w:rPr>
      </w:pPr>
      <w:r>
        <w:rPr>
          <w:rFonts w:ascii="Arial" w:hAnsi="Arial" w:cs="Arial"/>
          <w:color w:val="000000" w:themeColor="text1"/>
          <w:sz w:val="24"/>
          <w:szCs w:val="24"/>
        </w:rPr>
        <w:t xml:space="preserve">– advertência, quando cabível;</w:t>
      </w:r>
    </w:p>
    <w:p>
      <w:pPr>
        <w:jc w:val="both"/>
        <w:rPr>
          <w:rFonts w:ascii="Arial" w:hAnsi="Arial" w:cs="Arial"/>
          <w:color w:val="000000" w:themeColor="text1"/>
          <w:sz w:val="24"/>
          <w:szCs w:val="24"/>
        </w:rPr>
      </w:pPr>
      <w:r>
        <w:rPr>
          <w:rFonts w:ascii="Arial" w:hAnsi="Arial" w:cs="Arial"/>
          <w:color w:val="000000" w:themeColor="text1"/>
          <w:sz w:val="24"/>
          <w:szCs w:val="24"/>
        </w:rPr>
        <w:t xml:space="preserve">– multa moratória por atraso injustificado, conforme percentual definido no edital/contrato e limitada a patamar proporcional;</w:t>
      </w:r>
    </w:p>
    <w:p>
      <w:pPr>
        <w:jc w:val="both"/>
        <w:rPr>
          <w:rFonts w:ascii="Arial" w:hAnsi="Arial" w:cs="Arial"/>
          <w:color w:val="000000" w:themeColor="text1"/>
          <w:sz w:val="24"/>
          <w:szCs w:val="24"/>
        </w:rPr>
      </w:pPr>
      <w:r>
        <w:rPr>
          <w:rFonts w:ascii="Arial" w:hAnsi="Arial" w:cs="Arial"/>
          <w:color w:val="000000" w:themeColor="text1"/>
          <w:sz w:val="24"/>
          <w:szCs w:val="24"/>
        </w:rPr>
        <w:t xml:space="preserve">– multa compensatória por inexecução parcial ou total, conforme gravidade e valor contratual;</w:t>
      </w:r>
    </w:p>
    <w:p>
      <w:pPr>
        <w:jc w:val="both"/>
        <w:rPr>
          <w:rFonts w:ascii="Arial" w:hAnsi="Arial" w:cs="Arial"/>
          <w:color w:val="000000" w:themeColor="text1"/>
          <w:sz w:val="24"/>
          <w:szCs w:val="24"/>
        </w:rPr>
      </w:pPr>
      <w:r>
        <w:rPr>
          <w:rFonts w:ascii="Arial" w:hAnsi="Arial" w:cs="Arial"/>
          <w:color w:val="000000" w:themeColor="text1"/>
          <w:sz w:val="24"/>
          <w:szCs w:val="24"/>
        </w:rPr>
        <w:t xml:space="preserve">– impedimento de licitar e contratar, quando presentes os requisitos legais;</w:t>
      </w:r>
    </w:p>
    <w:p>
      <w:pPr>
        <w:jc w:val="both"/>
        <w:rPr>
          <w:rFonts w:ascii="Arial" w:hAnsi="Arial" w:cs="Arial"/>
          <w:color w:val="000000" w:themeColor="text1"/>
          <w:sz w:val="24"/>
          <w:szCs w:val="24"/>
        </w:rPr>
      </w:pPr>
      <w:r>
        <w:rPr>
          <w:rFonts w:ascii="Arial" w:hAnsi="Arial" w:cs="Arial"/>
          <w:color w:val="000000" w:themeColor="text1"/>
          <w:sz w:val="24"/>
          <w:szCs w:val="24"/>
        </w:rPr>
        <w:t xml:space="preserve">– declaração de inidoneidade, nos casos e limites legais aplicáveis.</w:t>
      </w:r>
    </w:p>
    <w:p>
      <w:pPr>
        <w:jc w:val="both"/>
        <w:rPr>
          <w:rFonts w:ascii="Arial" w:hAnsi="Arial" w:cs="Arial"/>
          <w:color w:val="000000" w:themeColor="text1"/>
          <w:sz w:val="24"/>
          <w:szCs w:val="24"/>
        </w:rPr>
      </w:pPr>
      <w:r>
        <w:rPr>
          <w:rFonts w:ascii="Arial" w:hAnsi="Arial" w:cs="Arial"/>
          <w:color w:val="000000" w:themeColor="text1"/>
          <w:sz w:val="24"/>
          <w:szCs w:val="24"/>
        </w:rPr>
        <w:t xml:space="preserve">Como referência contratual, o edital poderá prever multa moratória de </w:t>
      </w:r>
      <w:r>
        <w:rPr>
          <w:rFonts w:ascii="Arial" w:hAnsi="Arial" w:cs="Arial"/>
          <w:b/>
          <w:color w:val="000000" w:themeColor="text1"/>
          <w:sz w:val="24"/>
          <w:szCs w:val="24"/>
        </w:rPr>
        <w:t xml:space="preserve">0,5% por dia de atraso injustificado na implantação</w:t>
      </w:r>
      <w:r>
        <w:rPr>
          <w:rFonts w:ascii="Arial" w:hAnsi="Arial" w:cs="Arial"/>
          <w:color w:val="000000" w:themeColor="text1"/>
          <w:sz w:val="24"/>
          <w:szCs w:val="24"/>
        </w:rPr>
        <w:t xml:space="preserve">, limitada a 10% da parcela mensal ou do valor definido no instrumento convocatório, e multa compensatória entre </w:t>
      </w:r>
      <w:r>
        <w:rPr>
          <w:rFonts w:ascii="Arial" w:hAnsi="Arial" w:cs="Arial"/>
          <w:b/>
          <w:color w:val="000000" w:themeColor="text1"/>
          <w:sz w:val="24"/>
          <w:szCs w:val="24"/>
        </w:rPr>
        <w:t xml:space="preserve">5% e 20% do valor global</w:t>
      </w:r>
      <w:r>
        <w:rPr>
          <w:rFonts w:ascii="Arial" w:hAnsi="Arial" w:cs="Arial"/>
          <w:color w:val="000000" w:themeColor="text1"/>
          <w:sz w:val="24"/>
          <w:szCs w:val="24"/>
        </w:rPr>
        <w:t xml:space="preserve">, graduada conforme dano, reincidência e extensão da inexecução. Os percentuais deverão ser validados pela assessoria jurídica e pela regulamentação municipal.</w:t>
      </w:r>
    </w:p>
    <w:p>
      <w:pPr>
        <w:jc w:val="both"/>
        <w:rPr>
          <w:rFonts w:ascii="Arial" w:hAnsi="Arial" w:cs="Arial"/>
          <w:color w:val="000000" w:themeColor="text1"/>
          <w:sz w:val="24"/>
          <w:szCs w:val="24"/>
        </w:rPr>
      </w:pPr>
      <w:r>
        <w:rPr>
          <w:rFonts w:ascii="Arial" w:hAnsi="Arial" w:cs="Arial"/>
          <w:color w:val="000000" w:themeColor="text1"/>
          <w:sz w:val="24"/>
          <w:szCs w:val="24"/>
        </w:rPr>
        <w:t xml:space="preserve">A aplicação de multa não impede glosa por serviço não medido, desde que não haja dupla punição pelo mesmo fato e que a decisão identifique a natureza de cada consequência.</w:t>
      </w:r>
    </w:p>
    <w:p>
      <w:pPr>
        <w:pStyle w:val="Ttulo1"/>
        <w:jc w:val="both"/>
        <w:rPr>
          <w:rFonts w:ascii="Arial" w:hAnsi="Arial" w:cs="Arial"/>
          <w:color w:val="000000" w:themeColor="text1"/>
          <w:sz w:val="24"/>
          <w:szCs w:val="24"/>
        </w:rPr>
      </w:pPr>
      <w:r>
        <w:rPr>
          <w:rFonts w:ascii="Arial" w:hAnsi="Arial" w:cs="Arial"/>
          <w:color w:val="000000" w:themeColor="text1"/>
          <w:sz w:val="24"/>
          <w:szCs w:val="24"/>
        </w:rPr>
        <w:t xml:space="preserve">16. Garantia, subcontratação e propriedade dos dados</w:t>
      </w:r>
    </w:p>
    <w:p>
      <w:pPr>
        <w:jc w:val="both"/>
        <w:rPr>
          <w:rFonts w:ascii="Arial" w:hAnsi="Arial" w:cs="Arial"/>
          <w:color w:val="000000" w:themeColor="text1"/>
          <w:sz w:val="24"/>
          <w:szCs w:val="24"/>
        </w:rPr>
      </w:pPr>
      <w:r>
        <w:rPr>
          <w:rFonts w:ascii="Arial" w:hAnsi="Arial" w:cs="Arial"/>
          <w:color w:val="000000" w:themeColor="text1"/>
          <w:sz w:val="24"/>
          <w:szCs w:val="24"/>
        </w:rPr>
        <w:t xml:space="preserve">A necessidade de garantia contratual deverá ser avaliada e justificada pela Administração no edital e no contrato, considerando riscos, valor, criticidade, proteção de dados e complexidade da solução.</w:t>
      </w:r>
    </w:p>
    <w:p>
      <w:pPr>
        <w:jc w:val="both"/>
        <w:rPr>
          <w:rFonts w:ascii="Arial" w:hAnsi="Arial" w:cs="Arial"/>
          <w:color w:val="000000" w:themeColor="text1"/>
          <w:sz w:val="24"/>
          <w:szCs w:val="24"/>
        </w:rPr>
      </w:pPr>
      <w:r>
        <w:rPr>
          <w:rFonts w:ascii="Arial" w:hAnsi="Arial" w:cs="Arial"/>
          <w:color w:val="000000" w:themeColor="text1"/>
          <w:sz w:val="24"/>
          <w:szCs w:val="24"/>
        </w:rPr>
        <w:t xml:space="preserve">A subcontratação de infraestrutura, processamento ou serviços auxiliares dependerá das condições previstas no edital e no contrato. A contratada permanecerá integralmente responsável pela execução e deverá informar subcontratados que tenham acesso a dados ou ambientes municipais.</w:t>
      </w:r>
    </w:p>
    <w:p>
      <w:pPr>
        <w:jc w:val="both"/>
        <w:rPr>
          <w:rFonts w:ascii="Arial" w:hAnsi="Arial" w:cs="Arial"/>
          <w:color w:val="000000" w:themeColor="text1"/>
          <w:sz w:val="24"/>
          <w:szCs w:val="24"/>
        </w:rPr>
      </w:pPr>
      <w:r>
        <w:rPr>
          <w:rFonts w:ascii="Arial" w:hAnsi="Arial" w:cs="Arial"/>
          <w:color w:val="000000" w:themeColor="text1"/>
          <w:sz w:val="24"/>
          <w:szCs w:val="24"/>
        </w:rPr>
        <w:t xml:space="preserve">Os dados, documentos, registros, históricos, metadados, relatórios e informações produzidos ou inseridos pelo Município permanecerão sob controle institucional do Município. A licença não transfere à contratada propriedade sobre os dados públicos ou documentos municipais. Componentes proprietários da plataforma permanecem de titularidade da contratada, sem impedir a extração e o uso dos dados municipais.</w:t>
      </w:r>
    </w:p>
    <w:p>
      <w:pPr>
        <w:pStyle w:val="Ttulo1"/>
        <w:jc w:val="both"/>
        <w:rPr>
          <w:rFonts w:ascii="Arial" w:hAnsi="Arial" w:cs="Arial"/>
          <w:color w:val="000000" w:themeColor="text1"/>
          <w:sz w:val="24"/>
          <w:szCs w:val="24"/>
        </w:rPr>
      </w:pPr>
      <w:r>
        <w:rPr>
          <w:rFonts w:ascii="Arial" w:hAnsi="Arial" w:cs="Arial"/>
          <w:color w:val="000000" w:themeColor="text1"/>
          <w:sz w:val="24"/>
          <w:szCs w:val="24"/>
        </w:rPr>
        <w:t xml:space="preserve">17. Adequação orçamentária e classificação da despesa</w:t>
      </w:r>
    </w:p>
    <w:p>
      <w:pPr>
        <w:jc w:val="both"/>
        <w:rPr>
          <w:rFonts w:ascii="Arial" w:hAnsi="Arial" w:cs="Arial"/>
          <w:color w:val="000000" w:themeColor="text1"/>
          <w:sz w:val="24"/>
          <w:szCs w:val="24"/>
        </w:rPr>
      </w:pPr>
      <w:r>
        <w:rPr>
          <w:rFonts w:ascii="Arial" w:hAnsi="Arial" w:cs="Arial"/>
          <w:color w:val="000000" w:themeColor="text1"/>
          <w:sz w:val="24"/>
          <w:szCs w:val="24"/>
        </w:rPr>
        <w:t xml:space="preserve">A adequação orçamentária e a classificação da despesa serão informadas pela Administração no processo administrativo, mediante indicação de dotação orçamentária específica, fonte de recursos e demonstração de compatibilidade com a Lei Orçamentária Anual e com o instrumento de planejamento vigente, previamente à publicação do edital.</w:t>
      </w:r>
    </w:p>
    <w:p>
      <w:pPr>
        <w:jc w:val="both"/>
        <w:rPr>
          <w:rFonts w:ascii="Arial" w:hAnsi="Arial" w:cs="Arial"/>
          <w:color w:val="000000" w:themeColor="text1"/>
          <w:sz w:val="24"/>
          <w:szCs w:val="24"/>
        </w:rPr>
      </w:pPr>
      <w:r>
        <w:rPr>
          <w:rFonts w:ascii="Arial" w:hAnsi="Arial" w:cs="Arial"/>
          <w:color w:val="000000" w:themeColor="text1"/>
          <w:sz w:val="24"/>
          <w:szCs w:val="24"/>
        </w:rPr>
        <w:t xml:space="preserve">Dotação orçamentária: [INFORMAÇÃO A PREENCHER]. Fonte de recursos: [INFORMAÇÃO A PREENCHER]. Programa/ação: [INFORMAÇÃO A PREENCHER].</w:t>
      </w:r>
    </w:p>
    <w:sectPr w:rsidR="00FE4E87" w:rsidRPr="00E80E04"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404E5F1" w14:textId="77777777" w:rsidR="00007FD6" w:rsidRDefault="00007FD6">
      <w:pPr>
        <w:spacing w:after="0" w:line="240" w:lineRule="auto"/>
      </w:pPr>
      <w:r>
        <w:separator/>
      </w:r>
    </w:p>
  </w:endnote>
  <w:endnote w:type="continuationSeparator" w:id="0">
    <w:p w14:paraId="2197C912" w14:textId="77777777" w:rsidR="00007FD6" w:rsidRDefault="00007F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9034705" w14:textId="77777777" w:rsidR="00007FD6" w:rsidRDefault="00007FD6">
      <w:pPr>
        <w:spacing w:after="0" w:line="240" w:lineRule="auto"/>
      </w:pPr>
      <w:r>
        <w:separator/>
      </w:r>
    </w:p>
  </w:footnote>
  <w:footnote w:type="continuationSeparator" w:id="0">
    <w:p w14:paraId="794C2F69" w14:textId="77777777" w:rsidR="00007FD6" w:rsidRDefault="00007F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14E83062"/>
    <w:multiLevelType w:val="hybridMultilevel"/>
    <w:tmpl w:val="92AA2F00"/>
    <w:lvl w:ilvl="0" w:tplc="04160017">
      <w:start w:val="1"/>
      <w:numFmt w:val="lowerLetter"/>
      <w:lvlText w:val="%1)"/>
      <w:lvlJc w:val="left"/>
      <w:pPr>
        <w:ind w:left="360" w:hanging="360"/>
      </w:pPr>
      <w:rPr>
        <w:rFont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0" w15:restartNumberingAfterBreak="0">
    <w:nsid w:val="1B58298D"/>
    <w:multiLevelType w:val="hybridMultilevel"/>
    <w:tmpl w:val="644AC14E"/>
    <w:lvl w:ilvl="0" w:tplc="0416000D">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1" w15:restartNumberingAfterBreak="0">
    <w:nsid w:val="503D07D5"/>
    <w:multiLevelType w:val="hybridMultilevel"/>
    <w:tmpl w:val="92AA2F00"/>
    <w:lvl w:ilvl="0" w:tplc="04160017">
      <w:start w:val="1"/>
      <w:numFmt w:val="lowerLetter"/>
      <w:lvlText w:val="%1)"/>
      <w:lvlJc w:val="left"/>
      <w:pPr>
        <w:ind w:left="360" w:hanging="360"/>
      </w:pPr>
      <w:rPr>
        <w:rFont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2" w15:restartNumberingAfterBreak="0">
    <w:nsid w:val="78B63DE6"/>
    <w:multiLevelType w:val="hybridMultilevel"/>
    <w:tmpl w:val="BBE86A4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0"/>
  </w:num>
  <w:num w:numId="12">
    <w:abstractNumId w:val="9"/>
  </w:num>
  <w:num w:numId="13">
    <w:abstractNumId w:val="7"/>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FD6"/>
    <w:rsid w:val="0001194B"/>
    <w:rsid w:val="00024325"/>
    <w:rsid w:val="00034616"/>
    <w:rsid w:val="0006063C"/>
    <w:rsid w:val="000751B0"/>
    <w:rsid w:val="00083F56"/>
    <w:rsid w:val="00085645"/>
    <w:rsid w:val="00087070"/>
    <w:rsid w:val="00092374"/>
    <w:rsid w:val="000E4F94"/>
    <w:rsid w:val="0015074B"/>
    <w:rsid w:val="00166A66"/>
    <w:rsid w:val="00231D3A"/>
    <w:rsid w:val="0029639D"/>
    <w:rsid w:val="002B2643"/>
    <w:rsid w:val="002E4F52"/>
    <w:rsid w:val="00326F90"/>
    <w:rsid w:val="003C6EA0"/>
    <w:rsid w:val="004010C0"/>
    <w:rsid w:val="00522842"/>
    <w:rsid w:val="005460B7"/>
    <w:rsid w:val="00585A01"/>
    <w:rsid w:val="005C1D1D"/>
    <w:rsid w:val="005F318B"/>
    <w:rsid w:val="006B6C1B"/>
    <w:rsid w:val="00707942"/>
    <w:rsid w:val="007D21AC"/>
    <w:rsid w:val="008065B0"/>
    <w:rsid w:val="00824509"/>
    <w:rsid w:val="00840D8B"/>
    <w:rsid w:val="008B5A6C"/>
    <w:rsid w:val="008F5B9B"/>
    <w:rsid w:val="008F760D"/>
    <w:rsid w:val="0090657D"/>
    <w:rsid w:val="00925702"/>
    <w:rsid w:val="009A691F"/>
    <w:rsid w:val="009F1F2E"/>
    <w:rsid w:val="00A2249D"/>
    <w:rsid w:val="00A34CD8"/>
    <w:rsid w:val="00AA1D8D"/>
    <w:rsid w:val="00B47730"/>
    <w:rsid w:val="00B67C79"/>
    <w:rsid w:val="00B9481D"/>
    <w:rsid w:val="00BA3E2E"/>
    <w:rsid w:val="00BE1F94"/>
    <w:rsid w:val="00C13DA7"/>
    <w:rsid w:val="00CB0664"/>
    <w:rsid w:val="00CE637D"/>
    <w:rsid w:val="00D71006"/>
    <w:rsid w:val="00D81DAA"/>
    <w:rsid w:val="00DD26D2"/>
    <w:rsid w:val="00E35B45"/>
    <w:rsid w:val="00E80E04"/>
    <w:rsid w:val="00EE2B89"/>
    <w:rsid w:val="00F31A54"/>
    <w:rsid w:val="00FC693F"/>
    <w:rsid w:val="00FE4E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5D3E60"/>
  <w14:defaultImageDpi w14:val="300"/>
  <w15:docId w15:val="{A36A303D-87DC-49A8-BA3B-D7E29EFE5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17323D"/>
      <w:sz w:val="21"/>
    </w:rPr>
  </w:style>
  <w:style w:type="paragraph" w:styleId="Ttulo1">
    <w:name w:val="heading 1"/>
    <w:basedOn w:val="Normal"/>
    <w:next w:val="Normal"/>
    <w:link w:val="Ttulo1Char"/>
    <w:uiPriority w:val="9"/>
    <w:qFormat/>
    <w:rsid w:val="00FC693F"/>
    <w:pPr>
      <w:keepNext/>
      <w:keepLines/>
      <w:spacing w:before="280" w:after="140"/>
      <w:outlineLvl w:val="0"/>
    </w:pPr>
    <w:rPr>
      <w:rFonts w:asciiTheme="majorHAnsi" w:eastAsiaTheme="majorEastAsia" w:hAnsiTheme="majorHAnsi" w:cstheme="majorBidi"/>
      <w:b/>
      <w:bCs/>
      <w:color w:val="0B2B40"/>
      <w:sz w:val="32"/>
      <w:szCs w:val="28"/>
    </w:rPr>
  </w:style>
  <w:style w:type="paragraph" w:styleId="Ttulo2">
    <w:name w:val="heading 2"/>
    <w:basedOn w:val="Normal"/>
    <w:next w:val="Normal"/>
    <w:link w:val="Ttulo2Char"/>
    <w:uiPriority w:val="9"/>
    <w:unhideWhenUsed/>
    <w:qFormat/>
    <w:rsid w:val="00FC693F"/>
    <w:pPr>
      <w:keepNext/>
      <w:keepLines/>
      <w:spacing w:before="200" w:after="100"/>
      <w:outlineLvl w:val="1"/>
    </w:pPr>
    <w:rPr>
      <w:rFonts w:asciiTheme="majorHAnsi" w:eastAsiaTheme="majorEastAsia" w:hAnsiTheme="majorHAnsi" w:cstheme="majorBidi"/>
      <w:b/>
      <w:bCs/>
      <w:color w:val="136F8A"/>
      <w:sz w:val="25"/>
      <w:szCs w:val="26"/>
    </w:rPr>
  </w:style>
  <w:style w:type="paragraph" w:styleId="Ttulo3">
    <w:name w:val="heading 3"/>
    <w:basedOn w:val="Normal"/>
    <w:next w:val="Normal"/>
    <w:link w:val="Ttulo3Char"/>
    <w:uiPriority w:val="9"/>
    <w:unhideWhenUsed/>
    <w:qFormat/>
    <w:rsid w:val="00FC693F"/>
    <w:pPr>
      <w:keepNext/>
      <w:keepLines/>
      <w:spacing w:before="160" w:after="80"/>
      <w:outlineLvl w:val="2"/>
    </w:pPr>
    <w:rPr>
      <w:rFonts w:asciiTheme="majorHAnsi" w:eastAsiaTheme="majorEastAsia" w:hAnsiTheme="majorHAnsi" w:cstheme="majorBidi"/>
      <w:b/>
      <w:bCs/>
      <w:color w:val="1AA6A6"/>
      <w:sz w:val="22"/>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B6B73"/>
      <w:sz w:val="17"/>
    </w:rPr>
  </w:style>
  <w:style w:type="paragraph" w:styleId="NormalWeb">
    <w:name w:val="Normal (Web)"/>
    <w:basedOn w:val="Normal"/>
    <w:uiPriority w:val="99"/>
    <w:semiHidden/>
    <w:unhideWhenUsed/>
    <w:rsid w:val="003C6EA0"/>
    <w:pPr>
      <w:spacing w:before="100" w:beforeAutospacing="1" w:after="100" w:afterAutospacing="1" w:line="240" w:lineRule="auto"/>
    </w:pPr>
    <w:rPr>
      <w:rFonts w:ascii="Times New Roman" w:eastAsia="Times New Roman" w:hAnsi="Times New Roman" w:cs="Times New Roman"/>
      <w:color w:val="auto"/>
      <w:sz w:val="24"/>
      <w:szCs w:val="24"/>
      <w:lang w:val="pt-BR" w:eastAsia="pt-BR"/>
    </w:rPr>
  </w:style>
  <w:style w:type="paragraph" w:customStyle="1" w:styleId="MdSpace">
    <w:name w:val="MdSpace"/>
    <w:qFormat/>
    <w:rsid w:val="008F5B9B"/>
    <w:pPr>
      <w:spacing w:after="0" w:line="240" w:lineRule="auto"/>
    </w:pPr>
    <w:rPr>
      <w:rFonts w:ascii="Times New Roman" w:eastAsia="Times New Roman" w:hAnsi="Times New Roman" w:cs="Times New Roman"/>
      <w:sz w:val="12"/>
      <w:szCs w:val="12"/>
      <w:lang w:val="pt-BR" w:eastAsia="pt-BR"/>
    </w:rPr>
  </w:style>
  <w:style w:type="paragraph" w:customStyle="1" w:styleId="MdParagraph">
    <w:name w:val="MdParagraph"/>
    <w:qFormat/>
    <w:rsid w:val="008F5B9B"/>
    <w:pPr>
      <w:spacing w:before="120" w:after="120" w:line="240" w:lineRule="auto"/>
    </w:pPr>
    <w:rPr>
      <w:rFonts w:ascii="Times New Roman" w:eastAsia="Times New Roman" w:hAnsi="Times New Roman" w:cs="Times New Roman"/>
      <w:sz w:val="24"/>
      <w:szCs w:val="24"/>
      <w:lang w:val="pt-BR" w:eastAsia="pt-BR"/>
    </w:rPr>
  </w:style>
  <w:style w:type="paragraph" w:customStyle="1" w:styleId="MdTableHeader">
    <w:name w:val="MdTableHeader"/>
    <w:qFormat/>
    <w:rsid w:val="008F5B9B"/>
    <w:pPr>
      <w:spacing w:before="60" w:after="60" w:line="240" w:lineRule="auto"/>
    </w:pPr>
    <w:rPr>
      <w:rFonts w:ascii="Times New Roman" w:eastAsia="Times New Roman" w:hAnsi="Times New Roman" w:cs="Times New Roman"/>
      <w:b/>
      <w:bCs/>
      <w:lang w:val="pt-BR" w:eastAsia="pt-BR"/>
    </w:rPr>
  </w:style>
  <w:style w:type="paragraph" w:customStyle="1" w:styleId="MdTableCell">
    <w:name w:val="MdTableCell"/>
    <w:qFormat/>
    <w:rsid w:val="008F5B9B"/>
    <w:pPr>
      <w:spacing w:before="40" w:after="40" w:line="240" w:lineRule="auto"/>
    </w:pPr>
    <w:rPr>
      <w:rFonts w:ascii="Times New Roman" w:eastAsia="Times New Roman" w:hAnsi="Times New Roman" w:cs="Times New Roman"/>
      <w:sz w:val="20"/>
      <w:szCs w:val="20"/>
      <w:lang w:val="pt-BR" w:eastAsia="pt-BR"/>
    </w:rPr>
  </w:style>
  <w:style w:type="paragraph" w:customStyle="1" w:styleId="MdHeading2">
    <w:name w:val="MdHeading2"/>
    <w:qFormat/>
    <w:rsid w:val="008F5B9B"/>
    <w:pPr>
      <w:keepNext/>
      <w:spacing w:before="400" w:line="240" w:lineRule="auto"/>
      <w:outlineLvl w:val="1"/>
    </w:pPr>
    <w:rPr>
      <w:rFonts w:ascii="Times New Roman" w:eastAsia="Times New Roman" w:hAnsi="Times New Roman" w:cs="Times New Roman"/>
      <w:b/>
      <w:bCs/>
      <w:sz w:val="32"/>
      <w:szCs w:val="32"/>
      <w:lang w:val="pt-BR" w:eastAsia="pt-BR"/>
    </w:rPr>
  </w:style>
  <w:style w:type="paragraph" w:customStyle="1" w:styleId="MdHeading3">
    <w:name w:val="MdHeading3"/>
    <w:qFormat/>
    <w:rsid w:val="008F5B9B"/>
    <w:pPr>
      <w:keepNext/>
      <w:spacing w:before="320" w:after="160" w:line="240" w:lineRule="auto"/>
      <w:outlineLvl w:val="2"/>
    </w:pPr>
    <w:rPr>
      <w:rFonts w:ascii="Times New Roman" w:eastAsia="Times New Roman" w:hAnsi="Times New Roman" w:cs="Times New Roman"/>
      <w:b/>
      <w:bCs/>
      <w:sz w:val="28"/>
      <w:szCs w:val="28"/>
      <w:lang w:val="pt-BR" w:eastAsia="pt-BR"/>
    </w:rPr>
  </w:style>
  <w:style w:type="character" w:customStyle="1" w:styleId="MdStrong">
    <w:name w:val="MdStrong"/>
    <w:uiPriority w:val="99"/>
    <w:qFormat/>
    <w:rsid w:val="008F5B9B"/>
    <w:rPr>
      <w:b/>
      <w:bCs/>
    </w:rPr>
  </w:style>
  <w:style w:type="table" w:styleId="TabelaSimples1">
    <w:name w:val="Plain Table 1"/>
    <w:basedOn w:val="Tabelanormal"/>
    <w:uiPriority w:val="99"/>
    <w:rsid w:val="008F5B9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deGradeClara">
    <w:name w:val="Grid Table Light"/>
    <w:basedOn w:val="Tabelanormal"/>
    <w:uiPriority w:val="99"/>
    <w:rsid w:val="0008707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49553755">
      <w:bodyDiv w:val="1"/>
      <w:marLeft w:val="0"/>
      <w:marRight w:val="0"/>
      <w:marTop w:val="0"/>
      <w:marBottom w:val="0"/>
      <w:divBdr>
        <w:top w:val="none" w:sz="0" w:space="0" w:color="auto"/>
        <w:left w:val="none" w:sz="0" w:space="0" w:color="auto"/>
        <w:bottom w:val="none" w:sz="0" w:space="0" w:color="auto"/>
        <w:right w:val="none" w:sz="0" w:space="0" w:color="auto"/>
      </w:divBdr>
    </w:div>
    <w:div w:id="1504389903">
      <w:bodyDiv w:val="1"/>
      <w:marLeft w:val="0"/>
      <w:marRight w:val="0"/>
      <w:marTop w:val="0"/>
      <w:marBottom w:val="0"/>
      <w:divBdr>
        <w:top w:val="none" w:sz="0" w:space="0" w:color="auto"/>
        <w:left w:val="none" w:sz="0" w:space="0" w:color="auto"/>
        <w:bottom w:val="none" w:sz="0" w:space="0" w:color="auto"/>
        <w:right w:val="none" w:sz="0" w:space="0" w:color="auto"/>
      </w:divBdr>
    </w:div>
    <w:div w:id="1734893390">
      <w:bodyDiv w:val="1"/>
      <w:marLeft w:val="0"/>
      <w:marRight w:val="0"/>
      <w:marTop w:val="0"/>
      <w:marBottom w:val="0"/>
      <w:divBdr>
        <w:top w:val="none" w:sz="0" w:space="0" w:color="auto"/>
        <w:left w:val="none" w:sz="0" w:space="0" w:color="auto"/>
        <w:bottom w:val="none" w:sz="0" w:space="0" w:color="auto"/>
        <w:right w:val="none" w:sz="0" w:space="0" w:color="auto"/>
      </w:divBdr>
      <w:divsChild>
        <w:div w:id="1406227021">
          <w:marLeft w:val="0"/>
          <w:marRight w:val="0"/>
          <w:marTop w:val="15"/>
          <w:marBottom w:val="15"/>
          <w:divBdr>
            <w:top w:val="single" w:sz="2" w:space="0" w:color="E5E7EB"/>
            <w:left w:val="single" w:sz="2" w:space="0" w:color="E5E7EB"/>
            <w:bottom w:val="single" w:sz="2" w:space="0" w:color="E5E7EB"/>
            <w:right w:val="single" w:sz="2" w:space="0" w:color="E5E7EB"/>
          </w:divBdr>
          <w:divsChild>
            <w:div w:id="60912146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85677406">
          <w:marLeft w:val="0"/>
          <w:marRight w:val="0"/>
          <w:marTop w:val="15"/>
          <w:marBottom w:val="15"/>
          <w:divBdr>
            <w:top w:val="single" w:sz="2" w:space="0" w:color="E5E7EB"/>
            <w:left w:val="single" w:sz="2" w:space="0" w:color="E5E7EB"/>
            <w:bottom w:val="single" w:sz="2" w:space="0" w:color="E5E7EB"/>
            <w:right w:val="single" w:sz="2" w:space="0" w:color="E5E7EB"/>
          </w:divBdr>
          <w:divsChild>
            <w:div w:id="164334637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924803774">
          <w:marLeft w:val="0"/>
          <w:marRight w:val="0"/>
          <w:marTop w:val="15"/>
          <w:marBottom w:val="15"/>
          <w:divBdr>
            <w:top w:val="single" w:sz="2" w:space="0" w:color="E5E7EB"/>
            <w:left w:val="single" w:sz="2" w:space="0" w:color="E5E7EB"/>
            <w:bottom w:val="single" w:sz="2" w:space="0" w:color="E5E7EB"/>
            <w:right w:val="single" w:sz="2" w:space="0" w:color="E5E7EB"/>
          </w:divBdr>
          <w:divsChild>
            <w:div w:id="23016294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95778818">
          <w:marLeft w:val="0"/>
          <w:marRight w:val="0"/>
          <w:marTop w:val="15"/>
          <w:marBottom w:val="15"/>
          <w:divBdr>
            <w:top w:val="single" w:sz="2" w:space="0" w:color="E5E7EB"/>
            <w:left w:val="single" w:sz="2" w:space="0" w:color="E5E7EB"/>
            <w:bottom w:val="single" w:sz="2" w:space="0" w:color="E5E7EB"/>
            <w:right w:val="single" w:sz="2" w:space="0" w:color="E5E7EB"/>
          </w:divBdr>
          <w:divsChild>
            <w:div w:id="63787596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425424830">
          <w:marLeft w:val="0"/>
          <w:marRight w:val="0"/>
          <w:marTop w:val="15"/>
          <w:marBottom w:val="15"/>
          <w:divBdr>
            <w:top w:val="single" w:sz="2" w:space="0" w:color="E5E7EB"/>
            <w:left w:val="single" w:sz="2" w:space="0" w:color="E5E7EB"/>
            <w:bottom w:val="single" w:sz="2" w:space="0" w:color="E5E7EB"/>
            <w:right w:val="single" w:sz="2" w:space="0" w:color="E5E7EB"/>
          </w:divBdr>
          <w:divsChild>
            <w:div w:id="1290625452">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3C2E07-CEB6-4571-A96B-35C42AE65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29</Pages>
  <Words>11446</Words>
  <Characters>61810</Characters>
  <Application>Microsoft Office Word</Application>
  <DocSecurity>0</DocSecurity>
  <Lines>515</Lines>
  <Paragraphs>146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Termo de Referência — Inteligência Contábil e Gestão Fiscal</vt:lpstr>
      <vt:lpstr/>
    </vt:vector>
  </TitlesOfParts>
  <Manager/>
  <Company/>
  <LinksUpToDate>false</LinksUpToDate>
  <CharactersWithSpaces>73110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Termo de Referência — Inteligência Contábil e Gestão Fiscal</dc:title>
  <dc:subject>Termo de Referência — contratação de plataforma SaaS de inteligência contábil e gestão fiscal</dc:subject>
  <dc:creator>Prefeitura Municipal de Hidrolândia/GO</dc:creator>
  <cp:keywords>ETP, SaaS, gestão fiscal, inteligência artificial, TCM-GO, Hidrolândia</cp:keywords>
  <dc:description/>
  <cp:lastModifiedBy>Thyago Ferreira</cp:lastModifiedBy>
  <cp:revision>8</cp:revision>
  <dcterms:created xsi:type="dcterms:W3CDTF">2026-08-17T20:20:00Z</dcterms:created>
  <dcterms:modified xsi:type="dcterms:W3CDTF">2026-09-22T12:03:00Z</dcterms:modified>
  <cp:category/>
</cp:coreProperties>
</file>