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both"/>
        <w:rPr>
          <w:rFonts w:ascii="Arial" w:hAnsi="Arial" w:cs="Arial"/>
          <w:color w:val="000000" w:themeColor="text1"/>
          <w:sz w:val="24"/>
          <w:szCs w:val="24"/>
        </w:rPr>
      </w:pPr>
    </w:p>
    <w:p>
      <w:pPr>
        <w:jc w:val="both"/>
        <w:rPr>
          <w:rFonts w:ascii="Arial" w:hAnsi="Arial" w:cs="Arial"/>
          <w:b/>
          <w:color w:val="000000" w:themeColor="text1"/>
          <w:sz w:val="24"/>
          <w:szCs w:val="24"/>
        </w:rPr>
      </w:pPr>
      <w:r>
        <w:rPr>
          <w:rFonts w:ascii="Arial" w:hAnsi="Arial" w:cs="Arial"/>
          <w:b/>
          <w:color w:val="000000" w:themeColor="text1"/>
          <w:sz w:val="24"/>
          <w:szCs w:val="24"/>
        </w:rPr>
        <w:t>TERMO DE REFERÊNCIA</w:t>
      </w:r>
    </w:p>
    <w:p>
      <w:pPr>
        <w:jc w:val="both"/>
        <w:rPr>
          <w:rFonts w:ascii="Arial" w:hAnsi="Arial" w:cs="Arial"/>
          <w:color w:val="000000" w:themeColor="text1"/>
          <w:sz w:val="24"/>
          <w:szCs w:val="24"/>
        </w:rPr>
      </w:pP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 Definição do objeto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1.1. Objeto principal</w:t>
      </w:r>
    </w:p>
    <w:p>
      <w:pPr>
        <w:jc w:val="both"/>
        <w:rPr>
          <w:rFonts w:ascii="Arial" w:hAnsi="Arial" w:cs="Arial"/>
          <w:color w:val="000000" w:themeColor="text1"/>
          <w:sz w:val="24"/>
          <w:szCs w:val="24"/>
        </w:rPr>
      </w:pPr>
      <w:r>
        <w:rPr>
          <w:rFonts w:ascii="Arial" w:hAnsi="Arial" w:cs="Arial"/>
          <w:color w:val="000000" w:themeColor="text1"/>
          <w:sz w:val="24"/>
          <w:szCs w:val="24"/>
        </w:rPr>
        <w:t xml:space="preserve">Contratação de empresa especializada para fornecimento de licença de uso temporário de plataforma SaaS — Software as a Service — de inteligência contábil e gestão fiscal, hospedada em nuvem, com acesso pela web e por aplicativo móvel integrado (Android/iOS), do Município de Minaçu/GO.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solução deverá contemplar, de forma integrada, painéis analíticos executivos, gestão de entregas, obrigações e conformidade, acompanhamento de CAUC — Sistema de Informações sobre Requisitos Fiscais — e de processos do Tribunal de Contas dos Municípios do Estado de Goiás (TCM-GO), e mecanismos de integração, importação e rastreabilidade de dados.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contratação compreende a disponibilização do ambiente, configuração inicial, implantação, importação ou integração de dados autorizados, capacitação, suporte técnico, manutenção corretiva e evolutiva, atualização de regras e layouts, segurança, backup, continuidade, disponibilização do aplicativo móvel integrado e exportação estruturada dos dados ao término da contratação, sem aquisição de licença perpétua ou transferência de propriedade do software.</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1.2. Natureza e regime de execução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O objeto caracteriza-se como serviço continuado de tecnologia da informação, remunerado mensalmente, com execução indireta e por preço global do conjunto integrado, observado o regime jurídico da Lei nº 14.133/2021 e a regulamentação municipal aplicável.</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continuidade decorre da necessidade permanente de manter os painéis, integrações, bases, alertas, atualizações regulatórias, suporte, segurança e disponibilidade em funcionamento, caracterizando serviço de natureza continuada apto à contratação por prazo plurianual. A vigência inicial, as diretrizes da contratação plurianual, a prorrogação e o reajuste observarão o disposto nos subitens 7.2 e 7.4 deste Termo de Referência, dependendo, em qualquer caso, de previsão editalícia e contratual, de atesto da vantajosidade, de disponibilidade orçamentária e do atendimento dos demais requisitos legais.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1.3. Unidade de contratação e quantidade</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contratação será realizada em lote único, correspondente a 1 (uma) licença corporativa integrada, com 20 (vinte) usuários simultâneos incluídos, sem prejuízo da gestão de perfis e da criação de usuários nominais em quantidade superior, observado o limite de acessos simultâneos contratado, além de 1 (um) aplicativo móvel integrado à mesma base de dados, usuários, perfis e permissões da plataforma web.</w:t>
      </w:r>
    </w:p>
    <w:p>
      <w:pPr>
        <w:jc w:val="both"/>
        <w:rPr>
          <w:rFonts w:ascii="Arial" w:hAnsi="Arial" w:cs="Arial"/>
          <w:color w:val="000000" w:themeColor="text1"/>
          <w:sz w:val="24"/>
          <w:szCs w:val="24"/>
        </w:rPr>
      </w:pPr>
      <w:r>
        <w:rPr>
          <w:rFonts w:ascii="Arial" w:hAnsi="Arial" w:cs="Arial"/>
          <w:color w:val="000000" w:themeColor="text1"/>
          <w:sz w:val="24"/>
          <w:szCs w:val="24"/>
        </w:rPr>
        <w:t xml:space="preserve">A divisão descritiva da solução em núcleos funcionais não transforma o objeto em contratações independentes. Os módulos deverão operar sobre identidade, permissões, base de dados, integrações, trilhas de auditoria e política de segurança comuns.</w:t>
      </w:r>
    </w:p>
    <w:p>
      <w:pPr>
        <w:jc w:val="both"/>
        <w:rPr>
          <w:rFonts w:ascii="Arial" w:hAnsi="Arial" w:cs="Arial"/>
          <w:b/>
          <w:bCs/>
          <w:color w:val="000000" w:themeColor="text1"/>
          <w:sz w:val="24"/>
          <w:szCs w:val="24"/>
        </w:rPr>
      </w:pPr>
      <w:r>
        <w:rPr>
          <w:rFonts w:ascii="Arial" w:hAnsi="Arial" w:cs="Arial"/>
          <w:b/>
          <w:bCs/>
          <w:color w:val="000000" w:themeColor="text1"/>
          <w:sz w:val="24"/>
          <w:szCs w:val="24"/>
        </w:rPr>
        <w:t xml:space="preserve">1.4 Modalidade, forma, modo de disputa e critério de julgamento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contratação será realizada mediante licitação, </w:t>
      </w:r>
      <w:r>
        <w:rPr>
          <w:rFonts w:ascii="Arial" w:hAnsi="Arial" w:cs="Arial"/>
          <w:b/>
          <w:color w:val="000000" w:themeColor="text1"/>
          <w:sz w:val="24"/>
          <w:szCs w:val="24"/>
        </w:rPr>
        <w:t xml:space="preserve">na modalidade pregão</w:t>
      </w:r>
      <w:r>
        <w:rPr>
          <w:rFonts w:ascii="Arial" w:hAnsi="Arial" w:cs="Arial"/>
          <w:color w:val="000000" w:themeColor="text1"/>
          <w:sz w:val="24"/>
          <w:szCs w:val="24"/>
        </w:rPr>
        <w:t xml:space="preserve">, </w:t>
      </w:r>
      <w:r>
        <w:rPr>
          <w:rFonts w:ascii="Arial" w:hAnsi="Arial" w:cs="Arial"/>
          <w:b/>
          <w:color w:val="000000" w:themeColor="text1"/>
          <w:sz w:val="24"/>
          <w:szCs w:val="24"/>
        </w:rPr>
        <w:t xml:space="preserve">sob a forma eletrônica</w:t>
      </w:r>
      <w:r>
        <w:rPr>
          <w:rFonts w:ascii="Arial" w:hAnsi="Arial" w:cs="Arial"/>
          <w:color w:val="000000" w:themeColor="text1"/>
          <w:sz w:val="24"/>
          <w:szCs w:val="24"/>
        </w:rPr>
        <w:t xml:space="preserve">, para contratação de serviço comum de tecnologia da informação, uma vez que os padrões de desempenho e qualidade do objeto podem ser objetivamente definidos por meio de especificações usuais de mercado.</w:t>
      </w:r>
    </w:p>
    <w:p>
      <w:pPr>
        <w:jc w:val="both"/>
        <w:rPr>
          <w:rFonts w:ascii="Arial" w:hAnsi="Arial" w:cs="Arial"/>
          <w:color w:val="000000" w:themeColor="text1"/>
          <w:sz w:val="24"/>
          <w:szCs w:val="24"/>
        </w:rPr>
      </w:pPr>
      <w:r>
        <w:rPr>
          <w:rFonts w:ascii="Arial" w:hAnsi="Arial" w:cs="Arial"/>
          <w:color w:val="000000" w:themeColor="text1"/>
          <w:sz w:val="24"/>
          <w:szCs w:val="24"/>
        </w:rPr>
        <w:t xml:space="preserve">O critério de julgamento será o de menor preço, aferido pelo valor global do lote único, correspondente à execução integral do objeto, incluindo licença de uso, implantação, capacitação, suporte técnico, atualizações, aplicativo móvel, segurança, backup e exportação de dados, conforme as condições estabelecidas neste Termo de Referência.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O modo de disputa será definido no edital, observada a regulamentação aplicável e a decisão motivada da autoridade competente.</w:t>
      </w:r>
    </w:p>
    <w:p>
      <w:pPr>
        <w:jc w:val="both"/>
        <w:rPr>
          <w:rFonts w:ascii="Arial" w:hAnsi="Arial" w:cs="Arial"/>
          <w:color w:val="000000" w:themeColor="text1"/>
          <w:sz w:val="24"/>
          <w:szCs w:val="24"/>
        </w:rPr>
      </w:pPr>
      <w:r>
        <w:rPr>
          <w:rFonts w:ascii="Arial" w:hAnsi="Arial" w:cs="Arial"/>
          <w:color w:val="000000" w:themeColor="text1"/>
          <w:sz w:val="24"/>
          <w:szCs w:val="24"/>
        </w:rPr>
        <w:t xml:space="preserve">A Prova de Conceito será realizada somente pela licitante provisoriamente classificada em primeiro lugar, nos termos deste Termo de Referência e do edital, como mecanismo de verificação da conformidade técnica da solução ofertada, sem alteração do objeto ou criação de requisito não previsto.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2. Fundamentação e justificativa da contratação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presente contratação decorre da necessidade de aprimorar a capacidade da Administração Municipal de Minaçu/GO de transformar dados contábeis, orçamentários, financeiros e fiscais em informação gerencial confiável, tempestiva, integrada e útil à tomada de decisão.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Embora o Município de Minaçu disponha de sistema oficial responsável pelo registro e processamento das informações administrativas e contábeis — o SIAFIC municipal —, verifica-se que parcela relevante da análise gerencial ainda depende da consulta a relatórios individualizados, demonstrativos em PDF, planilhas paralelas e diferentes bases de informação. Para produzir uma visão consolidada da situação municipal, frequentemente são necessárias extrações, filtros, cruzamentos e tratamentos manuais realizados por servidores.</w:t>
      </w:r>
    </w:p>
    <w:p>
      <w:pPr>
        <w:jc w:val="both"/>
        <w:rPr>
          <w:rFonts w:ascii="Arial" w:hAnsi="Arial" w:cs="Arial"/>
          <w:color w:val="000000" w:themeColor="text1"/>
          <w:sz w:val="24"/>
          <w:szCs w:val="24"/>
        </w:rPr>
      </w:pPr>
      <w:r>
        <w:rPr>
          <w:rFonts w:ascii="Arial" w:hAnsi="Arial" w:cs="Arial"/>
          <w:color w:val="000000" w:themeColor="text1"/>
          <w:sz w:val="24"/>
          <w:szCs w:val="24"/>
        </w:rPr>
        <w:t xml:space="preserve">Esse modelo dificulta o acesso rápido à informação, aumenta o esforço operacional e reduz a capacidade da Administração de identificar tempestivamente situações que demandem atenção, como alterações relevantes no comportamento da receita e da despesa, aproximação de limites legais, obrigações pendentes, processos perante órgãos de controle e demais fatores capazes de afetar a gestão fiscal e administrativa.</w:t>
      </w:r>
    </w:p>
    <w:p>
      <w:pPr>
        <w:jc w:val="both"/>
        <w:rPr>
          <w:rFonts w:ascii="Arial" w:hAnsi="Arial" w:cs="Arial"/>
          <w:color w:val="000000" w:themeColor="text1"/>
          <w:sz w:val="24"/>
          <w:szCs w:val="24"/>
        </w:rPr>
      </w:pPr>
      <w:r>
        <w:rPr>
          <w:rFonts w:ascii="Arial" w:hAnsi="Arial" w:cs="Arial"/>
          <w:color w:val="000000" w:themeColor="text1"/>
          <w:sz w:val="24"/>
          <w:szCs w:val="24"/>
        </w:rPr>
        <w:t xml:space="preserve">O desafio existente, portanto, não consiste na inexistência de dados, mas na dificuldade de integrá-los, interpretá-los e convertê-los, em tempo adequado, em informação útil para diferentes níveis de gestão. Demonstrativos e bases estruturadas, como a Declaração de Contas Anuais — DCA, o Relatório Resumido da Execução Orçamentária — RREO, o Relatório de Gestão Fiscal — RGF e a Matriz de Saldos Contábeis — MSC, constituem fontes primárias legítimas para a composição de indicadores gerenciais e painéis analíticos, permanecendo, quanto à sua conferência e validação técnica, sob responsabilidade da contabilidade, da controladoria e do SIAFIC municipal.</w:t>
      </w:r>
    </w:p>
    <w:p>
      <w:pPr>
        <w:jc w:val="both"/>
        <w:rPr>
          <w:rFonts w:ascii="Arial" w:hAnsi="Arial" w:cs="Arial"/>
          <w:color w:val="000000" w:themeColor="text1"/>
          <w:sz w:val="24"/>
          <w:szCs w:val="24"/>
        </w:rPr>
      </w:pPr>
      <w:r>
        <w:rPr>
          <w:rFonts w:ascii="Arial" w:hAnsi="Arial" w:cs="Arial"/>
          <w:color w:val="000000" w:themeColor="text1"/>
          <w:sz w:val="24"/>
          <w:szCs w:val="24"/>
        </w:rPr>
        <w:t xml:space="preserve">Paralelamente, gestores municipais necessitam de acesso mais simples e tempestivo às informações produzidas pela Administração. Prefeito, secretários, controladoria, contabilidade e demais unidades autorizadas possuem necessidades distintas de análise, tornando relevante a disponibilização de indicadores que permitam compreender não apenas valores isolados, mas também sua composição, evolução, tendência, comparação e impacto sobre a gestão municipal.</w:t>
      </w:r>
    </w:p>
    <w:p>
      <w:pPr>
        <w:jc w:val="both"/>
        <w:rPr>
          <w:rFonts w:ascii="Arial" w:hAnsi="Arial" w:cs="Arial"/>
          <w:color w:val="000000" w:themeColor="text1"/>
          <w:sz w:val="24"/>
          <w:szCs w:val="24"/>
        </w:rPr>
      </w:pPr>
      <w:r>
        <w:rPr>
          <w:rFonts w:ascii="Arial" w:hAnsi="Arial" w:cs="Arial"/>
          <w:color w:val="000000" w:themeColor="text1"/>
          <w:sz w:val="24"/>
          <w:szCs w:val="24"/>
        </w:rPr>
        <w:t xml:space="preserve">A necessidade identificada alcança ainda o acompanhamento de obrigações administrativas e fiscais, da situação de adimplência perante o CAUC e de processos de prestação de contas perante o TCM-GO, informações que atualmente podem estar distribuídas em diferentes ambientes, dificultando uma visão consolidada das pendências e providências necessárias.</w:t>
      </w:r>
    </w:p>
    <w:p>
      <w:pPr>
        <w:jc w:val="both"/>
        <w:rPr>
          <w:rFonts w:ascii="Arial" w:hAnsi="Arial" w:cs="Arial"/>
          <w:color w:val="000000" w:themeColor="text1"/>
          <w:sz w:val="24"/>
          <w:szCs w:val="24"/>
        </w:rPr>
      </w:pPr>
      <w:r>
        <w:rPr>
          <w:rFonts w:ascii="Arial" w:hAnsi="Arial" w:cs="Arial"/>
          <w:color w:val="000000" w:themeColor="text1"/>
          <w:sz w:val="24"/>
          <w:szCs w:val="24"/>
        </w:rPr>
        <w:t xml:space="preserve">Diante desse diagnóstico, mostra-se necessária uma solução capaz de atuar como camada complementar de inteligência e gestão sobre as informações municipais, integrando painéis gerenciais, acompanhamento de obrigações e mecanismos de importação, integração e rastreabilidade de dados.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solução pretendida não deverá substituir o SIAFIC, sistemas estruturantes, profissionais de contabilidade, controladoria, assessorias técnicas ou agentes públicos competentes. Sua finalidade será organizar, relacionar, analisar e apresentar as informações existentes de forma mais eficiente, aumentando a capacidade de compreensão, prevenção e tomada de decisão da Administração.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Nesse sentido, pretende-se substituir progressivamente um modelo caracterizado por informações fragmentadas e elevada dependência de procedimentos manuais por um ambiente integrado no qual os dados possam ser convertidos em informação gerencial rastreável, atualizada e acessível aos usuários autorizados.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adoção de plataforma disponibilizada como Software as a Service — SaaS mostra-se adequada à necessidade identificada por possibilitar o acesso a solução já desenvolvida e operacional, com infraestrutura tecnológica, manutenção, atualizações, segurança, suporte e evolução incorporados à prestação do serviço, reduzindo a necessidade de estrutura própria para desenvolvimento e sustentação tecnológica.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solução integrada também permite que os diferentes componentes compartilhem a mesma estrutura de dados, usuários, permissões e rastreabilidade, evitando a criação de ambientes isolados e novas fragmentações da informação, com o aplicativo móvel operando sobre a mesma base da plataforma web.</w:t>
      </w:r>
    </w:p>
    <w:p>
      <w:pPr>
        <w:jc w:val="both"/>
        <w:rPr>
          <w:rFonts w:ascii="Arial" w:hAnsi="Arial" w:cs="Arial"/>
          <w:color w:val="000000" w:themeColor="text1"/>
          <w:sz w:val="24"/>
          <w:szCs w:val="24"/>
        </w:rPr>
      </w:pPr>
      <w:r>
        <w:rPr>
          <w:rFonts w:ascii="Arial" w:hAnsi="Arial" w:cs="Arial"/>
          <w:color w:val="000000" w:themeColor="text1"/>
          <w:sz w:val="24"/>
          <w:szCs w:val="24"/>
        </w:rPr>
        <w:t xml:space="preserve">Espera-se, com a contratação, reduzir o intervalo entre a produção do dado e sua utilização na gestão, ampliar a capacidade de acompanhamento preventivo da Administração, reduzir atividades repetitivas de consolidação, melhorar a rastreabilidade das análises e proporcionar aos gestores instrumentos mais adequados para acompanhamento da realidade fiscal, orçamentária e financeira do Município.</w:t>
      </w:r>
    </w:p>
    <w:p>
      <w:pPr>
        <w:jc w:val="both"/>
        <w:rPr>
          <w:rFonts w:ascii="Arial" w:hAnsi="Arial" w:cs="Arial"/>
          <w:color w:val="000000" w:themeColor="text1"/>
          <w:sz w:val="24"/>
          <w:szCs w:val="24"/>
        </w:rPr>
      </w:pPr>
      <w:r>
        <w:rPr>
          <w:rFonts w:ascii="Arial" w:hAnsi="Arial" w:cs="Arial"/>
          <w:color w:val="000000" w:themeColor="text1"/>
          <w:sz w:val="24"/>
          <w:szCs w:val="24"/>
        </w:rPr>
        <w:t xml:space="preserve">Os benefícios pretendidos são de natureza gerencial, operacional e institucional. A solução deverá fornecer instrumentos para que os agentes públicos possam tomar decisões mais bem informadas, porém não deverá ser apresentada como garantia de determinado resultado fiscal, aprovação de contas, classificação em ranking, obtenção de CAPAG específica ou decisão favorável de órgão de controle, uma vez que tais resultados dependem de múltiplos fatores externos à plataforma e das próprias providências adotadas pela Administração.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Dessa forma, a motivação da contratação está fundamentada na necessidade de fortalecer a governança da informação e a inteligência gerencial da Administração Municipal, utilizando tecnologia para ampliar a capacidade de análise, acompanhamento e decisão, preservando a responsabilidade humana e a competência dos sistemas e agentes oficialmente responsáveis pelos registros e atos administrativos.</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3. Descrição da solução como um todo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solução deverá funcionar como ecossistema integrado de leitura contábil e fiscal, análise gerencial, gestão de entregas e acompanhamento de processos. A arquitetura interna poderá ser definida pela contratada, desde que produza os resultados e controles exigidos neste Termo de Referência.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O conjunto mínimo deverá conter os seguintes componentes:</w:t>
      </w:r>
    </w:p>
    <w:tbl>
      <w:tblPr>
        <w:tblStyle w:val="TabeladeGradeClara"/>
        <w:tblW w:w="0" w:type="auto"/>
        <w:tblInd w:w="250" w:type="dxa"/>
        <w:tblLook w:val="04A0" w:firstRow="1" w:lastRow="0" w:firstColumn="1" w:lastColumn="0" w:noHBand="0" w:noVBand="1"/>
      </w:tblPr>
      <w:tblGrid>
        <w:gridCol w:w="1493"/>
        <w:gridCol w:w="7856"/>
      </w:tblGrid>
      <w:tr>
        <w:trPr>
          <w:cantSplit/>
          <w:tblHeader w:val="true"/>
        </w:trPr>
        <w:tc>
          <w:tcPr>
            <w:tcW w:w="1493"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Componente</w:t>
            </w:r>
          </w:p>
        </w:tc>
        <w:tc>
          <w:tcPr>
            <w:tcW w:w="785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Finalidade contratual</w:t>
            </w:r>
          </w:p>
        </w:tc>
      </w:tr>
      <w:tr>
        <w:trPr>
          <w:cantSplit/>
        </w:trPr>
        <w:tc>
          <w:tcPr>
            <w:tcW w:w="149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Plataforma web</w:t>
            </w:r>
          </w:p>
        </w:tc>
        <w:tc>
          <w:tcPr>
            <w:tcW w:w="7856"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Acesso aos painéis, obrigações, CAUC, processos do TCM-GO, alertas e administração de usuários e permissões</w:t>
            </w:r>
          </w:p>
        </w:tc>
      </w:tr>
      <w:tr>
        <w:trPr>
          <w:cantSplit/>
        </w:trPr>
        <w:tc>
          <w:tcPr>
            <w:tcW w:w="149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Aplicativo móvel</w:t>
            </w:r>
          </w:p>
        </w:tc>
        <w:tc>
          <w:tcPr>
            <w:tcW w:w="7856"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Consulta segura e integrada a painéis, alertas, obrigações, CAUC e processos, refletindo a mesma base e as mesmas permissões da plataforma web</w:t>
            </w:r>
          </w:p>
        </w:tc>
      </w:tr>
      <w:tr>
        <w:trPr>
          <w:cantSplit/>
        </w:trPr>
        <w:tc>
          <w:tcPr>
            <w:tcW w:w="149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Base de dados e integrações</w:t>
            </w:r>
          </w:p>
        </w:tc>
        <w:tc>
          <w:tcPr>
            <w:tcW w:w="7856"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Recepção, processamento e rastreabilidade de balancetes, demonstrativos e fontes autorizadas</w:t>
            </w:r>
          </w:p>
        </w:tc>
      </w:tr>
      <w:tr>
        <w:trPr>
          <w:cantSplit/>
        </w:trPr>
        <w:tc>
          <w:tcPr>
            <w:tcW w:w="149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Camada analítica</w:t>
            </w:r>
          </w:p>
        </w:tc>
        <w:tc>
          <w:tcPr>
            <w:tcW w:w="7856"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Dashboards, indicadores, comparações, filtros, séries históricas, relatórios e exportações</w:t>
            </w:r>
          </w:p>
        </w:tc>
      </w:tr>
      <w:tr>
        <w:trPr>
          <w:cantSplit/>
        </w:trPr>
        <w:tc>
          <w:tcPr>
            <w:tcW w:w="149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Gestão de conformidade</w:t>
            </w:r>
          </w:p>
        </w:tc>
        <w:tc>
          <w:tcPr>
            <w:tcW w:w="7856"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Obrigações, prazos, responsáveis, evidências, CAUC, TCM-GO e demais fontes autorizadas</w:t>
            </w:r>
          </w:p>
        </w:tc>
      </w:tr>
      <w:tr>
        <w:trPr>
          <w:cantSplit/>
        </w:trPr>
        <w:tc>
          <w:tcPr>
            <w:tcW w:w="149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Segurança e continuidade</w:t>
            </w:r>
          </w:p>
        </w:tc>
        <w:tc>
          <w:tcPr>
            <w:tcW w:w="7856"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Perfis, permissões, logs, trilhas de auditoria, criptografia, backup, suporte e reversibilidade</w:t>
            </w:r>
          </w:p>
        </w:tc>
      </w:tr>
    </w:tbl>
    <w:p>
      <w:pPr>
        <w:jc w:val="both"/>
        <w:rPr>
          <w:rFonts w:ascii="Arial" w:hAnsi="Arial" w:cs="Arial"/>
          <w:color w:val="000000" w:themeColor="text1"/>
          <w:sz w:val="24"/>
          <w:szCs w:val="24"/>
        </w:rPr>
      </w:pPr>
    </w:p>
    <w:p>
      <w:pPr>
        <w:jc w:val="both"/>
        <w:rPr>
          <w:rFonts w:ascii="Arial" w:hAnsi="Arial" w:cs="Arial"/>
          <w:color w:val="000000" w:themeColor="text1"/>
          <w:sz w:val="24"/>
          <w:szCs w:val="24"/>
        </w:rPr>
      </w:pPr>
      <w:r>
        <w:rPr>
          <w:rFonts w:ascii="Arial" w:hAnsi="Arial" w:cs="Arial"/>
          <w:color w:val="000000" w:themeColor="text1"/>
          <w:sz w:val="24"/>
          <w:szCs w:val="24"/>
        </w:rPr>
        <w:t xml:space="preserve">A solução deverá identificar a origem e a data de atualização das informações. Quando uma informação tiver sido lançada manualmente, deverá ser exibida como tal. Quando houver defasagem na fonte ou falha de integração, o sistema deverá mostrar o status correspondente e não poderá apresentar a informação como atualizada em tempo real.</w:t>
      </w:r>
    </w:p>
    <w:p>
      <w:pPr>
        <w:jc w:val="both"/>
        <w:rPr>
          <w:rFonts w:ascii="Arial" w:hAnsi="Arial" w:cs="Arial"/>
          <w:color w:val="000000" w:themeColor="text1"/>
          <w:sz w:val="24"/>
          <w:szCs w:val="24"/>
        </w:rPr>
      </w:pPr>
      <w:r>
        <w:rPr>
          <w:rFonts w:ascii="Arial" w:hAnsi="Arial" w:cs="Arial"/>
          <w:color w:val="000000" w:themeColor="text1"/>
          <w:sz w:val="24"/>
          <w:szCs w:val="24"/>
        </w:rPr>
        <w:t xml:space="preserve">DCA, RREO, RGF e MSC poderão ser utilizados como fontes de dados para composição de painéis e indicadores, não constituindo o objeto desta contratação a criação de módulo autônomo de validação, conferência ou cruzamento preventivo desses demonstrativos, tarefa que permanece sob responsabilidade da contabilidade, da controladoria e do SIAFIC municipal.</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4. Requisitos gerais da contratação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solução deverá atender aos requisitos funcionais, técnicos, de segurança, desempenho e governança descritos nesta seção. Os requisitos foram numerados individualmente para permitir a elaboração de </w:t>
      </w:r>
      <w:r>
        <w:rPr>
          <w:rFonts w:ascii="Arial" w:hAnsi="Arial" w:cs="Arial"/>
          <w:b/>
          <w:color w:val="000000" w:themeColor="text1"/>
          <w:sz w:val="24"/>
          <w:szCs w:val="24"/>
        </w:rPr>
        <w:t xml:space="preserve">matriz de conformidade</w:t>
      </w:r>
      <w:r>
        <w:rPr>
          <w:rFonts w:ascii="Arial" w:hAnsi="Arial" w:cs="Arial"/>
          <w:color w:val="000000" w:themeColor="text1"/>
          <w:sz w:val="24"/>
          <w:szCs w:val="24"/>
        </w:rPr>
        <w:t xml:space="preserve">, na qual a licitante deverá declarar, item a item, o atendimento pleno, o atendimento parcial — com descrição objetiva da limitação — ou o não atendimento. Salvo indicação expressa em contrário, todos os requisitos são obrigatórios.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comprovação do atendimento ocorrerá por declaração técnica, documentação, demonstração na Prova de Conceito, testes de aceite, relatórios de operação ou combinação desses meios, conforme o requisito e o edital. A declaração da licitante não substitui a comprovação quando o requisito for definido como essencial ou eliminatório.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5. Requisitos da plataforma</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5.1. Requisitos gerais da plataforma</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5.1.1. Modelo de fornecimento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5.1.1.1.</w:t>
      </w:r>
      <w:r>
        <w:rPr>
          <w:rFonts w:ascii="Arial" w:hAnsi="Arial" w:cs="Arial"/>
          <w:color w:val="000000" w:themeColor="text1"/>
          <w:sz w:val="24"/>
          <w:szCs w:val="24"/>
        </w:rPr>
        <w:t xml:space="preserve"> A solução deverá ser disponibilizada na modalidade </w:t>
      </w:r>
      <w:r>
        <w:rPr>
          <w:rFonts w:ascii="Arial" w:hAnsi="Arial" w:cs="Arial"/>
          <w:b/>
          <w:color w:val="000000" w:themeColor="text1"/>
          <w:sz w:val="24"/>
          <w:szCs w:val="24"/>
        </w:rPr>
        <w:t xml:space="preserve">SaaS — Software as a Service</w:t>
      </w:r>
      <w:r>
        <w:rPr>
          <w:rFonts w:ascii="Arial" w:hAnsi="Arial" w:cs="Arial"/>
          <w:color w:val="000000" w:themeColor="text1"/>
          <w:sz w:val="24"/>
          <w:szCs w:val="24"/>
        </w:rPr>
        <w:t xml:space="preserve">, hospedada em infraestrutura de nuvem sob responsabilidade da contratada, sem necessidade de instalação de servidores, bancos de dados ou componentes permanentes nas dependências da Administração.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5.1.1.2.</w:t>
      </w:r>
      <w:r>
        <w:rPr>
          <w:rFonts w:ascii="Arial" w:hAnsi="Arial" w:cs="Arial"/>
          <w:color w:val="000000" w:themeColor="text1"/>
          <w:sz w:val="24"/>
          <w:szCs w:val="24"/>
        </w:rPr>
        <w:t xml:space="preserve"> O acesso à plataforma web deverá ocorrer por navegadores atualizados, abrangendo, no mínimo, as duas últimas versões estáveis dos navegadores Google Chrome, Microsoft Edge e Mozilla Firefox, sem exigência de plugins, applets ou extensões adicionais para as funções ordinárias.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5.1.1.3.</w:t>
      </w:r>
      <w:r>
        <w:rPr>
          <w:rFonts w:ascii="Arial" w:hAnsi="Arial" w:cs="Arial"/>
          <w:color w:val="000000" w:themeColor="text1"/>
          <w:sz w:val="24"/>
          <w:szCs w:val="24"/>
        </w:rPr>
        <w:t xml:space="preserve"> A interface deverá ser responsiva e adaptar-se a desktop, notebook e tablet, sem prejuízo do aplicativo móvel previsto na seção 5.4.</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5.1.1.4.</w:t>
      </w:r>
      <w:r>
        <w:rPr>
          <w:rFonts w:ascii="Arial" w:hAnsi="Arial" w:cs="Arial"/>
          <w:color w:val="000000" w:themeColor="text1"/>
          <w:sz w:val="24"/>
          <w:szCs w:val="24"/>
        </w:rPr>
        <w:t xml:space="preserve"> O fornecimento deverá incluir, sem cobrança adicional fora do preço contratado, suporte técnico, manutenção corretiva, manutenção evolutiva e adaptativa, atualizações de versão, correções de segurança e atualizações decorrentes de alteração de legislação, manuais, layouts e regras públicas aplicáveis ao objeto.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5.1.2. Controle de acesso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5.1.2.1.</w:t>
      </w:r>
      <w:r>
        <w:rPr>
          <w:rFonts w:ascii="Arial" w:hAnsi="Arial" w:cs="Arial"/>
          <w:color w:val="000000" w:themeColor="text1"/>
          <w:sz w:val="24"/>
          <w:szCs w:val="24"/>
        </w:rPr>
        <w:t xml:space="preserve"> O controle de acesso deverá utilizar perfis e permissões configuráveis por módulo, tela, operação e escopo.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5.1.2.2.</w:t>
      </w:r>
      <w:r>
        <w:rPr>
          <w:rFonts w:ascii="Arial" w:hAnsi="Arial" w:cs="Arial"/>
          <w:color w:val="000000" w:themeColor="text1"/>
          <w:sz w:val="24"/>
          <w:szCs w:val="24"/>
        </w:rPr>
        <w:t xml:space="preserve"> Todo novo módulo, tela ou relatório incorporado à plataforma deverá estar integrado ao sistema de permissões, sendo vedada a existência de funcionalidade fora do controle de perfis.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5.1.2.3.</w:t>
      </w:r>
      <w:r>
        <w:rPr>
          <w:rFonts w:ascii="Arial" w:hAnsi="Arial" w:cs="Arial"/>
          <w:color w:val="000000" w:themeColor="text1"/>
          <w:sz w:val="24"/>
          <w:szCs w:val="24"/>
        </w:rPr>
        <w:t xml:space="preserve"> Cada usuário deverá possuir credencial individual e intransferível, sendo vedado o uso de contas compartilhadas ou genéricas.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5.1.2.4.</w:t>
      </w:r>
      <w:r>
        <w:rPr>
          <w:rFonts w:ascii="Arial" w:hAnsi="Arial" w:cs="Arial"/>
          <w:color w:val="000000" w:themeColor="text1"/>
          <w:sz w:val="24"/>
          <w:szCs w:val="24"/>
        </w:rPr>
        <w:t xml:space="preserve"> A plataforma deverá registrar criação, alteração, bloqueio, revogação e último acesso dos usuários, bem como as ações administrativas relevantes.</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5.1.3. Parametrização e contexto de consulta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5.1.3.1.</w:t>
      </w:r>
      <w:r>
        <w:rPr>
          <w:rFonts w:ascii="Arial" w:hAnsi="Arial" w:cs="Arial"/>
          <w:color w:val="000000" w:themeColor="text1"/>
          <w:sz w:val="24"/>
          <w:szCs w:val="24"/>
        </w:rPr>
        <w:t xml:space="preserve"> A plataforma deverá permitir configurar ou selecionar, conforme o módulo, exercício financeiro, órgão, unidade orçamentária ou gestora, fonte de recurso, período de referência e perfil do usuário.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5.1.3.2.</w:t>
      </w:r>
      <w:r>
        <w:rPr>
          <w:rFonts w:ascii="Arial" w:hAnsi="Arial" w:cs="Arial"/>
          <w:color w:val="000000" w:themeColor="text1"/>
          <w:sz w:val="24"/>
          <w:szCs w:val="24"/>
        </w:rPr>
        <w:t xml:space="preserve"> O sistema deverá suportar períodos mensal, bimestral, quadrimestral, semestral e anual quando compatíveis com o demonstrativo ou com a base de dados consultada.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5.1.3.3.</w:t>
      </w:r>
      <w:r>
        <w:rPr>
          <w:rFonts w:ascii="Arial" w:hAnsi="Arial" w:cs="Arial"/>
          <w:color w:val="000000" w:themeColor="text1"/>
          <w:sz w:val="24"/>
          <w:szCs w:val="24"/>
        </w:rPr>
        <w:t xml:space="preserve"> Para cada base carregada — balancetes, demonstrativos, cadastros e integrações — a plataforma deverá registrar e exibir data e hora da última atualização, método de obtenção e status do processamento.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5.1.4. Transparência sobre a origem da informação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5.1.4.1.</w:t>
      </w:r>
      <w:r>
        <w:rPr>
          <w:rFonts w:ascii="Arial" w:hAnsi="Arial" w:cs="Arial"/>
          <w:color w:val="000000" w:themeColor="text1"/>
          <w:sz w:val="24"/>
          <w:szCs w:val="24"/>
        </w:rPr>
        <w:t xml:space="preserve"> A plataforma deverá distinguir, em linguagem clara, se a informação exibida foi: importada de arquivo fornecido pela Administração; calculada pela plataforma; sincronizada ou atualizada por integração com fonte externa; informada manualmente por usuário identificado; ou marcada como pendente de atualização.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5.1.4.2.</w:t>
      </w:r>
      <w:r>
        <w:rPr>
          <w:rFonts w:ascii="Arial" w:hAnsi="Arial" w:cs="Arial"/>
          <w:color w:val="000000" w:themeColor="text1"/>
          <w:sz w:val="24"/>
          <w:szCs w:val="24"/>
        </w:rPr>
        <w:t xml:space="preserve"> Sempre que exibir valor calculado, a plataforma deverá disponibilizar memória de cálculo ou, no mínimo, fórmula, premissas, período, bases utilizadas e dados de origem.</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5.1.4.3.</w:t>
      </w:r>
      <w:r>
        <w:rPr>
          <w:rFonts w:ascii="Arial" w:hAnsi="Arial" w:cs="Arial"/>
          <w:color w:val="000000" w:themeColor="text1"/>
          <w:sz w:val="24"/>
          <w:szCs w:val="24"/>
        </w:rPr>
        <w:t xml:space="preserve"> A informação obtida por fonte externa deverá indicar a data da consulta ou sincronização. A plataforma não poderá apresentar como informação em tempo real dado cuja fonte esteja indisponível, desatualizada ou sujeita a defasagem, especialmente no caso do CAUC.</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5.1.5. Recursos padrão dos painéis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5.1.5.1.</w:t>
      </w:r>
      <w:r>
        <w:rPr>
          <w:rFonts w:ascii="Arial" w:hAnsi="Arial" w:cs="Arial"/>
          <w:color w:val="000000" w:themeColor="text1"/>
          <w:sz w:val="24"/>
          <w:szCs w:val="24"/>
        </w:rPr>
        <w:t xml:space="preserve"> Todos os painéis analíticos deverão oferecer, conforme pertinência do conteúdo, filtros por exercício, período, órgão, unidade, fonte de recurso e demais dimensões; comparação entre exercícios; séries históricas; evolução temporal; variação absoluta e percentual; exportação de relatórios em PDF; impressão adequada; e identificação da fonte e da data/hora da extração ou processamento.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5.1.5.2.</w:t>
      </w:r>
      <w:r>
        <w:rPr>
          <w:rFonts w:ascii="Arial" w:hAnsi="Arial" w:cs="Arial"/>
          <w:color w:val="000000" w:themeColor="text1"/>
          <w:sz w:val="24"/>
          <w:szCs w:val="24"/>
        </w:rPr>
        <w:t xml:space="preserve"> Os painéis deverão permitir detalhamento progressivo — drill-down — partindo do valor consolidado até o registro analítico de origem, sempre que a granularidade dos dados importados permitir.</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5.1.5.3.</w:t>
      </w:r>
      <w:r>
        <w:rPr>
          <w:rFonts w:ascii="Arial" w:hAnsi="Arial" w:cs="Arial"/>
          <w:color w:val="000000" w:themeColor="text1"/>
          <w:sz w:val="24"/>
          <w:szCs w:val="24"/>
        </w:rPr>
        <w:t xml:space="preserve"> Tabelas com grande volume deverão possuir paginação, ordenação e processamento compatíveis com bases extensas, sem exigir o carregamento integral de todos os registros no dispositivo do usuário.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5.1.5.4.</w:t>
      </w:r>
      <w:r>
        <w:rPr>
          <w:rFonts w:ascii="Arial" w:hAnsi="Arial" w:cs="Arial"/>
          <w:color w:val="000000" w:themeColor="text1"/>
          <w:sz w:val="24"/>
          <w:szCs w:val="24"/>
        </w:rPr>
        <w:t xml:space="preserve"> As exportações deverão respeitar as permissões do usuário e conservar, no próprio arquivo ou em metadados associados, a fonte, o período, a data-base e o usuário que realizou a operação.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5.2. Módulo de painéis analíticos executivos</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5.2.1. Escopo mínimo de visões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5.2.1.1.</w:t>
      </w:r>
      <w:r>
        <w:rPr>
          <w:rFonts w:ascii="Arial" w:hAnsi="Arial" w:cs="Arial"/>
          <w:color w:val="000000" w:themeColor="text1"/>
          <w:sz w:val="24"/>
          <w:szCs w:val="24"/>
        </w:rPr>
        <w:t xml:space="preserve"> O módulo deverá contemplar, no mínimo, os grupos de painéis a seguir:</w:t>
      </w:r>
    </w:p>
    <w:tbl>
      <w:tblPr>
        <w:tblStyle w:val="TabeladeGradeClara"/>
        <w:tblW w:w="0" w:type="auto"/>
        <w:tblInd w:w="250" w:type="dxa"/>
        <w:tblLook w:val="04A0" w:firstRow="1" w:lastRow="0" w:firstColumn="1" w:lastColumn="0" w:noHBand="0" w:noVBand="1"/>
      </w:tblPr>
      <w:tblGrid>
        <w:gridCol w:w="1426"/>
        <w:gridCol w:w="7923"/>
      </w:tblGrid>
      <w:tr>
        <w:trPr>
          <w:cantSplit/>
          <w:tblHeader w:val="true"/>
        </w:trP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Grupo</w:t>
            </w:r>
          </w:p>
        </w:tc>
        <w:tc>
          <w:tcPr>
            <w:tcW w:w="7923"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Conteúdo mínimo esperado</w:t>
            </w:r>
          </w:p>
        </w:tc>
      </w:tr>
      <w:tr>
        <w:trPr>
          <w:cantSplit/>
        </w:trP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Receita</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Visão geral de receita prevista e arrecadada; receitas próprias tributárias e demais; transferências correntes, com destaque para FPM, ICMS, IPVA, FUNDEB e demais repasses relevantes; análise por fonte; receitas vinculadas à educação e à saúde; RCL com memória de apuração; e consulta detalhada até o nível de desdobramento disponível.</w:t>
            </w:r>
          </w:p>
        </w:tc>
      </w:tr>
      <w:tr>
        <w:trPr>
          <w:cantSplit/>
        </w:trP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Despesa</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Análises por GND, órgão, unidade, função, subfunção, programa, elemento, subelemento, fonte e credor/fornecedor; estágios empenhado, liquidado e pago; saldos a liquidar e a pagar; e detalhamento por empenho quando a base permitir.</w:t>
            </w:r>
          </w:p>
        </w:tc>
      </w:tr>
      <w:tr>
        <w:trPr>
          <w:cantSplit/>
        </w:trP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Despesas críticas</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Painéis de combustíveis, diárias, obras e serviços de engenharia, folha de pagamento e encargos sociais; rankings de fornecedores ou empenhos; e séries comparativas, quando houver base suficiente.</w:t>
            </w:r>
          </w:p>
        </w:tc>
      </w:tr>
      <w:tr>
        <w:trPr>
          <w:cantSplit/>
        </w:trP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Caixa e patrimônio</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Disponibilidades financeiras; saldos bancários por conta e fonte; disponibilidade líquida; retenções e consignações; dívida consolidada e líquida; restos a pagar processados e não processados por exercício de inscrição.</w:t>
            </w:r>
          </w:p>
        </w:tc>
      </w:tr>
      <w:tr>
        <w:trPr>
          <w:cantSplit/>
        </w:trP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Relações institucionais</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Duodécimo repassado ao Poder Legislativo, com indicação do parâmetro constitucional aplicável; transferências financeiras concedidas e recebidas; obrigações previdenciárias INSS/RPPS, quando a base permitir; e demais indicadores institucionais disponíveis.</w:t>
            </w:r>
          </w:p>
        </w:tc>
      </w:tr>
      <w:tr>
        <w:trPr>
          <w:cantSplit/>
        </w:trP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Indicadores legais</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Despesa com pessoal/LRF sobre a RCL, por Poder/órgão, com limites de alerta, prudencial e máximo; aplicação em ASPS (Saúde); aplicação em MDE e FUNDEB (Educação); e demais indicadores definidos neste TR conforme a fonte e a legislação vigente, apurados a partir de DCA, RREO, RGF e MSC como fontes de dados.</w:t>
            </w:r>
          </w:p>
        </w:tc>
      </w:tr>
      <w:tr>
        <w:trPr>
          <w:cantSplit/>
        </w:trP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Apresentação</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Visões sintéticas para reuniões gerenciais, audiências públicas e conselhos de Saúde, Educação e FUNDEB, sem eliminar a consulta detalhada autorizada.</w:t>
            </w:r>
          </w:p>
        </w:tc>
      </w:tr>
    </w:tbl>
    <w:p>
      <w:pPr>
        <w:jc w:val="both"/>
        <w:rPr>
          <w:rFonts w:ascii="Arial" w:hAnsi="Arial" w:cs="Arial"/>
          <w:color w:val="000000" w:themeColor="text1"/>
          <w:sz w:val="24"/>
          <w:szCs w:val="24"/>
        </w:rPr>
      </w:pPr>
    </w:p>
    <w:p>
      <w:pPr>
        <w:jc w:val="both"/>
        <w:rPr>
          <w:rFonts w:ascii="Arial" w:hAnsi="Arial" w:cs="Arial"/>
          <w:color w:val="000000" w:themeColor="text1"/>
          <w:sz w:val="24"/>
          <w:szCs w:val="24"/>
        </w:rPr>
      </w:pPr>
      <w:r>
        <w:rPr>
          <w:rFonts w:ascii="Arial" w:hAnsi="Arial" w:cs="Arial"/>
          <w:b/>
          <w:color w:val="000000" w:themeColor="text1"/>
          <w:sz w:val="24"/>
          <w:szCs w:val="24"/>
        </w:rPr>
        <w:t xml:space="preserve">5.2.1.2.</w:t>
      </w:r>
      <w:r>
        <w:rPr>
          <w:rFonts w:ascii="Arial" w:hAnsi="Arial" w:cs="Arial"/>
          <w:color w:val="000000" w:themeColor="text1"/>
          <w:sz w:val="24"/>
          <w:szCs w:val="24"/>
        </w:rPr>
        <w:t xml:space="preserve"> Os grupos constituem conteúdo mínimo. Painéis adicionais poderão ser ofertados, desde que respeitem os requisitos de origem, memória de cálculo, permissões, exportação e rastreabilidade.</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5.2.1.3.</w:t>
      </w:r>
      <w:r>
        <w:rPr>
          <w:rFonts w:ascii="Arial" w:hAnsi="Arial" w:cs="Arial"/>
          <w:color w:val="000000" w:themeColor="text1"/>
          <w:sz w:val="24"/>
          <w:szCs w:val="24"/>
        </w:rPr>
        <w:t xml:space="preserve"> Além dos grupos previstos no subitem 5.2.1.1, o módulo deverá disponibilizar, no mínimo, as seguintes visões, com memória de cálculo, premissas, período de referência e identificação da origem dos dados: resultado orçamentário geral e por fonte de recurso; projeção gerencial do resultado orçamentário, identificada como estimativa e acompanhada das premissas adotadas; controle das alterações orçamentárias, abrangendo créditos adicionais, anulações, suplementações, remanejamentos, transposições e transferências, com saldo autorizado e execução correspondente; relação entre a Dívida Consolidada e a Receita Corrente Líquida — DC/RCL; disponibilidade de caixa líquida por fonte; controle de retenções e consignações; transferências financeiras concedidas e recebidas; e repasse do duodécimo ao Poder Legislativo, sempre que os dados importados permitirem a apuração.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5.2.2. Comportamento analítico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5.2.2.1.</w:t>
      </w:r>
      <w:r>
        <w:rPr>
          <w:rFonts w:ascii="Arial" w:hAnsi="Arial" w:cs="Arial"/>
          <w:color w:val="000000" w:themeColor="text1"/>
          <w:sz w:val="24"/>
          <w:szCs w:val="24"/>
        </w:rPr>
        <w:t xml:space="preserve"> Os painéis deverão apresentar indicadores (KPIs) em destaque, gráficos de evolução e composição, tabelas detalhadas, ordenação por coluna e paginação quando o volume de registros exigir.</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5.2.2.2.</w:t>
      </w:r>
      <w:r>
        <w:rPr>
          <w:rFonts w:ascii="Arial" w:hAnsi="Arial" w:cs="Arial"/>
          <w:color w:val="000000" w:themeColor="text1"/>
          <w:sz w:val="24"/>
          <w:szCs w:val="24"/>
        </w:rPr>
        <w:t xml:space="preserve"> O usuário deverá conseguir comparar exercícios e períodos, identificar variações relevantes e acessar o detalhamento que compõe o resultado, sem que o painel oculte registros excluídos, pendentes ou rejeitados no processamento.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5.2.3. Transparência metodológica dos indicadores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5.2.3.1.</w:t>
      </w:r>
      <w:r>
        <w:rPr>
          <w:rFonts w:ascii="Arial" w:hAnsi="Arial" w:cs="Arial"/>
          <w:color w:val="000000" w:themeColor="text1"/>
          <w:sz w:val="24"/>
          <w:szCs w:val="24"/>
        </w:rPr>
        <w:t xml:space="preserve"> Para cada indicador legal ou gerencial, a plataforma deverá informar fórmula, premissas, bases de incidência, deduções, exclusões, origem, período de referência e fundamentação normativa quando aplicável.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5.2.3.2.</w:t>
      </w:r>
      <w:r>
        <w:rPr>
          <w:rFonts w:ascii="Arial" w:hAnsi="Arial" w:cs="Arial"/>
          <w:color w:val="000000" w:themeColor="text1"/>
          <w:sz w:val="24"/>
          <w:szCs w:val="24"/>
        </w:rPr>
        <w:t xml:space="preserve"> Quando o indicador depender de classificação, vinculação ou tratamento que não possa ser confirmado automaticamente, como marcação de despesa ASPS/MDE ou vinculação de fonte, o painel deverá apresentar ressalva explícita e permitir consulta aos dados de origem.</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5.3. Módulo de entregas, obrigações e conformidade</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5.3.1. Agenda de obrigações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5.3.1.1.</w:t>
      </w:r>
      <w:r>
        <w:rPr>
          <w:rFonts w:ascii="Arial" w:hAnsi="Arial" w:cs="Arial"/>
          <w:color w:val="000000" w:themeColor="text1"/>
          <w:sz w:val="24"/>
          <w:szCs w:val="24"/>
        </w:rPr>
        <w:t xml:space="preserve"> O módulo deverá permitir cadastrar obrigação, órgão destinatário, periodicidade, fundamentação, prazo, responsável, status, alertas, notificações e evidências de cumprimento, incluindo protocolos e recibos.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5.3.1.2.</w:t>
      </w:r>
      <w:r>
        <w:rPr>
          <w:rFonts w:ascii="Arial" w:hAnsi="Arial" w:cs="Arial"/>
          <w:color w:val="000000" w:themeColor="text1"/>
          <w:sz w:val="24"/>
          <w:szCs w:val="24"/>
        </w:rPr>
        <w:t xml:space="preserve"> Deverá contemplar, conforme disponibilidade, autorização e estabilidade técnica das fontes, o acompanhamento de obrigações perante órgãos externos quando tecnicamente possível.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5.3.1.3.</w:t>
      </w:r>
      <w:r>
        <w:rPr>
          <w:rFonts w:ascii="Arial" w:hAnsi="Arial" w:cs="Arial"/>
          <w:color w:val="000000" w:themeColor="text1"/>
          <w:sz w:val="24"/>
          <w:szCs w:val="24"/>
        </w:rPr>
        <w:t xml:space="preserve"> O status deverá diferenciar, no mínimo, pendente, em andamento, entregue, entregue com atraso, dispensada, rejeitada, aguardando documento e aguardando validação.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5.3.2. CAUC — Sistema de Informações sobre Requisitos Fiscais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5.3.2.1.</w:t>
      </w:r>
      <w:r>
        <w:rPr>
          <w:rFonts w:ascii="Arial" w:hAnsi="Arial" w:cs="Arial"/>
          <w:color w:val="000000" w:themeColor="text1"/>
          <w:sz w:val="24"/>
          <w:szCs w:val="24"/>
        </w:rPr>
        <w:t xml:space="preserve"> Quando houver acesso à fonte, a plataforma deverá exibir a situação de adimplência do Município, pendências identificadas, grupos de conformidade, histórico de consultas e data da última consulta.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5.3.2.2.</w:t>
      </w:r>
      <w:r>
        <w:rPr>
          <w:rFonts w:ascii="Arial" w:hAnsi="Arial" w:cs="Arial"/>
          <w:color w:val="000000" w:themeColor="text1"/>
          <w:sz w:val="24"/>
          <w:szCs w:val="24"/>
        </w:rPr>
        <w:t xml:space="preserve"> A plataforma deverá indicar expressamente eventual indisponibilidade ou defasagem da fonte oficial, de modo a não apresentar informação desatualizada como se fosse consulta em tempo real, e não poderá garantir regularidade, desbloqueio de transferência ou ausência de restrição sem confirmação oficial.</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5.3.3. Acompanhamento de processos do TCM-GO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5.3.3.1.</w:t>
      </w:r>
      <w:r>
        <w:rPr>
          <w:rFonts w:ascii="Arial" w:hAnsi="Arial" w:cs="Arial"/>
          <w:color w:val="000000" w:themeColor="text1"/>
          <w:sz w:val="24"/>
          <w:szCs w:val="24"/>
        </w:rPr>
        <w:t xml:space="preserve"> O módulo deverá permitir cadastro ou importação de número de processo, órgão, exercício, unidade responsável, assunto, fase, situação, prazos, diligências, julgamento ou decisão, documentos vinculados e providências pendentes, com os respectivos alertas.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5.3.3.2.</w:t>
      </w:r>
      <w:r>
        <w:rPr>
          <w:rFonts w:ascii="Arial" w:hAnsi="Arial" w:cs="Arial"/>
          <w:color w:val="000000" w:themeColor="text1"/>
          <w:sz w:val="24"/>
          <w:szCs w:val="24"/>
        </w:rPr>
        <w:t xml:space="preserve"> O sistema deverá diferenciar informação publicada pela fonte oficial; importada de arquivo ou integração; lançada manualmente por usuário identificado; e aguardando atualização.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5.3.3.3.</w:t>
      </w:r>
      <w:r>
        <w:rPr>
          <w:rFonts w:ascii="Arial" w:hAnsi="Arial" w:cs="Arial"/>
          <w:color w:val="000000" w:themeColor="text1"/>
          <w:sz w:val="24"/>
          <w:szCs w:val="24"/>
        </w:rPr>
        <w:t xml:space="preserve"> Deverá permitir consulta consolidada por exercício, órgão, fase e existência de providência pendente, com alertas de prazos de diligência.</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5.4. Aplicativo móvel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5.4.1.</w:t>
      </w:r>
      <w:r>
        <w:rPr>
          <w:rFonts w:ascii="Arial" w:hAnsi="Arial" w:cs="Arial"/>
          <w:color w:val="000000" w:themeColor="text1"/>
          <w:sz w:val="24"/>
          <w:szCs w:val="24"/>
        </w:rPr>
        <w:t xml:space="preserve"> A contratada deverá disponibilizar aplicativo móvel integrado à mesma base da plataforma web, sem replicação manual, refletindo os mesmos dados, cálculos, permissões e atualizações, com as adaptações próprias do dispositivo. O aplicativo e o sistema web constituem uma única solução SaaS, e não sistemas independentes.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5.4.2.</w:t>
      </w:r>
      <w:r>
        <w:rPr>
          <w:rFonts w:ascii="Arial" w:hAnsi="Arial" w:cs="Arial"/>
          <w:color w:val="000000" w:themeColor="text1"/>
          <w:sz w:val="24"/>
          <w:szCs w:val="24"/>
        </w:rPr>
        <w:t xml:space="preserve"> O aplicativo deverá utilizar autenticação segura e o mesmo controle de perfis da plataforma web. O usuário somente visualizará módulos e informações autorizados ao seu perfil.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5.4.3.</w:t>
      </w:r>
      <w:r>
        <w:rPr>
          <w:rFonts w:ascii="Arial" w:hAnsi="Arial" w:cs="Arial"/>
          <w:color w:val="000000" w:themeColor="text1"/>
          <w:sz w:val="24"/>
          <w:szCs w:val="24"/>
        </w:rPr>
        <w:t xml:space="preserve"> O aplicativo deverá permitir, conforme o perfil do usuário, consulta a dashboard, painéis de receita e despesa, caixa e disponibilidades, indicadores legais, obrigações, CAUC, processos do TCM-GO e alertas, observadas as limitações próprias de dispositivos móveis.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5.4.4.</w:t>
      </w:r>
      <w:r>
        <w:rPr>
          <w:rFonts w:ascii="Arial" w:hAnsi="Arial" w:cs="Arial"/>
          <w:color w:val="000000" w:themeColor="text1"/>
          <w:sz w:val="24"/>
          <w:szCs w:val="24"/>
        </w:rPr>
        <w:t xml:space="preserve"> O aplicativo deverá estar disponível para Android e iOS, por loja oficial ou distribuição corporativa aceita pela Administração, sendo responsabilidade da contratada publicar, atualizar, manter e informar a versão.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5.5. Integrações, importação e rastreabilidade</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5.5.1. Formatos e fontes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5.5.1.1.</w:t>
      </w:r>
      <w:r>
        <w:rPr>
          <w:rFonts w:ascii="Arial" w:hAnsi="Arial" w:cs="Arial"/>
          <w:color w:val="000000" w:themeColor="text1"/>
          <w:sz w:val="24"/>
          <w:szCs w:val="24"/>
        </w:rPr>
        <w:t xml:space="preserve"> A solução deverá aceitar balancetes e demais arquivos disponibilizados pela Administração, em formatos e layouts compatíveis com o SIAFIC municipal e com os padrões utilizados pelo TCM-GO.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5.5.1.2.</w:t>
      </w:r>
      <w:r>
        <w:rPr>
          <w:rFonts w:ascii="Arial" w:hAnsi="Arial" w:cs="Arial"/>
          <w:color w:val="000000" w:themeColor="text1"/>
          <w:sz w:val="24"/>
          <w:szCs w:val="24"/>
        </w:rPr>
        <w:t xml:space="preserve"> Integrações via API com sistemas oficiais somente serão exigidas quando houver interface oficial, autorização, estabilidade e disponibilidade técnica. A proposta deverá declarar as dependências e os fluxos alternativos quando a API estiver indisponível.</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5.5.2. Registro de cada importação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5.5.2.1.</w:t>
      </w:r>
      <w:r>
        <w:rPr>
          <w:rFonts w:ascii="Arial" w:hAnsi="Arial" w:cs="Arial"/>
          <w:color w:val="000000" w:themeColor="text1"/>
          <w:sz w:val="24"/>
          <w:szCs w:val="24"/>
        </w:rPr>
        <w:t xml:space="preserve"> Cada importação ou sincronização deverá registrar e exibir arquivos, linhas ou registros processados; aceitos; rejeitados; ignorados; pendentes; mensagens de erro; data/hora; usuário ou processo automático; origem; e versão do layout ou processamento.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5.5.2.2.</w:t>
      </w:r>
      <w:r>
        <w:rPr>
          <w:rFonts w:ascii="Arial" w:hAnsi="Arial" w:cs="Arial"/>
          <w:color w:val="000000" w:themeColor="text1"/>
          <w:sz w:val="24"/>
          <w:szCs w:val="24"/>
        </w:rPr>
        <w:t xml:space="preserve"> Reimportações de períodos já carregados deverão exigir confirmação explícita antes de substituir dados existentes, sendo vedada duplicação silenciosa ou substituição sem confirmação.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5.5.3. Rastreabilidade e auditoria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5.5.3.1.</w:t>
      </w:r>
      <w:r>
        <w:rPr>
          <w:rFonts w:ascii="Arial" w:hAnsi="Arial" w:cs="Arial"/>
          <w:color w:val="000000" w:themeColor="text1"/>
          <w:sz w:val="24"/>
          <w:szCs w:val="24"/>
        </w:rPr>
        <w:t xml:space="preserve"> A plataforma deverá manter vínculo entre qualquer informação exibida e o lote de dados que a originou, permitindo identificar arquivo ou fonte, data, usuário e versão.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5.5.3.2.</w:t>
      </w:r>
      <w:r>
        <w:rPr>
          <w:rFonts w:ascii="Arial" w:hAnsi="Arial" w:cs="Arial"/>
          <w:color w:val="000000" w:themeColor="text1"/>
          <w:sz w:val="24"/>
          <w:szCs w:val="24"/>
        </w:rPr>
        <w:t xml:space="preserve"> Deverá ser possível reprocessar lotes de forma controlada, sem perda do histórico anterior, registrando quem executou, quando e qual versão do processamento foi aplicada.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5.5.3.3.</w:t>
      </w:r>
      <w:r>
        <w:rPr>
          <w:rFonts w:ascii="Arial" w:hAnsi="Arial" w:cs="Arial"/>
          <w:color w:val="000000" w:themeColor="text1"/>
          <w:sz w:val="24"/>
          <w:szCs w:val="24"/>
        </w:rPr>
        <w:t xml:space="preserve"> Os registros de importação e processamento deverão ser mantidos, no mínimo, durante a vigência contratual, sem prejuízo de prazo maior definido na política de retenção ou em obrigação legal.</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5.6. Segurança, privacidade e continuidade</w:t>
      </w:r>
    </w:p>
    <w:p>
      <w:pPr>
        <w:jc w:val="both"/>
        <w:rPr>
          <w:rFonts w:ascii="Arial" w:hAnsi="Arial" w:cs="Arial"/>
          <w:color w:val="000000" w:themeColor="text1"/>
          <w:sz w:val="24"/>
          <w:szCs w:val="24"/>
        </w:rPr>
      </w:pPr>
      <w:r>
        <w:rPr>
          <w:rFonts w:ascii="Arial" w:hAnsi="Arial" w:cs="Arial"/>
          <w:color w:val="000000" w:themeColor="text1"/>
          <w:sz w:val="24"/>
          <w:szCs w:val="24"/>
        </w:rPr>
        <w:t xml:space="preserve">Os requisitos a seguir não constituem módulo comercial autônomo, mas condição transversal aplicável a toda a plataforma, web e móvel.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5.6.1.</w:t>
      </w:r>
      <w:r>
        <w:rPr>
          <w:rFonts w:ascii="Arial" w:hAnsi="Arial" w:cs="Arial"/>
          <w:color w:val="000000" w:themeColor="text1"/>
          <w:sz w:val="24"/>
          <w:szCs w:val="24"/>
        </w:rPr>
        <w:t xml:space="preserve"> Todas as comunicações externas entre usuários, aplicações, APIs e serviços disponibilizados pela solução deverão suportar conexão segura por HTTPS.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5.6.2.</w:t>
      </w:r>
      <w:r>
        <w:rPr>
          <w:rFonts w:ascii="Arial" w:hAnsi="Arial" w:cs="Arial"/>
          <w:color w:val="000000" w:themeColor="text1"/>
          <w:sz w:val="24"/>
          <w:szCs w:val="24"/>
        </w:rPr>
        <w:t xml:space="preserve"> O tratamento de dados deverá observar a Lei Geral de Proteção de Dados (LGPD), com finalidade limitada à execução do objeto, controles de acesso, minimização, segurança e responsabilização.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5.6.3.</w:t>
      </w:r>
      <w:r>
        <w:rPr>
          <w:rFonts w:ascii="Arial" w:hAnsi="Arial" w:cs="Arial"/>
          <w:color w:val="000000" w:themeColor="text1"/>
          <w:sz w:val="24"/>
          <w:szCs w:val="24"/>
        </w:rPr>
        <w:t xml:space="preserve"> A contratada deverá atuar como operadora dos dados sob controle da Administração, ressalvadas as hipóteses em que o contrato estabeleça distribuição distinta de papéis, responsabilidades e bases legais.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5.6.4.</w:t>
      </w:r>
      <w:r>
        <w:rPr>
          <w:rFonts w:ascii="Arial" w:hAnsi="Arial" w:cs="Arial"/>
          <w:color w:val="000000" w:themeColor="text1"/>
          <w:sz w:val="24"/>
          <w:szCs w:val="24"/>
        </w:rPr>
        <w:t xml:space="preserve"> É vedado utilizar dados do Município para finalidade diversa da execução do objeto, inclusive compartilhamento, comercialização ou criação de produto de terceiros, sem autorização expressa e base jurídica adequada.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5.6.5.</w:t>
      </w:r>
      <w:r>
        <w:rPr>
          <w:rFonts w:ascii="Arial" w:hAnsi="Arial" w:cs="Arial"/>
          <w:color w:val="000000" w:themeColor="text1"/>
          <w:sz w:val="24"/>
          <w:szCs w:val="24"/>
        </w:rPr>
        <w:t xml:space="preserve"> Incidentes que possam acarretar risco ou dano deverão ser comunicados à Administração em até 24 horas da ciência, com descrição do ocorrido, dados afetados, medidas de contenção, responsável e plano de atualização.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5.6.6.</w:t>
      </w:r>
      <w:r>
        <w:rPr>
          <w:rFonts w:ascii="Arial" w:hAnsi="Arial" w:cs="Arial"/>
          <w:color w:val="000000" w:themeColor="text1"/>
          <w:sz w:val="24"/>
          <w:szCs w:val="24"/>
        </w:rPr>
        <w:t xml:space="preserve"> A solução deverá oferecer disponibilidade mensal mínima de referência de 99,5%, apurada por mês civil, excluídas janelas programadas comunicadas com antecedência mínima de 48 horas, preferencialmente fora do horário comercial, e eventos devidamente comprovados conforme o contrato.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5.6.7.</w:t>
      </w:r>
      <w:r>
        <w:rPr>
          <w:rFonts w:ascii="Arial" w:hAnsi="Arial" w:cs="Arial"/>
          <w:color w:val="000000" w:themeColor="text1"/>
          <w:sz w:val="24"/>
          <w:szCs w:val="24"/>
        </w:rPr>
        <w:t xml:space="preserve"> A plataforma deverá garantir autenticação segura; usuários individuais e intransferíveis; perfis e permissões configuráveis; controle de acesso baseado no princípio do menor privilégio; segregação de acesso por perfil, órgão e unidade; logs e trilhas de auditoria; rastreabilidade das ações realizadas na plataforma; criptografia em trânsito e em repouso; rotinas de backup e mecanismos de continuidade e recuperação; gestão de vulnerabilidades; exportação estruturada dos dados municipais; reversibilidade ao término da contratação; e suporte técnico e manutenção com níveis mínimos de atendimento.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6. Níveis de serviço e desempenho mínimo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6.1. Disponibilidade</w:t>
      </w:r>
    </w:p>
    <w:p>
      <w:pPr>
        <w:jc w:val="both"/>
        <w:rPr>
          <w:rFonts w:ascii="Arial" w:hAnsi="Arial" w:cs="Arial"/>
          <w:color w:val="000000" w:themeColor="text1"/>
          <w:sz w:val="24"/>
          <w:szCs w:val="24"/>
        </w:rPr>
      </w:pPr>
      <w:r>
        <w:rPr>
          <w:rFonts w:ascii="Arial" w:hAnsi="Arial" w:cs="Arial"/>
          <w:color w:val="000000" w:themeColor="text1"/>
          <w:sz w:val="24"/>
          <w:szCs w:val="24"/>
        </w:rPr>
        <w:t xml:space="preserve">A plataforma web e os serviços essenciais deverão alcançar disponibilidade mensal mínima de </w:t>
      </w:r>
      <w:r>
        <w:rPr>
          <w:rFonts w:ascii="Arial" w:hAnsi="Arial" w:cs="Arial"/>
          <w:b/>
          <w:color w:val="000000" w:themeColor="text1"/>
          <w:sz w:val="24"/>
          <w:szCs w:val="24"/>
        </w:rPr>
        <w:t xml:space="preserve">99,5%</w:t>
      </w:r>
      <w:r>
        <w:rPr>
          <w:rFonts w:ascii="Arial" w:hAnsi="Arial" w:cs="Arial"/>
          <w:color w:val="000000" w:themeColor="text1"/>
          <w:sz w:val="24"/>
          <w:szCs w:val="24"/>
        </w:rPr>
        <w:t xml:space="preserve">, excluídas janelas de manutenção programada previamente comunicadas, indisponibilidades decorrentes de fato exclusivamente imputável ao Município, força maior comprovada ou indisponibilidade de fonte externa, desde que a contratada mantenha o serviço interno e comunique a ocorrência.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apuração deverá utilizar a seguinte fórmula:</w:t>
      </w:r>
    </w:p>
    <w:p>
      <w:pPr>
        <w:jc w:val="both"/>
        <w:rPr>
          <w:rFonts w:ascii="Arial" w:hAnsi="Arial" w:cs="Arial"/>
          <w:color w:val="000000" w:themeColor="text1"/>
          <w:sz w:val="24"/>
          <w:szCs w:val="24"/>
        </w:rPr>
      </w:pPr>
      <w:r>
        <w:rPr>
          <w:rFonts w:ascii="Arial" w:hAnsi="Arial" w:cs="Arial"/>
          <w:color w:val="000000" w:themeColor="text1"/>
          <w:sz w:val="24"/>
          <w:szCs w:val="24"/>
        </w:rPr>
        <w:t xml:space="preserve">Disponibilidade mensal (%) = [minutos totais do período − minutos de indisponibilidade imputável à contratada] ÷ minutos totais do período × 100.</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contratada deverá fornecer relatório mensal com período de medição, incidentes, início, fim, causa, impacto, exclusões e cálculo do indicador.</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6.2. Suporte e incidentes</w:t>
      </w:r>
    </w:p>
    <w:p>
      <w:pPr>
        <w:jc w:val="both"/>
        <w:rPr>
          <w:rFonts w:ascii="Arial" w:hAnsi="Arial" w:cs="Arial"/>
          <w:color w:val="000000" w:themeColor="text1"/>
          <w:sz w:val="24"/>
          <w:szCs w:val="24"/>
        </w:rPr>
      </w:pPr>
      <w:r>
        <w:rPr>
          <w:rFonts w:ascii="Arial" w:hAnsi="Arial" w:cs="Arial"/>
          <w:color w:val="000000" w:themeColor="text1"/>
          <w:sz w:val="24"/>
          <w:szCs w:val="24"/>
        </w:rPr>
        <w:t xml:space="preserve">O suporte deverá ser prestado em horário comercial por canal de atendimento. Mensagens instantâneas poderão ser usadas como canal complementar, mas não substituirão o registro formal.</w:t>
      </w:r>
    </w:p>
    <w:tbl>
      <w:tblPr>
        <w:tblStyle w:val="TabeladeGradeClara"/>
        <w:tblW w:w="0" w:type="auto"/>
        <w:tblInd w:w="250" w:type="dxa"/>
        <w:tblLook w:val="04A0" w:firstRow="1" w:lastRow="0" w:firstColumn="1" w:lastColumn="0" w:noHBand="0" w:noVBand="1"/>
      </w:tblPr>
      <w:tblGrid>
        <w:gridCol w:w="721"/>
        <w:gridCol w:w="4008"/>
        <w:gridCol w:w="1169"/>
        <w:gridCol w:w="3451"/>
      </w:tblGrid>
      <w:tr>
        <w:trPr>
          <w:cantSplit/>
          <w:tblHeader w:val="true"/>
        </w:trPr>
        <w:tc>
          <w:tcPr>
            <w:tcW w:w="721"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Severidade</w:t>
            </w:r>
          </w:p>
        </w:tc>
        <w:tc>
          <w:tcPr>
            <w:tcW w:w="4008"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Exemplo</w:t>
            </w:r>
          </w:p>
        </w:tc>
        <w:tc>
          <w:tcPr>
            <w:tcW w:w="1169"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Início do atendimento</w:t>
            </w:r>
          </w:p>
        </w:tc>
        <w:tc>
          <w:tcPr>
            <w:tcW w:w="3451"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Meta de encaminhamento</w:t>
            </w:r>
          </w:p>
        </w:tc>
      </w:tr>
      <w:tr>
        <w:trPr>
          <w:cantSplit/>
        </w:trPr>
        <w:tc>
          <w:tcPr>
            <w:tcW w:w="72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Crítica/P1</w:t>
            </w:r>
          </w:p>
        </w:tc>
        <w:tc>
          <w:tcPr>
            <w:tcW w:w="4008"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Indisponibilidade geral, incidente de segurança ou perda de acesso amplo</w:t>
            </w:r>
          </w:p>
        </w:tc>
        <w:tc>
          <w:tcPr>
            <w:tcW w:w="116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Até 4 horas úteis</w:t>
            </w:r>
          </w:p>
        </w:tc>
        <w:tc>
          <w:tcPr>
            <w:tcW w:w="345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Plano de contingência no mesmo dia e atualização periódica</w:t>
            </w:r>
          </w:p>
        </w:tc>
      </w:tr>
      <w:tr>
        <w:trPr>
          <w:cantSplit/>
        </w:trPr>
        <w:tc>
          <w:tcPr>
            <w:tcW w:w="72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Alta/P2</w:t>
            </w:r>
          </w:p>
        </w:tc>
        <w:tc>
          <w:tcPr>
            <w:tcW w:w="4008"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Falha em módulo essencial que afeta grupo relevante</w:t>
            </w:r>
          </w:p>
        </w:tc>
        <w:tc>
          <w:tcPr>
            <w:tcW w:w="116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Até 8 horas úteis</w:t>
            </w:r>
          </w:p>
        </w:tc>
        <w:tc>
          <w:tcPr>
            <w:tcW w:w="345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Solução ou contorno em até 2 dias úteis, conforme complexidade</w:t>
            </w:r>
          </w:p>
        </w:tc>
      </w:tr>
      <w:tr>
        <w:trPr>
          <w:cantSplit/>
        </w:trPr>
        <w:tc>
          <w:tcPr>
            <w:tcW w:w="72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Média/P3</w:t>
            </w:r>
          </w:p>
        </w:tc>
        <w:tc>
          <w:tcPr>
            <w:tcW w:w="4008"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Falha parcial com alternativa de uso</w:t>
            </w:r>
          </w:p>
        </w:tc>
        <w:tc>
          <w:tcPr>
            <w:tcW w:w="116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Até 1 dia útil</w:t>
            </w:r>
          </w:p>
        </w:tc>
        <w:tc>
          <w:tcPr>
            <w:tcW w:w="345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Solução em até 5 dias úteis ou justificativa</w:t>
            </w:r>
          </w:p>
        </w:tc>
      </w:tr>
      <w:tr>
        <w:trPr>
          <w:cantSplit/>
        </w:trPr>
        <w:tc>
          <w:tcPr>
            <w:tcW w:w="72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Baixa/P4</w:t>
            </w:r>
          </w:p>
        </w:tc>
        <w:tc>
          <w:tcPr>
            <w:tcW w:w="4008"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Dúvida, ajuste visual ou melhoria não crítica</w:t>
            </w:r>
          </w:p>
        </w:tc>
        <w:tc>
          <w:tcPr>
            <w:tcW w:w="116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Até 2 dias úteis</w:t>
            </w:r>
          </w:p>
        </w:tc>
        <w:tc>
          <w:tcPr>
            <w:tcW w:w="345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Tratamento conforme planejamento e comunicação</w:t>
            </w:r>
          </w:p>
        </w:tc>
      </w:tr>
    </w:tbl>
    <w:p>
      <w:pPr>
        <w:jc w:val="both"/>
        <w:rPr>
          <w:rFonts w:ascii="Arial" w:hAnsi="Arial" w:cs="Arial"/>
          <w:color w:val="000000" w:themeColor="text1"/>
          <w:sz w:val="24"/>
          <w:szCs w:val="24"/>
        </w:rPr>
      </w:pPr>
    </w:p>
    <w:p>
      <w:pPr>
        <w:jc w:val="both"/>
        <w:rPr>
          <w:rFonts w:ascii="Arial" w:hAnsi="Arial" w:cs="Arial"/>
          <w:color w:val="000000" w:themeColor="text1"/>
          <w:sz w:val="24"/>
          <w:szCs w:val="24"/>
        </w:rPr>
      </w:pPr>
      <w:r>
        <w:rPr>
          <w:rFonts w:ascii="Arial" w:hAnsi="Arial" w:cs="Arial"/>
          <w:color w:val="000000" w:themeColor="text1"/>
          <w:sz w:val="24"/>
          <w:szCs w:val="24"/>
        </w:rPr>
        <w:t xml:space="preserve">Os prazos poderão ser detalhados no contrato, desde que não reduzam os níveis mínimos acima sem justificativa formal e aprovação da Administração.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6.3. Atualizações regulatórias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contratada deverá manter as funcionalidades, regras, integrações e layouts contratados compatíveis com alterações públicas de fontes e normas abrangidas pelo objeto, sem cobrança adicional de manutenção evolutiva ordinária. A atualização deverá ser comunicada, versionada e, quando possível, disponibilizada em ambiente de homologação antes da produção.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7. Quantidade, prazo e quadro de itens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7.1. Quantitativo</w:t>
      </w:r>
    </w:p>
    <w:tbl>
      <w:tblPr>
        <w:tblStyle w:val="TabeladeGradeClara"/>
        <w:tblW w:w="0" w:type="auto"/>
        <w:tblInd w:w="250" w:type="dxa"/>
        <w:tblLook w:val="04A0" w:firstRow="1" w:lastRow="0" w:firstColumn="1" w:lastColumn="0" w:noHBand="0" w:noVBand="1"/>
      </w:tblPr>
      <w:tblGrid>
        <w:gridCol w:w="1092"/>
        <w:gridCol w:w="6071"/>
        <w:gridCol w:w="1092"/>
        <w:gridCol w:w="1092"/>
      </w:tblGrid>
      <w:tr>
        <w:trPr>
          <w:cantSplit/>
          <w:tblHeader w:val="true"/>
        </w:trPr>
        <w:tc>
          <w:tcPr>
            <w:tcW w:w="109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Item</w:t>
            </w:r>
          </w:p>
        </w:tc>
        <w:tc>
          <w:tcPr>
            <w:tcW w:w="6071"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Descrição</w:t>
            </w:r>
          </w:p>
        </w:tc>
        <w:tc>
          <w:tcPr>
            <w:tcW w:w="109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Unidade</w:t>
            </w:r>
          </w:p>
        </w:tc>
        <w:tc>
          <w:tcPr>
            <w:tcW w:w="109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Quantidade</w:t>
            </w:r>
          </w:p>
        </w:tc>
      </w:tr>
      <w:tr>
        <w:trPr>
          <w:cantSplit/>
        </w:trP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1</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Licença corporativa integrada da plataforma SaaS de inteligência contábil e gestão fiscal — compreendendo painéis analíticos executivos, entregas/obrigações/conformidade, CAUC, processos do TCM-GO, integrações/importação/rastreabilidade e aplicativo móvel integrado —, incluindo implantação, capacitação, suporte, atualizações, segurança, backup e continuidade</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Mês</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36</w:t>
            </w:r>
          </w:p>
        </w:tc>
      </w:tr>
    </w:tbl>
    <w:p>
      <w:pPr>
        <w:jc w:val="both"/>
        <w:rPr>
          <w:rFonts w:ascii="Arial" w:hAnsi="Arial" w:cs="Arial"/>
          <w:color w:val="000000" w:themeColor="text1"/>
          <w:sz w:val="24"/>
          <w:szCs w:val="24"/>
        </w:rPr>
      </w:pPr>
    </w:p>
    <w:p>
      <w:pPr>
        <w:jc w:val="both"/>
        <w:rPr>
          <w:rFonts w:ascii="Arial" w:hAnsi="Arial" w:cs="Arial"/>
          <w:color w:val="000000" w:themeColor="text1"/>
          <w:sz w:val="24"/>
          <w:szCs w:val="24"/>
        </w:rPr>
      </w:pPr>
      <w:r>
        <w:rPr>
          <w:rFonts w:ascii="Arial" w:hAnsi="Arial" w:cs="Arial"/>
          <w:b/>
          <w:color w:val="000000" w:themeColor="text1"/>
          <w:sz w:val="24"/>
          <w:szCs w:val="24"/>
        </w:rPr>
        <w:t xml:space="preserve">7.1.1.</w:t>
      </w:r>
      <w:r>
        <w:rPr>
          <w:rFonts w:ascii="Arial" w:hAnsi="Arial" w:cs="Arial"/>
          <w:color w:val="000000" w:themeColor="text1"/>
          <w:sz w:val="24"/>
          <w:szCs w:val="24"/>
        </w:rPr>
        <w:t xml:space="preserve"> Os quantitativos de referência — 1 (uma) licença corporativa, 20 (vinte) usuários simultâneos e 1 (um) aplicativo móvel integrado — são os mesmos definidos no Estudo Técnico Preliminar, não havendo divergência entre os documentos quanto a esses parâmetros.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7.1.2.</w:t>
      </w:r>
      <w:r>
        <w:rPr>
          <w:rFonts w:ascii="Arial" w:hAnsi="Arial" w:cs="Arial"/>
          <w:color w:val="000000" w:themeColor="text1"/>
          <w:sz w:val="24"/>
          <w:szCs w:val="24"/>
        </w:rPr>
        <w:t xml:space="preserve"> [INFORMAÇÃO A PREENCHER] — preço unitário do usuário simultâneo adicional, quando aplicável, a ser definido a partir da pesquisa de preços.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7.2. Vigência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vigência inicial do contrato será de 36 (trinta e seis) meses, contados da assinatura ou da data de início definida no instrumento contratual, com fundamento no art. 106 da Lei nº 14.133/2021, que autoriza a celebração de contratos de serviços e fornecimentos contínuos com prazo de até 5 (cinco) anos, hipótese expressamente aplicável, por força do § 2º do mesmo artigo, à utilização de programas de informática.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contratação plurianual observará as diretrizes do art. 106 da Lei nº 14.133/2021: (i) atestação, pela autoridade competente, da maior vantagem econômica decorrente do prazo plurianual; (ii) atestação, no início da contratação e a cada exercício financeiro, da existência de créditos orçamentários vinculados à contratação e da vantagem em sua manutenção; e (iii) faculdade de a Administração extinguir o contrato, sem ônus, quando não dispuser de créditos orçamentários para sua continuidade ou quando entender que o contrato não mais lhe oferece vantagem, hipótese em que a extinção ocorrerá na próxima data de aniversário do contrato, observada a antecedência mínima de 2 (dois) meses prevista no § 1º.</w:t>
      </w:r>
    </w:p>
    <w:p>
      <w:pPr>
        <w:jc w:val="both"/>
        <w:rPr>
          <w:rFonts w:ascii="Arial" w:hAnsi="Arial" w:cs="Arial"/>
          <w:color w:val="000000" w:themeColor="text1"/>
          <w:sz w:val="24"/>
          <w:szCs w:val="24"/>
        </w:rPr>
      </w:pPr>
      <w:r>
        <w:rPr>
          <w:rFonts w:ascii="Arial" w:hAnsi="Arial" w:cs="Arial"/>
          <w:color w:val="000000" w:themeColor="text1"/>
          <w:sz w:val="24"/>
          <w:szCs w:val="24"/>
        </w:rPr>
        <w:t xml:space="preserve">Por ultrapassar o exercício financeiro, a contratação observará o art. 105 da Lei nº 14.133/2021, exigindo-se previsão no plano plurianual e demonstração da disponibilidade de créditos orçamentários no momento da contratação e a cada exercício.</w:t>
      </w:r>
    </w:p>
    <w:p>
      <w:pPr>
        <w:jc w:val="both"/>
        <w:rPr>
          <w:rFonts w:ascii="Arial" w:hAnsi="Arial" w:cs="Arial"/>
          <w:color w:val="000000" w:themeColor="text1"/>
          <w:sz w:val="24"/>
          <w:szCs w:val="24"/>
        </w:rPr>
      </w:pPr>
      <w:r>
        <w:rPr>
          <w:rFonts w:ascii="Arial" w:hAnsi="Arial" w:cs="Arial"/>
          <w:color w:val="000000" w:themeColor="text1"/>
          <w:sz w:val="24"/>
          <w:szCs w:val="24"/>
        </w:rPr>
        <w:t xml:space="preserve">Encerrada a vigência inicial, o contrato poderá ser </w:t>
      </w:r>
      <w:r>
        <w:rPr>
          <w:rFonts w:ascii="Arial" w:hAnsi="Arial" w:cs="Arial"/>
          <w:b/>
          <w:color w:val="000000" w:themeColor="text1"/>
          <w:sz w:val="24"/>
          <w:szCs w:val="24"/>
        </w:rPr>
        <w:t xml:space="preserve">prorrogado sucessivamente, respeitada a vigência máxima decenal</w:t>
      </w:r>
      <w:r>
        <w:rPr>
          <w:rFonts w:ascii="Arial" w:hAnsi="Arial" w:cs="Arial"/>
          <w:color w:val="000000" w:themeColor="text1"/>
          <w:sz w:val="24"/>
          <w:szCs w:val="24"/>
        </w:rPr>
        <w:t xml:space="preserve"> prevista no art. 107 da Lei nº 14.133/2021, desde que haja previsão no edital e no contrato e que a autoridade competente ateste que as condições e os preços permanecem vantajosos, permitida a negociação com o contratado ou a extinção contratual sem ônus.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7.3. Implantação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implantação deverá ser concluída em até 10 dias corridos contados da ordem de serviço e do fornecimento, pelo Município, dos acessos e arquivos necessários. O prazo deverá contemplar, no mínimo, mobilização, parametrização, criação de usuários, importação inicial, testes, capacitação, homologação e entrada em produção.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contagem do prazo será suspensa, mediante comunicação formal e tempestiva da contratada, enquanto pendente o fornecimento, pelo Município, dos dados, arquivos, acessos ou informações necessários à execução das etapas, retomando-se a contagem a partir da regularização da pendência. A suspensão deverá ser registrada pelo gestor do contrato e afasta a incidência de multa moratória no período correspondente.</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7.4. Reajuste, revisão e alterações contratuais</w:t>
      </w:r>
    </w:p>
    <w:p>
      <w:pPr>
        <w:jc w:val="both"/>
        <w:rPr>
          <w:rFonts w:ascii="Arial" w:hAnsi="Arial" w:cs="Arial"/>
          <w:color w:val="000000" w:themeColor="text1"/>
          <w:sz w:val="24"/>
          <w:szCs w:val="24"/>
        </w:rPr>
      </w:pPr>
      <w:r>
        <w:rPr>
          <w:rFonts w:ascii="Arial" w:hAnsi="Arial" w:cs="Arial"/>
          <w:color w:val="000000" w:themeColor="text1"/>
          <w:sz w:val="24"/>
          <w:szCs w:val="24"/>
        </w:rPr>
        <w:t xml:space="preserve">Os preços serão fixos e irreajustáveis pelo período de 12 (doze) meses, contado da data do orçamento estimado da contratação. Decorrido esse interregno, os valores poderão ser reajustados pela variação acumulada do IPCA/IBGE ou de outro índice setorial expressamente definido no edital, observado o intervalo mínimo de 12 (doze) meses entre reajustes, nos termos do art. 25, § 7º, da Lei nº 14.133/2021. A previsão de índice e de data-base é obrigatória em razão da duração plurianual do contrato.</w:t>
      </w:r>
    </w:p>
    <w:p>
      <w:pPr>
        <w:jc w:val="both"/>
        <w:rPr>
          <w:rFonts w:ascii="Arial" w:hAnsi="Arial" w:cs="Arial"/>
          <w:color w:val="000000" w:themeColor="text1"/>
          <w:sz w:val="24"/>
          <w:szCs w:val="24"/>
        </w:rPr>
      </w:pPr>
      <w:r>
        <w:rPr>
          <w:rFonts w:ascii="Arial" w:hAnsi="Arial" w:cs="Arial"/>
          <w:color w:val="000000" w:themeColor="text1"/>
          <w:sz w:val="24"/>
          <w:szCs w:val="24"/>
        </w:rPr>
        <w:t xml:space="preserve">O reajuste não se confunde com a revisão destinada ao restabelecimento do equilíbrio econômico-financeiro, cabível na hipótese do art. 124, II, "d", da Lei nº 14.133/2021, que dependerá de requerimento instruído com demonstração analítica do fato superveniente, imprevisível ou de consequências incalculáveis, e de decisão fundamentada da Administração.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Eventual acréscimo de usuários simultâneos ou de funcionalidades não previstas neste Termo de Referência dependerá de termo aditivo, pesquisa de preços, disponibilidade orçamentária e observância dos limites dos arts. 124 a 126 da Lei nº 14.133/2021, vedada a alteração do objeto por simples atualização de versão da plataforma.</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8. Prova de Conceito — POC</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8.1. Finalidade e natureza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8.1.1.</w:t>
      </w:r>
      <w:r>
        <w:rPr>
          <w:rFonts w:ascii="Arial" w:hAnsi="Arial" w:cs="Arial"/>
          <w:color w:val="000000" w:themeColor="text1"/>
          <w:sz w:val="24"/>
          <w:szCs w:val="24"/>
        </w:rPr>
        <w:t xml:space="preserve"> A Prova de Conceito — POC — será utilizada como critério de aceitabilidade técnica da proposta, destinada a comprovar, na prática e em sessão pública de demonstração, que a solução ofertada atende aos requisitos essenciais deste Termo de Referência, mediante funcionalidades já existentes, operacionais e disponíveis na plataforma apresentada.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8.1.2.</w:t>
      </w:r>
      <w:r>
        <w:rPr>
          <w:rFonts w:ascii="Arial" w:hAnsi="Arial" w:cs="Arial"/>
          <w:color w:val="000000" w:themeColor="text1"/>
          <w:sz w:val="24"/>
          <w:szCs w:val="24"/>
        </w:rPr>
        <w:t xml:space="preserve"> A POC terá caráter eliminatório, não constituindo etapa de pontuação, classificação ou negociação técnica. A licitante será considerada aprovada ou reprovada conforme os critérios objetivos estabelecidos neste item.</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8.1.3.</w:t>
      </w:r>
      <w:r>
        <w:rPr>
          <w:rFonts w:ascii="Arial" w:hAnsi="Arial" w:cs="Arial"/>
          <w:color w:val="000000" w:themeColor="text1"/>
          <w:sz w:val="24"/>
          <w:szCs w:val="24"/>
        </w:rPr>
        <w:t xml:space="preserve"> A POC não será utilizada como: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instrumento para solicitar desenvolvimento sob encomenda durante a licitação;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b) meio de exigir demonstração de característica, integração, layout, parametrização ou requisito não previsto neste Termo de Referência;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c) mecanismo para avaliar preferência estética, opinião subjetiva ou estilo de apresentação sem correspondência com requisito funcional, técnico ou de segurança;</w:t>
      </w:r>
    </w:p>
    <w:p>
      <w:pPr>
        <w:jc w:val="both"/>
        <w:rPr>
          <w:rFonts w:ascii="Arial" w:hAnsi="Arial" w:cs="Arial"/>
          <w:color w:val="000000" w:themeColor="text1"/>
          <w:sz w:val="24"/>
          <w:szCs w:val="24"/>
        </w:rPr>
      </w:pPr>
      <w:r>
        <w:rPr>
          <w:rFonts w:ascii="Arial" w:hAnsi="Arial" w:cs="Arial"/>
          <w:color w:val="000000" w:themeColor="text1"/>
          <w:sz w:val="24"/>
          <w:szCs w:val="24"/>
        </w:rPr>
        <w:t xml:space="preserve">d) substituição da análise de habilitação, proposta comercial ou documentos exigidos no edital.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8.1.4.</w:t>
      </w:r>
      <w:r>
        <w:rPr>
          <w:rFonts w:ascii="Arial" w:hAnsi="Arial" w:cs="Arial"/>
          <w:color w:val="000000" w:themeColor="text1"/>
          <w:sz w:val="24"/>
          <w:szCs w:val="24"/>
        </w:rPr>
        <w:t xml:space="preserve"> Todos os testes do roteiro da POC deverão corresponder a requisitos previstos na seção 5 deste Termo de Referência, com indicação expressa do requisito de referência na matriz de avaliação.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8.1.5.</w:t>
      </w:r>
      <w:r>
        <w:rPr>
          <w:rFonts w:ascii="Arial" w:hAnsi="Arial" w:cs="Arial"/>
          <w:color w:val="000000" w:themeColor="text1"/>
          <w:sz w:val="24"/>
          <w:szCs w:val="24"/>
        </w:rPr>
        <w:t xml:space="preserve"> A POC deverá avaliar o funcionamento real da solução, e não apenas a existência de telas ou declarações comerciais. A demonstração deverá permitir que a comissão observe entrada de dados, processamento, resultado, permissões, origem, rastreabilidade, exportação e registros de auditoria, conforme o teste aplicável.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8.1.6.</w:t>
      </w:r>
      <w:r>
        <w:rPr>
          <w:rFonts w:ascii="Arial" w:hAnsi="Arial" w:cs="Arial"/>
          <w:color w:val="000000" w:themeColor="text1"/>
          <w:sz w:val="24"/>
          <w:szCs w:val="24"/>
        </w:rPr>
        <w:t xml:space="preserve"> Testes que dependam de fonte externa que possa estar indisponível — em especial CAUC e processos do TCM-GO — poderão ser demonstrados com dados controlados, simulados ou previamente sincronizados, representativos das funcionalidades exigidas, cabendo à licitante informar a data da última atualização e a limitação decorrente de eventual indisponibilidade da fonte, sem que essa circunstância, por si só, prejudique a avaliação.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8.2. Convocação, prazo e participantes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8.2.1.</w:t>
      </w:r>
      <w:r>
        <w:rPr>
          <w:rFonts w:ascii="Arial" w:hAnsi="Arial" w:cs="Arial"/>
          <w:color w:val="000000" w:themeColor="text1"/>
          <w:sz w:val="24"/>
          <w:szCs w:val="24"/>
        </w:rPr>
        <w:t xml:space="preserve"> A licitante provisoriamente classificada em primeiro lugar, após a análise da proposta, será convocada para realizar a POC, presencialmente ou por videoconferência, a critério da Administração e conforme as regras do edital.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8.2.2.</w:t>
      </w:r>
      <w:r>
        <w:rPr>
          <w:rFonts w:ascii="Arial" w:hAnsi="Arial" w:cs="Arial"/>
          <w:color w:val="000000" w:themeColor="text1"/>
          <w:sz w:val="24"/>
          <w:szCs w:val="24"/>
        </w:rPr>
        <w:t xml:space="preserve"> A licitante terá o prazo de até 5 (cinco) dias úteis, contados da convocação, para preparar e realizar a demonstração, salvo prazo diverso expressamente previsto no edital.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8.2.3.</w:t>
      </w:r>
      <w:r>
        <w:rPr>
          <w:rFonts w:ascii="Arial" w:hAnsi="Arial" w:cs="Arial"/>
          <w:color w:val="000000" w:themeColor="text1"/>
          <w:sz w:val="24"/>
          <w:szCs w:val="24"/>
        </w:rPr>
        <w:t xml:space="preserve"> A convocação deverá informar, no mínimo: a) o roteiro completo dos testes; b) a duração prevista e a possibilidade de divisão em sessões; c) o local ou a plataforma de videoconferência; d) os dados e arquivos de teste; e) os integrantes da comissão avaliadora; f) a forma de registro da sessão; g) os critérios de aprovação, reprovação e tratamento de falhas; h) os prazos para divulgação do resultado e eventual recurso, conforme o edital.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8.2.4.</w:t>
      </w:r>
      <w:r>
        <w:rPr>
          <w:rFonts w:ascii="Arial" w:hAnsi="Arial" w:cs="Arial"/>
          <w:color w:val="000000" w:themeColor="text1"/>
          <w:sz w:val="24"/>
          <w:szCs w:val="24"/>
        </w:rPr>
        <w:t xml:space="preserve"> A licitante deverá indicar previamente os representantes que conduzirão a demonstração, sendo admitida a participação de equipe técnica suficiente para operar os módulos, desde que identificada e submetida às regras da sessão.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8.2.5.</w:t>
      </w:r>
      <w:r>
        <w:rPr>
          <w:rFonts w:ascii="Arial" w:hAnsi="Arial" w:cs="Arial"/>
          <w:color w:val="000000" w:themeColor="text1"/>
          <w:sz w:val="24"/>
          <w:szCs w:val="24"/>
        </w:rPr>
        <w:t xml:space="preserve"> A comissão avaliadora deverá ser composta por servidores ou agentes formalmente designados, com conhecimento compatível com os requisitos funcionais, contábeis, tecnológicos e de segurança a serem avaliados.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8.3. Condições de realização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8.3.1. Ambiente de demonstração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demonstração deverá ocorrer em ambiente de nuvem da própria licitante ou em ambiente de homologação funcionalmente equivalente, acessado por navegador e operado ao vivo pelos representantes da licitante.</w:t>
      </w:r>
    </w:p>
    <w:p>
      <w:pPr>
        <w:jc w:val="both"/>
        <w:rPr>
          <w:rFonts w:ascii="Arial" w:hAnsi="Arial" w:cs="Arial"/>
          <w:color w:val="000000" w:themeColor="text1"/>
          <w:sz w:val="24"/>
          <w:szCs w:val="24"/>
        </w:rPr>
      </w:pPr>
      <w:r>
        <w:rPr>
          <w:rFonts w:ascii="Arial" w:hAnsi="Arial" w:cs="Arial"/>
          <w:color w:val="000000" w:themeColor="text1"/>
          <w:sz w:val="24"/>
          <w:szCs w:val="24"/>
        </w:rPr>
        <w:t xml:space="preserve">É vedada a apresentação baseada exclusivamente em slides, vídeos gravados, imagens, protótipos de tela, telas estáticas ou simulações que não correspondam ao sistema em funcionamento. Poderá ser utilizado material introdutório de apoio, limitado a 15 minutos, sem substituição da demonstração prática.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 informar eventuais limitações temporárias do ambiente, dependências de fonte externa, dados previamente sincronizados, componentes em modo de demonstração ou funcionalidades configuradas especificamente para a POC.</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8.3.2. Dados e arquivos de teste</w:t>
      </w:r>
    </w:p>
    <w:p>
      <w:pPr>
        <w:jc w:val="both"/>
        <w:rPr>
          <w:rFonts w:ascii="Arial" w:hAnsi="Arial" w:cs="Arial"/>
          <w:color w:val="000000" w:themeColor="text1"/>
          <w:sz w:val="24"/>
          <w:szCs w:val="24"/>
        </w:rPr>
      </w:pPr>
      <w:r>
        <w:rPr>
          <w:rFonts w:ascii="Arial" w:hAnsi="Arial" w:cs="Arial"/>
          <w:color w:val="000000" w:themeColor="text1"/>
          <w:sz w:val="24"/>
          <w:szCs w:val="24"/>
        </w:rPr>
        <w:t xml:space="preserve">Serão utilizados dados fictícios, anonimizados ou expressamente autorizados pela Administração, incluindo: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arquivo ou conjunto de arquivos de movimento contábil/orçamentário em layout compatível com o SIAFIC municipal ou formato estruturado equivalente, contendo registros válidos e registros propositalmente inválidos;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b) documento de teste simulando obrigação, prazo ou diligência de órgão externo, contendo itens, prazo e ao menos uma informação ausente ou que exija conferência;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c) dados simulados representativos de situação de adimplência no CAUC (pendências, grupos de conformidade e histórico) e de processo do TCM-GO (número, fase, situação, prazos e providências), utilizáveis quando o acesso em tempo real à fonte oficial não estiver disponível para fins de demonstração;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d) usuários e perfis de teste com permissões diferentes, inclusive perfil com acesso restrito a determinado órgão, unidade ou área.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8.3.2.1.</w:t>
      </w:r>
      <w:r>
        <w:rPr>
          <w:rFonts w:ascii="Arial" w:hAnsi="Arial" w:cs="Arial"/>
          <w:color w:val="000000" w:themeColor="text1"/>
          <w:sz w:val="24"/>
          <w:szCs w:val="24"/>
        </w:rPr>
        <w:t xml:space="preserve"> Os arquivos de teste deverão ser disponibilizados à licitante juntamente com a convocação, para carga prévia no ambiente de demonstração.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8.3.2.2.</w:t>
      </w:r>
      <w:r>
        <w:rPr>
          <w:rFonts w:ascii="Arial" w:hAnsi="Arial" w:cs="Arial"/>
          <w:color w:val="000000" w:themeColor="text1"/>
          <w:sz w:val="24"/>
          <w:szCs w:val="24"/>
        </w:rPr>
        <w:t xml:space="preserve"> A comissão poderá apresentar, durante a sessão, variação dos mesmos arquivos, com valores ou registros distintos e mantendo o mesmo layout, para confirmar que o processamento é real e não pré-fabricado.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8.3.2.3.</w:t>
      </w:r>
      <w:r>
        <w:rPr>
          <w:rFonts w:ascii="Arial" w:hAnsi="Arial" w:cs="Arial"/>
          <w:color w:val="000000" w:themeColor="text1"/>
          <w:sz w:val="24"/>
          <w:szCs w:val="24"/>
        </w:rPr>
        <w:t xml:space="preserve"> A licitante não poderá exigir credenciais pessoais de servidores do Município ou acesso a sistemas oficiais, como TCM-GO ou CAUC, sem autorização expressa da Administração.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8.3.2.4.</w:t>
      </w:r>
      <w:r>
        <w:rPr>
          <w:rFonts w:ascii="Arial" w:hAnsi="Arial" w:cs="Arial"/>
          <w:color w:val="000000" w:themeColor="text1"/>
          <w:sz w:val="24"/>
          <w:szCs w:val="24"/>
        </w:rPr>
        <w:t xml:space="preserve"> Testes que dependam de fonte externa poderão ser realizados com dados previamente sincronizados ou arquivos fornecidos pela Administração, devendo a licitante informar a data da última atualização e a limitação decorrente da indisponibilidade da fonte.</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8.3.2.5.</w:t>
      </w:r>
      <w:r>
        <w:rPr>
          <w:rFonts w:ascii="Arial" w:hAnsi="Arial" w:cs="Arial"/>
          <w:color w:val="000000" w:themeColor="text1"/>
          <w:sz w:val="24"/>
          <w:szCs w:val="24"/>
        </w:rPr>
        <w:t xml:space="preserve"> Os dados de teste deverão ser utilizados exclusivamente para a POC, não podendo ser incorporados a bases comerciais ou produtos de terceiros.</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8.3.3. Condução da sessão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demonstração será conduzida pelos representantes da licitante, que deverão operar o sistema ao vivo. A comissão poderá solicitar repetição de passos, alteração de filtros, consulta a registros, execução de variações razoáveis, demonstração de permissões, reprocessamento controlado e exportação, desde que dentro do escopo do roteiro.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comissão não poderá solicitar desenvolvimento, alteração estrutural da solução ou customização substancial durante a sessão. Poderá, entretanto, solicitar configuração ordinária, seleção de parâmetros, criação de usuário, carregamento de arquivos e execução de funções já existentes e previstas no objeto.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8.3.4. Duração e sessões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POC terá duração estimada de até 5 (cinco) horas ou conforme justificativa registrada pela comissão.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comissão poderá estabelecer intervalos, ordem dos testes e distribuição entre sessões, desde que preserve o roteiro, a isonomia e a possibilidade de acompanhamento pela licitante.</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8.4. Roteiro mínimo de testes</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8.4.1. Quadro geral</w:t>
      </w:r>
    </w:p>
    <w:tbl>
      <w:tblPr>
        <w:tblStyle w:val="TabeladeGradeClara"/>
        <w:tblW w:w="0" w:type="auto"/>
        <w:tblInd w:w="250" w:type="dxa"/>
        <w:tblLook w:val="04A0" w:firstRow="1" w:lastRow="0" w:firstColumn="1" w:lastColumn="0" w:noHBand="0" w:noVBand="1"/>
      </w:tblPr>
      <w:tblGrid>
        <w:gridCol w:w="1092"/>
        <w:gridCol w:w="1092"/>
        <w:gridCol w:w="6071"/>
        <w:gridCol w:w="1092"/>
      </w:tblGrid>
      <w:tr>
        <w:trPr>
          <w:cantSplit/>
          <w:tblHeader w:val="true"/>
        </w:trPr>
        <w:tc>
          <w:tcPr>
            <w:tcW w:w="109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Código</w:t>
            </w:r>
          </w:p>
        </w:tc>
        <w:tc>
          <w:tcPr>
            <w:tcW w:w="109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Grupo</w:t>
            </w:r>
          </w:p>
        </w:tc>
        <w:tc>
          <w:tcPr>
            <w:tcW w:w="6071"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Teste essencial</w:t>
            </w:r>
          </w:p>
        </w:tc>
        <w:tc>
          <w:tcPr>
            <w:tcW w:w="109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Requisito de referência</w:t>
            </w:r>
          </w:p>
        </w:tc>
      </w:tr>
      <w:tr>
        <w:trPr>
          <w:cantSplit/>
        </w:trP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POC-01</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Acesso e permissões</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Criar usuário, aplicar perfil, demonstrar bloqueio de acesso não autorizado</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5.1.2</w:t>
            </w:r>
          </w:p>
        </w:tc>
      </w:tr>
      <w:tr>
        <w:trPr>
          <w:cantSplit/>
        </w:trP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POC-02</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Painéis analíticos e controles</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Demonstrar resultados, indicadores, projeções, controles orçamentários/financeiros, filtros, drill-down, origem, data-base e exportação</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5.1.4, 5.1.5 e 5.2</w:t>
            </w:r>
          </w:p>
        </w:tc>
      </w:tr>
      <w:tr>
        <w:trPr>
          <w:cantSplit/>
        </w:trP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POC-03</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Importação</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Processar arquivo com registros válidos e inválidos, exibir resumo e demonstrar reimportação controlada</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5.5</w:t>
            </w:r>
          </w:p>
        </w:tc>
      </w:tr>
      <w:tr>
        <w:trPr>
          <w:cantSplit/>
        </w:trP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POC-04</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Entregas, obrigações e CAUC</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Criar obrigação com prazo, responsável, alerta e evidência; demonstrar acompanhamento da situação de adimplência no CAUC, com indicação de data da consulta e de eventual defasagem da fonte</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5.3.1 e 5.3.2</w:t>
            </w:r>
          </w:p>
        </w:tc>
      </w:tr>
      <w:tr>
        <w:trPr>
          <w:cantSplit/>
        </w:trP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POC-05</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Processos TCM-GO</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Cadastrar processo, diligência, prazo, documento e providência, com distinção de origem da informação</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5.3.3</w:t>
            </w:r>
          </w:p>
        </w:tc>
      </w:tr>
      <w:tr>
        <w:trPr>
          <w:cantSplit/>
        </w:trP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POC-06</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Aplicativo móvel</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Consultar painéis, indicadores e alertas, com as mesmas permissões da web</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5.4</w:t>
            </w:r>
          </w:p>
        </w:tc>
      </w:tr>
    </w:tbl>
    <w:p>
      <w:pPr>
        <w:jc w:val="both"/>
        <w:rPr>
          <w:rFonts w:ascii="Arial" w:hAnsi="Arial" w:cs="Arial"/>
          <w:color w:val="000000" w:themeColor="text1"/>
          <w:sz w:val="24"/>
          <w:szCs w:val="24"/>
        </w:rPr>
      </w:pP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8.4.2. POC-01 — Acesso e permissões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 ao vivo: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criar usuário de teste e vinculá-lo a perfil restrito e a órgão ou unidade de teste;</w:t>
      </w:r>
    </w:p>
    <w:p>
      <w:pPr>
        <w:jc w:val="both"/>
        <w:rPr>
          <w:rFonts w:ascii="Arial" w:hAnsi="Arial" w:cs="Arial"/>
          <w:color w:val="000000" w:themeColor="text1"/>
          <w:sz w:val="24"/>
          <w:szCs w:val="24"/>
        </w:rPr>
      </w:pPr>
      <w:r>
        <w:rPr>
          <w:rFonts w:ascii="Arial" w:hAnsi="Arial" w:cs="Arial"/>
          <w:color w:val="000000" w:themeColor="text1"/>
          <w:sz w:val="24"/>
          <w:szCs w:val="24"/>
        </w:rPr>
        <w:t xml:space="preserve">b) realizar login e demonstrar que módulos não autorizados não são exibidos na navegação;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c) demonstrar que tentativa de acesso direto a funcionalidade não autorizada, por URL ou requisição equivalente, é bloqueada pelo servidor, e não apenas ocultada na interface;</w:t>
      </w:r>
    </w:p>
    <w:p>
      <w:pPr>
        <w:jc w:val="both"/>
        <w:rPr>
          <w:rFonts w:ascii="Arial" w:hAnsi="Arial" w:cs="Arial"/>
          <w:color w:val="000000" w:themeColor="text1"/>
          <w:sz w:val="24"/>
          <w:szCs w:val="24"/>
        </w:rPr>
      </w:pPr>
      <w:r>
        <w:rPr>
          <w:rFonts w:ascii="Arial" w:hAnsi="Arial" w:cs="Arial"/>
          <w:color w:val="000000" w:themeColor="text1"/>
          <w:sz w:val="24"/>
          <w:szCs w:val="24"/>
        </w:rPr>
        <w:t xml:space="preserve">d) demonstrar que o usuário não visualiza dados de órgão ou unidade não autorizados ao seu perfil;</w:t>
      </w:r>
    </w:p>
    <w:p>
      <w:pPr>
        <w:jc w:val="both"/>
        <w:rPr>
          <w:rFonts w:ascii="Arial" w:hAnsi="Arial" w:cs="Arial"/>
          <w:color w:val="000000" w:themeColor="text1"/>
          <w:sz w:val="24"/>
          <w:szCs w:val="24"/>
        </w:rPr>
      </w:pPr>
      <w:r>
        <w:rPr>
          <w:rFonts w:ascii="Arial" w:hAnsi="Arial" w:cs="Arial"/>
          <w:color w:val="000000" w:themeColor="text1"/>
          <w:sz w:val="24"/>
          <w:szCs w:val="24"/>
        </w:rPr>
        <w:t xml:space="preserve">e) alterar uma permissão do perfil e demonstrar o reflexo no acesso do usuário.</w:t>
      </w:r>
    </w:p>
    <w:p>
      <w:pPr>
        <w:jc w:val="both"/>
        <w:rPr>
          <w:rFonts w:ascii="Arial" w:hAnsi="Arial" w:cs="Arial"/>
          <w:color w:val="000000" w:themeColor="text1"/>
          <w:sz w:val="24"/>
          <w:szCs w:val="24"/>
        </w:rPr>
      </w:pPr>
      <w:r>
        <w:rPr>
          <w:rFonts w:ascii="Arial" w:hAnsi="Arial" w:cs="Arial"/>
          <w:color w:val="000000" w:themeColor="text1"/>
          <w:sz w:val="24"/>
          <w:szCs w:val="24"/>
        </w:rPr>
        <w:t xml:space="preserve">Critério de aprovação: bloqueio comprovado na interface e na camada de servidor e segregação efetiva por órgão e unidade.</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8.4.3. POC-02 — Painéis analíticos, resultados e controles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 demonstrar, com os dados de teste carregados, os painéis, resultados e controles abaixo, observando a origem, a data-base, as fórmulas, as premissas, as ressalvas e a possibilidade de detalhamento até os registros de origem quando a base permitir:</w:t>
      </w:r>
    </w:p>
    <w:p>
      <w:pPr>
        <w:jc w:val="both"/>
        <w:rPr>
          <w:rFonts w:ascii="Arial" w:hAnsi="Arial" w:cs="Arial"/>
          <w:color w:val="000000" w:themeColor="text1"/>
          <w:sz w:val="24"/>
          <w:szCs w:val="24"/>
        </w:rPr>
      </w:pPr>
      <w:r>
        <w:rPr>
          <w:rFonts w:ascii="Arial" w:hAnsi="Arial" w:cs="Arial"/>
          <w:color w:val="000000" w:themeColor="text1"/>
          <w:sz w:val="24"/>
          <w:szCs w:val="24"/>
        </w:rPr>
        <w:t xml:space="preserve">a) Receita: visão geral da receita prevista e arrecadada, receitas próprias, transferências correntes e análise por fonte de recurso;</w:t>
      </w:r>
    </w:p>
    <w:p>
      <w:pPr>
        <w:jc w:val="both"/>
        <w:rPr>
          <w:rFonts w:ascii="Arial" w:hAnsi="Arial" w:cs="Arial"/>
          <w:color w:val="000000" w:themeColor="text1"/>
          <w:sz w:val="24"/>
          <w:szCs w:val="24"/>
        </w:rPr>
      </w:pPr>
      <w:r>
        <w:rPr>
          <w:rFonts w:ascii="Arial" w:hAnsi="Arial" w:cs="Arial"/>
          <w:color w:val="000000" w:themeColor="text1"/>
          <w:sz w:val="24"/>
          <w:szCs w:val="24"/>
        </w:rPr>
        <w:t xml:space="preserve">b) Despesa: despesa por órgão, unidade, função, programa, elemento, fornecedor e estágios empenhado, liquidado e pago;</w:t>
      </w:r>
    </w:p>
    <w:p>
      <w:pPr>
        <w:jc w:val="both"/>
        <w:rPr>
          <w:rFonts w:ascii="Arial" w:hAnsi="Arial" w:cs="Arial"/>
          <w:color w:val="000000" w:themeColor="text1"/>
          <w:sz w:val="24"/>
          <w:szCs w:val="24"/>
        </w:rPr>
      </w:pPr>
      <w:r>
        <w:rPr>
          <w:rFonts w:ascii="Arial" w:hAnsi="Arial" w:cs="Arial"/>
          <w:color w:val="000000" w:themeColor="text1"/>
          <w:sz w:val="24"/>
          <w:szCs w:val="24"/>
        </w:rPr>
        <w:t xml:space="preserve">c) Resultado orçamentário: geral e por fonte de recurso, demonstrando receitas, despesas, superávit ou déficit e memória de cálculo;</w:t>
      </w:r>
    </w:p>
    <w:p>
      <w:pPr>
        <w:jc w:val="both"/>
        <w:rPr>
          <w:rFonts w:ascii="Arial" w:hAnsi="Arial" w:cs="Arial"/>
          <w:color w:val="000000" w:themeColor="text1"/>
          <w:sz w:val="24"/>
          <w:szCs w:val="24"/>
        </w:rPr>
      </w:pPr>
      <w:r>
        <w:rPr>
          <w:rFonts w:ascii="Arial" w:hAnsi="Arial" w:cs="Arial"/>
          <w:color w:val="000000" w:themeColor="text1"/>
          <w:sz w:val="24"/>
          <w:szCs w:val="24"/>
        </w:rPr>
        <w:t xml:space="preserve">d) Receita Corrente Líquida — RCL: cálculo, composição, memória de apuração, período de referência e bases utilizadas;</w:t>
      </w:r>
    </w:p>
    <w:p>
      <w:pPr>
        <w:jc w:val="both"/>
        <w:rPr>
          <w:rFonts w:ascii="Arial" w:hAnsi="Arial" w:cs="Arial"/>
          <w:color w:val="000000" w:themeColor="text1"/>
          <w:sz w:val="24"/>
          <w:szCs w:val="24"/>
        </w:rPr>
      </w:pPr>
      <w:r>
        <w:rPr>
          <w:rFonts w:ascii="Arial" w:hAnsi="Arial" w:cs="Arial"/>
          <w:color w:val="000000" w:themeColor="text1"/>
          <w:sz w:val="24"/>
          <w:szCs w:val="24"/>
        </w:rPr>
        <w:t xml:space="preserve">e) Índice de despesa com pessoal: percentual sobre a RCL, com indicação do Poder/órgão, limites de alerta, prudencial e máximo, premissas e ressalvas;</w:t>
      </w:r>
    </w:p>
    <w:p>
      <w:pPr>
        <w:jc w:val="both"/>
        <w:rPr>
          <w:rFonts w:ascii="Arial" w:hAnsi="Arial" w:cs="Arial"/>
          <w:color w:val="000000" w:themeColor="text1"/>
          <w:sz w:val="24"/>
          <w:szCs w:val="24"/>
        </w:rPr>
      </w:pPr>
      <w:r>
        <w:rPr>
          <w:rFonts w:ascii="Arial" w:hAnsi="Arial" w:cs="Arial"/>
          <w:color w:val="000000" w:themeColor="text1"/>
          <w:sz w:val="24"/>
          <w:szCs w:val="24"/>
        </w:rPr>
        <w:t xml:space="preserve">f) Educação: aplicação em MDE e FUNDEB, com indicação da base de cálculo, percentual apurado, parâmetro de referência e dados que compõem o resultado;</w:t>
      </w:r>
    </w:p>
    <w:p>
      <w:pPr>
        <w:jc w:val="both"/>
        <w:rPr>
          <w:rFonts w:ascii="Arial" w:hAnsi="Arial" w:cs="Arial"/>
          <w:color w:val="000000" w:themeColor="text1"/>
          <w:sz w:val="24"/>
          <w:szCs w:val="24"/>
        </w:rPr>
      </w:pPr>
      <w:r>
        <w:rPr>
          <w:rFonts w:ascii="Arial" w:hAnsi="Arial" w:cs="Arial"/>
          <w:color w:val="000000" w:themeColor="text1"/>
          <w:sz w:val="24"/>
          <w:szCs w:val="24"/>
        </w:rPr>
        <w:t xml:space="preserve">g) Saúde: aplicação em ASPS, com indicação da base de cálculo, percentual apurado, parâmetro de referência e dados considerados;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h) Endividamento: Dívida Consolidada em relação à RCL — DC/RCL —, com memória de cálculo, período e composição dos valores;</w:t>
      </w:r>
    </w:p>
    <w:p>
      <w:pPr>
        <w:jc w:val="both"/>
        <w:rPr>
          <w:rFonts w:ascii="Arial" w:hAnsi="Arial" w:cs="Arial"/>
          <w:color w:val="000000" w:themeColor="text1"/>
          <w:sz w:val="24"/>
          <w:szCs w:val="24"/>
        </w:rPr>
      </w:pPr>
      <w:r>
        <w:rPr>
          <w:rFonts w:ascii="Arial" w:hAnsi="Arial" w:cs="Arial"/>
          <w:color w:val="000000" w:themeColor="text1"/>
          <w:sz w:val="24"/>
          <w:szCs w:val="24"/>
        </w:rPr>
        <w:t xml:space="preserve">i) Disponibilidade de caixa líquida: disponibilidades brutas, obrigações, deduções, disponibilidade líquida, fontes e período de referência;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j) Projeção do resultado orçamentário: premissas utilizadas, período projetado, receitas e despesas consideradas, metodologia e indicação de que se trata de estimativa gerencial;</w:t>
      </w:r>
    </w:p>
    <w:p>
      <w:pPr>
        <w:jc w:val="both"/>
        <w:rPr>
          <w:rFonts w:ascii="Arial" w:hAnsi="Arial" w:cs="Arial"/>
          <w:color w:val="000000" w:themeColor="text1"/>
          <w:sz w:val="24"/>
          <w:szCs w:val="24"/>
        </w:rPr>
      </w:pPr>
      <w:r>
        <w:rPr>
          <w:rFonts w:ascii="Arial" w:hAnsi="Arial" w:cs="Arial"/>
          <w:color w:val="000000" w:themeColor="text1"/>
          <w:sz w:val="24"/>
          <w:szCs w:val="24"/>
        </w:rPr>
        <w:t xml:space="preserve">k) Caixa e patrimônio: saldos bancários por conta, órgão ou fonte, retenções, consignações, dívida consolidada e restos a pagar;</w:t>
      </w:r>
    </w:p>
    <w:p>
      <w:pPr>
        <w:jc w:val="both"/>
        <w:rPr>
          <w:rFonts w:ascii="Arial" w:hAnsi="Arial" w:cs="Arial"/>
          <w:color w:val="000000" w:themeColor="text1"/>
          <w:sz w:val="24"/>
          <w:szCs w:val="24"/>
        </w:rPr>
      </w:pPr>
      <w:r>
        <w:rPr>
          <w:rFonts w:ascii="Arial" w:hAnsi="Arial" w:cs="Arial"/>
          <w:color w:val="000000" w:themeColor="text1"/>
          <w:sz w:val="24"/>
          <w:szCs w:val="24"/>
        </w:rPr>
        <w:t xml:space="preserve">l) Controle de alteração orçamentária: créditos adicionais, anulações, suplementações, remanejamentos, transposições, transferências, saldo autorizado e execução correspondente, quando os dados importados permitirem;</w:t>
      </w:r>
    </w:p>
    <w:p>
      <w:pPr>
        <w:jc w:val="both"/>
        <w:rPr>
          <w:rFonts w:ascii="Arial" w:hAnsi="Arial" w:cs="Arial"/>
          <w:color w:val="000000" w:themeColor="text1"/>
          <w:sz w:val="24"/>
          <w:szCs w:val="24"/>
        </w:rPr>
      </w:pPr>
      <w:r>
        <w:rPr>
          <w:rFonts w:ascii="Arial" w:hAnsi="Arial" w:cs="Arial"/>
          <w:color w:val="000000" w:themeColor="text1"/>
          <w:sz w:val="24"/>
          <w:szCs w:val="24"/>
        </w:rPr>
        <w:t xml:space="preserve">m) Controle de retenções: retenções tributárias, previdenciárias e consignações, valores retidos, recolhidos e pendentes, quando a base permitir;</w:t>
      </w:r>
    </w:p>
    <w:p>
      <w:pPr>
        <w:jc w:val="both"/>
        <w:rPr>
          <w:rFonts w:ascii="Arial" w:hAnsi="Arial" w:cs="Arial"/>
          <w:color w:val="000000" w:themeColor="text1"/>
          <w:sz w:val="24"/>
          <w:szCs w:val="24"/>
        </w:rPr>
      </w:pPr>
      <w:r>
        <w:rPr>
          <w:rFonts w:ascii="Arial" w:hAnsi="Arial" w:cs="Arial"/>
          <w:color w:val="000000" w:themeColor="text1"/>
          <w:sz w:val="24"/>
          <w:szCs w:val="24"/>
        </w:rPr>
        <w:t xml:space="preserve">n) Transferências financeiras: concedidas e recebidas, com origem, destino, período, valor e situação;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o) Duodécimo: repasses ao Poder Legislativo, valores previstos e realizados, evolução e limites ou parâmetros aplicáveis;</w:t>
      </w:r>
    </w:p>
    <w:p>
      <w:pPr>
        <w:jc w:val="both"/>
        <w:rPr>
          <w:rFonts w:ascii="Arial" w:hAnsi="Arial" w:cs="Arial"/>
          <w:color w:val="000000" w:themeColor="text1"/>
          <w:sz w:val="24"/>
          <w:szCs w:val="24"/>
        </w:rPr>
      </w:pPr>
      <w:r>
        <w:rPr>
          <w:rFonts w:ascii="Arial" w:hAnsi="Arial" w:cs="Arial"/>
          <w:color w:val="000000" w:themeColor="text1"/>
          <w:sz w:val="24"/>
          <w:szCs w:val="24"/>
        </w:rPr>
        <w:t xml:space="preserve">p) Análise gerencial: filtros por exercício, período, órgão, unidade e/ou fonte; comparação entre exercícios; séries históricas; variação absoluta e percentual; drill-down até registro analítico; indicação de origem e data-base;</w:t>
      </w:r>
    </w:p>
    <w:p>
      <w:pPr>
        <w:jc w:val="both"/>
        <w:rPr>
          <w:rFonts w:ascii="Arial" w:hAnsi="Arial" w:cs="Arial"/>
          <w:color w:val="000000" w:themeColor="text1"/>
          <w:sz w:val="24"/>
          <w:szCs w:val="24"/>
        </w:rPr>
      </w:pPr>
      <w:r>
        <w:rPr>
          <w:rFonts w:ascii="Arial" w:hAnsi="Arial" w:cs="Arial"/>
          <w:color w:val="000000" w:themeColor="text1"/>
          <w:sz w:val="24"/>
          <w:szCs w:val="24"/>
        </w:rPr>
        <w:t xml:space="preserve">q) Exportação: exportação dos painéis em relatório PDF, com identificação da fonte, período e data da extração.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Critério de aprovação: os painéis e controles essenciais deverão estar disponíveis e operacionais; os resultados deverão ser coerentes com os dados de teste.</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8.4.4. POC-03 — Importação e reimportação controlada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w:t>
      </w:r>
    </w:p>
    <w:p>
      <w:pPr>
        <w:jc w:val="both"/>
        <w:rPr>
          <w:rFonts w:ascii="Arial" w:hAnsi="Arial" w:cs="Arial"/>
          <w:color w:val="000000" w:themeColor="text1"/>
          <w:sz w:val="24"/>
          <w:szCs w:val="24"/>
        </w:rPr>
      </w:pPr>
      <w:r>
        <w:rPr>
          <w:rFonts w:ascii="Arial" w:hAnsi="Arial" w:cs="Arial"/>
          <w:color w:val="000000" w:themeColor="text1"/>
          <w:sz w:val="24"/>
          <w:szCs w:val="24"/>
        </w:rPr>
        <w:t xml:space="preserve">a) importar, ao vivo, arquivo com registros válidos e inválidos;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b) exibir resumo contendo registros processados, aceitos, rejeitados, ignorados e pendentes, com mensagens de erro e indicação de linha ou registro sempre que possível;</w:t>
      </w:r>
    </w:p>
    <w:p>
      <w:pPr>
        <w:jc w:val="both"/>
        <w:rPr>
          <w:rFonts w:ascii="Arial" w:hAnsi="Arial" w:cs="Arial"/>
          <w:color w:val="000000" w:themeColor="text1"/>
          <w:sz w:val="24"/>
          <w:szCs w:val="24"/>
        </w:rPr>
      </w:pPr>
      <w:r>
        <w:rPr>
          <w:rFonts w:ascii="Arial" w:hAnsi="Arial" w:cs="Arial"/>
          <w:color w:val="000000" w:themeColor="text1"/>
          <w:sz w:val="24"/>
          <w:szCs w:val="24"/>
        </w:rPr>
        <w:t xml:space="preserve">c) exibir data/hora, usuário ou processo automático, origem e versão/layout;</w:t>
      </w:r>
    </w:p>
    <w:p>
      <w:pPr>
        <w:jc w:val="both"/>
        <w:rPr>
          <w:rFonts w:ascii="Arial" w:hAnsi="Arial" w:cs="Arial"/>
          <w:color w:val="000000" w:themeColor="text1"/>
          <w:sz w:val="24"/>
          <w:szCs w:val="24"/>
        </w:rPr>
      </w:pPr>
      <w:r>
        <w:rPr>
          <w:rFonts w:ascii="Arial" w:hAnsi="Arial" w:cs="Arial"/>
          <w:color w:val="000000" w:themeColor="text1"/>
          <w:sz w:val="24"/>
          <w:szCs w:val="24"/>
        </w:rPr>
        <w:t xml:space="preserve">d) demonstrar que os dados aceitos refletem nos painéis correspondentes;</w:t>
      </w:r>
    </w:p>
    <w:p>
      <w:pPr>
        <w:jc w:val="both"/>
        <w:rPr>
          <w:rFonts w:ascii="Arial" w:hAnsi="Arial" w:cs="Arial"/>
          <w:color w:val="000000" w:themeColor="text1"/>
          <w:sz w:val="24"/>
          <w:szCs w:val="24"/>
        </w:rPr>
      </w:pPr>
      <w:r>
        <w:rPr>
          <w:rFonts w:ascii="Arial" w:hAnsi="Arial" w:cs="Arial"/>
          <w:color w:val="000000" w:themeColor="text1"/>
          <w:sz w:val="24"/>
          <w:szCs w:val="24"/>
        </w:rPr>
        <w:t xml:space="preserve">e) reimportar o mesmo período e demonstrar confirmação explícita antes da substituição;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f) demonstrar inexistência de duplicação silenciosa e preservação do histórico anterior;</w:t>
      </w:r>
    </w:p>
    <w:p>
      <w:pPr>
        <w:jc w:val="both"/>
        <w:rPr>
          <w:rFonts w:ascii="Arial" w:hAnsi="Arial" w:cs="Arial"/>
          <w:color w:val="000000" w:themeColor="text1"/>
          <w:sz w:val="24"/>
          <w:szCs w:val="24"/>
        </w:rPr>
      </w:pPr>
      <w:r>
        <w:rPr>
          <w:rFonts w:ascii="Arial" w:hAnsi="Arial" w:cs="Arial"/>
          <w:color w:val="000000" w:themeColor="text1"/>
          <w:sz w:val="24"/>
          <w:szCs w:val="24"/>
        </w:rPr>
        <w:t xml:space="preserve">g) demonstrar reprocessamento controlado do lote sem perda dos metadados.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Critério de aprovação: registros inválidos identificados; resumo completo; reimportação sem duplicação; confirmação prévia; histórico preservado.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8.4.5. POC-04 — Entregas, obrigações e CAUC</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cadastrar obrigação com descrição, órgão destinatário, prazo e responsável;</w:t>
      </w:r>
    </w:p>
    <w:p>
      <w:pPr>
        <w:jc w:val="both"/>
        <w:rPr>
          <w:rFonts w:ascii="Arial" w:hAnsi="Arial" w:cs="Arial"/>
          <w:color w:val="000000" w:themeColor="text1"/>
          <w:sz w:val="24"/>
          <w:szCs w:val="24"/>
        </w:rPr>
      </w:pPr>
      <w:r>
        <w:rPr>
          <w:rFonts w:ascii="Arial" w:hAnsi="Arial" w:cs="Arial"/>
          <w:color w:val="000000" w:themeColor="text1"/>
          <w:sz w:val="24"/>
          <w:szCs w:val="24"/>
        </w:rPr>
        <w:t xml:space="preserve">b) demonstrar alerta de proximidade ou vencimento;</w:t>
      </w:r>
    </w:p>
    <w:p>
      <w:pPr>
        <w:jc w:val="both"/>
        <w:rPr>
          <w:rFonts w:ascii="Arial" w:hAnsi="Arial" w:cs="Arial"/>
          <w:color w:val="000000" w:themeColor="text1"/>
          <w:sz w:val="24"/>
          <w:szCs w:val="24"/>
        </w:rPr>
      </w:pPr>
      <w:r>
        <w:rPr>
          <w:rFonts w:ascii="Arial" w:hAnsi="Arial" w:cs="Arial"/>
          <w:color w:val="000000" w:themeColor="text1"/>
          <w:sz w:val="24"/>
          <w:szCs w:val="24"/>
        </w:rPr>
        <w:t xml:space="preserve">c) registrar cumprimento com anexação de evidência;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d) alterar status e exibir histórico com usuário e data;</w:t>
      </w:r>
    </w:p>
    <w:p>
      <w:pPr>
        <w:jc w:val="both"/>
        <w:rPr>
          <w:rFonts w:ascii="Arial" w:hAnsi="Arial" w:cs="Arial"/>
          <w:color w:val="000000" w:themeColor="text1"/>
          <w:sz w:val="24"/>
          <w:szCs w:val="24"/>
        </w:rPr>
      </w:pPr>
      <w:r>
        <w:rPr>
          <w:rFonts w:ascii="Arial" w:hAnsi="Arial" w:cs="Arial"/>
          <w:color w:val="000000" w:themeColor="text1"/>
          <w:sz w:val="24"/>
          <w:szCs w:val="24"/>
        </w:rPr>
        <w:t xml:space="preserve">e) demonstrar consulta de obrigações pendentes por prazo, responsável e situação;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f) demonstrar a exibição da situação de adimplência no CAUC — a partir de dados reais quando disponíveis ou de dados simulados representativos, conforme o item 8.1.6 —, com indicação da data da consulta e alerta expresso caso a fonte esteja indisponível ou defasada.</w:t>
      </w:r>
    </w:p>
    <w:p>
      <w:pPr>
        <w:jc w:val="both"/>
        <w:rPr>
          <w:rFonts w:ascii="Arial" w:hAnsi="Arial" w:cs="Arial"/>
          <w:color w:val="000000" w:themeColor="text1"/>
          <w:sz w:val="24"/>
          <w:szCs w:val="24"/>
        </w:rPr>
      </w:pPr>
      <w:r>
        <w:rPr>
          <w:rFonts w:ascii="Arial" w:hAnsi="Arial" w:cs="Arial"/>
          <w:color w:val="000000" w:themeColor="text1"/>
          <w:sz w:val="24"/>
          <w:szCs w:val="24"/>
        </w:rPr>
        <w:t xml:space="preserve">Critério de aprovação: ciclo completo de obrigações — cadastro, alerta, evidência, alteração e histórico — demonstrado no sistema; painel do CAUC demonstrado com indicação clara da data e da origem da informação.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8.4.6. POC-05 — Processos do TCM-GO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cadastrar processo com número, órgão, exercício, unidade responsável, assunto e fase;</w:t>
      </w:r>
    </w:p>
    <w:p>
      <w:pPr>
        <w:jc w:val="both"/>
        <w:rPr>
          <w:rFonts w:ascii="Arial" w:hAnsi="Arial" w:cs="Arial"/>
          <w:color w:val="000000" w:themeColor="text1"/>
          <w:sz w:val="24"/>
          <w:szCs w:val="24"/>
        </w:rPr>
      </w:pPr>
      <w:r>
        <w:rPr>
          <w:rFonts w:ascii="Arial" w:hAnsi="Arial" w:cs="Arial"/>
          <w:color w:val="000000" w:themeColor="text1"/>
          <w:sz w:val="24"/>
          <w:szCs w:val="24"/>
        </w:rPr>
        <w:t xml:space="preserve">b) registrar diligência vinculada, com prazo de resposta e providência pendente;</w:t>
      </w:r>
    </w:p>
    <w:p>
      <w:pPr>
        <w:jc w:val="both"/>
        <w:rPr>
          <w:rFonts w:ascii="Arial" w:hAnsi="Arial" w:cs="Arial"/>
          <w:color w:val="000000" w:themeColor="text1"/>
          <w:sz w:val="24"/>
          <w:szCs w:val="24"/>
        </w:rPr>
      </w:pPr>
      <w:r>
        <w:rPr>
          <w:rFonts w:ascii="Arial" w:hAnsi="Arial" w:cs="Arial"/>
          <w:color w:val="000000" w:themeColor="text1"/>
          <w:sz w:val="24"/>
          <w:szCs w:val="24"/>
        </w:rPr>
        <w:t xml:space="preserve">c) atribuir responsável à providência;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d) anexar ou vincular documento;</w:t>
      </w:r>
    </w:p>
    <w:p>
      <w:pPr>
        <w:jc w:val="both"/>
        <w:rPr>
          <w:rFonts w:ascii="Arial" w:hAnsi="Arial" w:cs="Arial"/>
          <w:color w:val="000000" w:themeColor="text1"/>
          <w:sz w:val="24"/>
          <w:szCs w:val="24"/>
        </w:rPr>
      </w:pPr>
      <w:r>
        <w:rPr>
          <w:rFonts w:ascii="Arial" w:hAnsi="Arial" w:cs="Arial"/>
          <w:color w:val="000000" w:themeColor="text1"/>
          <w:sz w:val="24"/>
          <w:szCs w:val="24"/>
        </w:rPr>
        <w:t xml:space="preserve">e) distinguir informação publicada, importada, lançada manualmente e aguardando atualização;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f) exibir consulta consolidada por exercício, órgão, fase e existência de providência pendente;</w:t>
      </w:r>
    </w:p>
    <w:p>
      <w:pPr>
        <w:jc w:val="both"/>
        <w:rPr>
          <w:rFonts w:ascii="Arial" w:hAnsi="Arial" w:cs="Arial"/>
          <w:color w:val="000000" w:themeColor="text1"/>
          <w:sz w:val="24"/>
          <w:szCs w:val="24"/>
        </w:rPr>
      </w:pPr>
      <w:r>
        <w:rPr>
          <w:rFonts w:ascii="Arial" w:hAnsi="Arial" w:cs="Arial"/>
          <w:color w:val="000000" w:themeColor="text1"/>
          <w:sz w:val="24"/>
          <w:szCs w:val="24"/>
        </w:rPr>
        <w:t xml:space="preserve">g) gerar alerta de prazo de diligência.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Critério de aprovação: atributos registráveis; origem da informação visível; prazo, responsável e providência acompanháveis.</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8.4.7. POC-06 — Aplicativo móvel</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 em dispositivo móvel ou emulador funcional:</w:t>
      </w:r>
    </w:p>
    <w:p>
      <w:pPr>
        <w:jc w:val="both"/>
        <w:rPr>
          <w:rFonts w:ascii="Arial" w:hAnsi="Arial" w:cs="Arial"/>
          <w:color w:val="000000" w:themeColor="text1"/>
          <w:sz w:val="24"/>
          <w:szCs w:val="24"/>
        </w:rPr>
      </w:pPr>
      <w:r>
        <w:rPr>
          <w:rFonts w:ascii="Arial" w:hAnsi="Arial" w:cs="Arial"/>
          <w:color w:val="000000" w:themeColor="text1"/>
          <w:sz w:val="24"/>
          <w:szCs w:val="24"/>
        </w:rPr>
        <w:t xml:space="preserve">a) realizar login com usuário de teste e credencial compatível com a web;</w:t>
      </w:r>
    </w:p>
    <w:p>
      <w:pPr>
        <w:jc w:val="both"/>
        <w:rPr>
          <w:rFonts w:ascii="Arial" w:hAnsi="Arial" w:cs="Arial"/>
          <w:color w:val="000000" w:themeColor="text1"/>
          <w:sz w:val="24"/>
          <w:szCs w:val="24"/>
        </w:rPr>
      </w:pPr>
      <w:r>
        <w:rPr>
          <w:rFonts w:ascii="Arial" w:hAnsi="Arial" w:cs="Arial"/>
          <w:color w:val="000000" w:themeColor="text1"/>
          <w:sz w:val="24"/>
          <w:szCs w:val="24"/>
        </w:rPr>
        <w:t xml:space="preserve">b) consultar painéis de receita, despesa, caixa e ao menos um indicador legal;</w:t>
      </w:r>
    </w:p>
    <w:p>
      <w:pPr>
        <w:jc w:val="both"/>
        <w:rPr>
          <w:rFonts w:ascii="Arial" w:hAnsi="Arial" w:cs="Arial"/>
          <w:color w:val="000000" w:themeColor="text1"/>
          <w:sz w:val="24"/>
          <w:szCs w:val="24"/>
        </w:rPr>
      </w:pPr>
      <w:r>
        <w:rPr>
          <w:rFonts w:ascii="Arial" w:hAnsi="Arial" w:cs="Arial"/>
          <w:color w:val="000000" w:themeColor="text1"/>
          <w:sz w:val="24"/>
          <w:szCs w:val="24"/>
        </w:rPr>
        <w:t xml:space="preserve">c) demonstrar valores idênticos aos exibidos na web para os mesmos filtros, salvo atualização expressamente informada;</w:t>
      </w:r>
    </w:p>
    <w:p>
      <w:pPr>
        <w:jc w:val="both"/>
        <w:rPr>
          <w:rFonts w:ascii="Arial" w:hAnsi="Arial" w:cs="Arial"/>
          <w:color w:val="000000" w:themeColor="text1"/>
          <w:sz w:val="24"/>
          <w:szCs w:val="24"/>
        </w:rPr>
      </w:pPr>
      <w:r>
        <w:rPr>
          <w:rFonts w:ascii="Arial" w:hAnsi="Arial" w:cs="Arial"/>
          <w:color w:val="000000" w:themeColor="text1"/>
          <w:sz w:val="24"/>
          <w:szCs w:val="24"/>
        </w:rPr>
        <w:t xml:space="preserve">d) visualizar alertas e consultar obrigação ou processo acompanhado;</w:t>
      </w:r>
    </w:p>
    <w:p>
      <w:pPr>
        <w:jc w:val="both"/>
        <w:rPr>
          <w:rFonts w:ascii="Arial" w:hAnsi="Arial" w:cs="Arial"/>
          <w:color w:val="000000" w:themeColor="text1"/>
          <w:sz w:val="24"/>
          <w:szCs w:val="24"/>
        </w:rPr>
      </w:pPr>
      <w:r>
        <w:rPr>
          <w:rFonts w:ascii="Arial" w:hAnsi="Arial" w:cs="Arial"/>
          <w:color w:val="000000" w:themeColor="text1"/>
          <w:sz w:val="24"/>
          <w:szCs w:val="24"/>
        </w:rPr>
        <w:t xml:space="preserve">e) demonstrar que perfil restrito não visualiza módulos ou informações não autorizados;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f) demonstrar comunicação protegida e identificação da versão do aplicativo.</w:t>
      </w:r>
    </w:p>
    <w:p>
      <w:pPr>
        <w:jc w:val="both"/>
        <w:rPr>
          <w:rFonts w:ascii="Arial" w:hAnsi="Arial" w:cs="Arial"/>
          <w:color w:val="000000" w:themeColor="text1"/>
          <w:sz w:val="24"/>
          <w:szCs w:val="24"/>
        </w:rPr>
      </w:pPr>
      <w:r>
        <w:rPr>
          <w:rFonts w:ascii="Arial" w:hAnsi="Arial" w:cs="Arial"/>
          <w:color w:val="000000" w:themeColor="text1"/>
          <w:sz w:val="24"/>
          <w:szCs w:val="24"/>
        </w:rPr>
        <w:t xml:space="preserve">Critério de aprovação: mesma base de dados, paridade de permissões web/aplicativo e funcionamento das funções essenciais.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8.5. Critérios de avaliação e julgamento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8.5.1.</w:t>
      </w:r>
      <w:r>
        <w:rPr>
          <w:rFonts w:ascii="Arial" w:hAnsi="Arial" w:cs="Arial"/>
          <w:color w:val="000000" w:themeColor="text1"/>
          <w:sz w:val="24"/>
          <w:szCs w:val="24"/>
        </w:rPr>
        <w:t xml:space="preserve"> Cada teste será avaliado pela comissão como: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Atendido — todos os passos e critérios de aprovação demonstrados;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b) Atendido parcialmente — funcionalidade existente e operacional, com lacuna pontual que não comprometa a essência do requisito e que seja registrada de forma específica em ata;</w:t>
      </w:r>
    </w:p>
    <w:p>
      <w:pPr>
        <w:jc w:val="both"/>
        <w:rPr>
          <w:rFonts w:ascii="Arial" w:hAnsi="Arial" w:cs="Arial"/>
          <w:color w:val="000000" w:themeColor="text1"/>
          <w:sz w:val="24"/>
          <w:szCs w:val="24"/>
        </w:rPr>
      </w:pPr>
      <w:r>
        <w:rPr>
          <w:rFonts w:ascii="Arial" w:hAnsi="Arial" w:cs="Arial"/>
          <w:color w:val="000000" w:themeColor="text1"/>
          <w:sz w:val="24"/>
          <w:szCs w:val="24"/>
        </w:rPr>
        <w:t xml:space="preserve">c) Não atendido — funcionalidade inexistente, inoperante, incompatível com o requisito, demonstrada apenas por simulação ou dependente de desenvolvimento substancial não disponível.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8.5.2.</w:t>
      </w:r>
      <w:r>
        <w:rPr>
          <w:rFonts w:ascii="Arial" w:hAnsi="Arial" w:cs="Arial"/>
          <w:color w:val="000000" w:themeColor="text1"/>
          <w:sz w:val="24"/>
          <w:szCs w:val="24"/>
        </w:rPr>
        <w:t xml:space="preserve"> Para fins de julgamento, os testes do roteiro classificam-se em:</w:t>
      </w:r>
    </w:p>
    <w:p>
      <w:pPr>
        <w:jc w:val="both"/>
        <w:rPr>
          <w:rFonts w:ascii="Arial" w:hAnsi="Arial" w:cs="Arial"/>
          <w:color w:val="000000" w:themeColor="text1"/>
          <w:sz w:val="24"/>
          <w:szCs w:val="24"/>
        </w:rPr>
      </w:pPr>
      <w:r>
        <w:rPr>
          <w:rFonts w:ascii="Arial" w:hAnsi="Arial" w:cs="Arial"/>
          <w:color w:val="000000" w:themeColor="text1"/>
          <w:sz w:val="24"/>
          <w:szCs w:val="24"/>
        </w:rPr>
        <w:t xml:space="preserve">a) essenciais — POC-01, POC-02, POC-03 e POC-04 —, por corresponderem aos requisitos estruturantes de controle de acesso, análise gerencial, ingestão de dados e conformidade;</w:t>
      </w:r>
    </w:p>
    <w:p>
      <w:pPr>
        <w:jc w:val="both"/>
        <w:rPr>
          <w:rFonts w:ascii="Arial" w:hAnsi="Arial" w:cs="Arial"/>
          <w:color w:val="000000" w:themeColor="text1"/>
          <w:sz w:val="24"/>
          <w:szCs w:val="24"/>
        </w:rPr>
      </w:pPr>
      <w:r>
        <w:rPr>
          <w:rFonts w:ascii="Arial" w:hAnsi="Arial" w:cs="Arial"/>
          <w:color w:val="000000" w:themeColor="text1"/>
          <w:sz w:val="24"/>
          <w:szCs w:val="24"/>
        </w:rPr>
        <w:t xml:space="preserve">b) complementares — POC-05 e POC-06.</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8.5.3.</w:t>
      </w:r>
      <w:r>
        <w:rPr>
          <w:rFonts w:ascii="Arial" w:hAnsi="Arial" w:cs="Arial"/>
          <w:color w:val="000000" w:themeColor="text1"/>
          <w:sz w:val="24"/>
          <w:szCs w:val="24"/>
        </w:rPr>
        <w:t xml:space="preserve"> A licitante será considerada aprovada quando, cumulativamente: a) nenhum teste essencial for avaliado como não atendido; b) no máximo 2 (dois) testes essenciais forem avaliados como atendido parcialmente; c) no máximo 1 (um) teste complementar for avaliado como não atendido; e d) as lacunas identificadas sejam sanáveis por configuração, parametrização, carga de dados ou ajuste que não represente desenvolvimento substancial da solução.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8.5.3.1.</w:t>
      </w:r>
      <w:r>
        <w:rPr>
          <w:rFonts w:ascii="Arial" w:hAnsi="Arial" w:cs="Arial"/>
          <w:color w:val="000000" w:themeColor="text1"/>
          <w:sz w:val="24"/>
          <w:szCs w:val="24"/>
        </w:rPr>
        <w:t xml:space="preserve"> Considera-se atendimento parcial a funcionalidade existente e operacional cuja demonstração apresente lacuna pontual que não comprometa a finalidade do requisito. A comissão deverá descrever objetivamente, em ata, a lacuna observada e a sua repercussão sobre o uso pretendido.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8.5.3.2.</w:t>
      </w:r>
      <w:r>
        <w:rPr>
          <w:rFonts w:ascii="Arial" w:hAnsi="Arial" w:cs="Arial"/>
          <w:color w:val="000000" w:themeColor="text1"/>
          <w:sz w:val="24"/>
          <w:szCs w:val="24"/>
        </w:rPr>
        <w:t xml:space="preserve"> O não atendimento de teste complementar poderá ser reclassificado como atendimento parcial quando a licitante demonstrar, na mesma sessão, caminho alternativo que produza o mesmo resultado funcional, ainda que por fluxo diverso do descrito no roteiro.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8.5.3.3.</w:t>
      </w:r>
      <w:r>
        <w:rPr>
          <w:rFonts w:ascii="Arial" w:hAnsi="Arial" w:cs="Arial"/>
          <w:color w:val="000000" w:themeColor="text1"/>
          <w:sz w:val="24"/>
          <w:szCs w:val="24"/>
        </w:rPr>
        <w:t xml:space="preserve"> As pendências classificadas como atendimento parcial e o teste complementar não atendido serão consolidados em plano de regularização, registrado em ata, com prazo de saneamento até o término da implantação. O plano integrará as obrigações contratuais da adjudicatária e o seu descumprimento sujeitará a contratada às consequências previstas neste Termo de Referência, sem prejuízo da recusa do recebimento definitivo.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8.5.3.4.</w:t>
      </w:r>
      <w:r>
        <w:rPr>
          <w:rFonts w:ascii="Arial" w:hAnsi="Arial" w:cs="Arial"/>
          <w:color w:val="000000" w:themeColor="text1"/>
          <w:sz w:val="24"/>
          <w:szCs w:val="24"/>
        </w:rPr>
        <w:t xml:space="preserve"> A avaliação considerará a finalidade do requisito, e não a identidade de nomenclatura, de disposição de telas ou de sequência de operações. Solução que alcance o resultado exigido por meio diverso será considerada atendida.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8.5.4.</w:t>
      </w:r>
      <w:r>
        <w:rPr>
          <w:rFonts w:ascii="Arial" w:hAnsi="Arial" w:cs="Arial"/>
          <w:color w:val="000000" w:themeColor="text1"/>
          <w:sz w:val="24"/>
          <w:szCs w:val="24"/>
        </w:rPr>
        <w:t xml:space="preserve"> Falha pontual de ambiente, conectividade, projeção ou indisponibilidade momentânea que não seja atribuível à solução não implicará reprovação automática. A comissão poderá autorizar uma repetição do passo afetado na mesma sessão ou, se tecnicamente inviável, em sessão complementar no primeiro dia útil subsequente, registrando a ocorrência e a justificativa. Indisponibilidade comprovada de fonte externa (CAUC ou TCM-GO) durante a sessão não implicará reprovação, aplicando-se o disposto no item 8.1.6.</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8.5.5.</w:t>
      </w:r>
      <w:r>
        <w:rPr>
          <w:rFonts w:ascii="Arial" w:hAnsi="Arial" w:cs="Arial"/>
          <w:color w:val="000000" w:themeColor="text1"/>
          <w:sz w:val="24"/>
          <w:szCs w:val="24"/>
        </w:rPr>
        <w:t xml:space="preserve"> A repetição prevista no item 8.5.4 não poderá ser utilizada para permitir desenvolvimento, correção estrutural ou alteração substancial da solução durante a POC. A repetição servirá apenas para eliminar dúvida decorrente de falha circunstancial comprovada.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8.5.6.</w:t>
      </w:r>
      <w:r>
        <w:rPr>
          <w:rFonts w:ascii="Arial" w:hAnsi="Arial" w:cs="Arial"/>
          <w:color w:val="000000" w:themeColor="text1"/>
          <w:sz w:val="24"/>
          <w:szCs w:val="24"/>
        </w:rPr>
        <w:t xml:space="preserve"> A reprovação na POC implicará a desclassificação da proposta, com convocação da licitante subsequente na ordem de classificação para realização de novo procedimento, nos termos do edital e da legislação aplicável.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8.5.7.</w:t>
      </w:r>
      <w:r>
        <w:rPr>
          <w:rFonts w:ascii="Arial" w:hAnsi="Arial" w:cs="Arial"/>
          <w:color w:val="000000" w:themeColor="text1"/>
          <w:sz w:val="24"/>
          <w:szCs w:val="24"/>
        </w:rPr>
        <w:t xml:space="preserve"> Não caberá à comissão exigir, durante a sessão, funcionalidade, layout, integração, parametrização ou desempenho não previsto neste Termo de Referência, nem reprovar a licitante por aspecto meramente estético ou preferência subjetiva.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8.5.8.</w:t>
      </w:r>
      <w:r>
        <w:rPr>
          <w:rFonts w:ascii="Arial" w:hAnsi="Arial" w:cs="Arial"/>
          <w:color w:val="000000" w:themeColor="text1"/>
          <w:sz w:val="24"/>
          <w:szCs w:val="24"/>
        </w:rPr>
        <w:t xml:space="preserve"> A avaliação deverá considerar exclusivamente a funcionalidade demonstrada, os requisitos de referência, os critérios de aprovação e as evidências registradas, vedada a criação de requisito novo durante a sessão.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8.6. Registro, ata e resultado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8.6.1.</w:t>
      </w:r>
      <w:r>
        <w:rPr>
          <w:rFonts w:ascii="Arial" w:hAnsi="Arial" w:cs="Arial"/>
          <w:color w:val="000000" w:themeColor="text1"/>
          <w:sz w:val="24"/>
          <w:szCs w:val="24"/>
        </w:rPr>
        <w:t xml:space="preserve"> A sessão será registrada em ata circunstanciada, assinada pela comissão e pelo(s) representante(s) da licitante, contendo: a) data, horário, local ou plataforma utilizada; b) identificação dos participantes; c) arquivos, dados e ambiente utilizados; d) sequência dos testes realizados; e) avaliação individual de cada teste; f) evidências apresentadas; g) ocorrências, falhas, repetições e justificativas; h) pendências ou lacunas classificadas como atendimento parcial; i) conclusão motivada pela aprovação ou reprovação.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8.6.2.</w:t>
      </w:r>
      <w:r>
        <w:rPr>
          <w:rFonts w:ascii="Arial" w:hAnsi="Arial" w:cs="Arial"/>
          <w:color w:val="000000" w:themeColor="text1"/>
          <w:sz w:val="24"/>
          <w:szCs w:val="24"/>
        </w:rPr>
        <w:t xml:space="preserve"> A sessão poderá ser gravada em áudio, vídeo ou captura de tela, mediante ciência prévia dos participantes. A gravação, quando realizada, integrará o processo administrativo e será tratada conforme as regras de acesso, sigilo e proteção de dados aplicáveis.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8.6.3.</w:t>
      </w:r>
      <w:r>
        <w:rPr>
          <w:rFonts w:ascii="Arial" w:hAnsi="Arial" w:cs="Arial"/>
          <w:color w:val="000000" w:themeColor="text1"/>
          <w:sz w:val="24"/>
          <w:szCs w:val="24"/>
        </w:rPr>
        <w:t xml:space="preserve"> A comissão poderá anexar à ata arquivos exportados, relatórios, capturas de tela, logs, registros de processamento e demais evidências necessárias à reconstituição dos testes.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8.6.4.</w:t>
      </w:r>
      <w:r>
        <w:rPr>
          <w:rFonts w:ascii="Arial" w:hAnsi="Arial" w:cs="Arial"/>
          <w:color w:val="000000" w:themeColor="text1"/>
          <w:sz w:val="24"/>
          <w:szCs w:val="24"/>
        </w:rPr>
        <w:t xml:space="preserve"> O resultado da POC será divulgado em até 3 (três) dias úteis após o encerramento da sessão, contendo a motivação da avaliação de cada teste, assegurados os prazos e meios recursais previstos no edital.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8.6.5.</w:t>
      </w:r>
      <w:r>
        <w:rPr>
          <w:rFonts w:ascii="Arial" w:hAnsi="Arial" w:cs="Arial"/>
          <w:color w:val="000000" w:themeColor="text1"/>
          <w:sz w:val="24"/>
          <w:szCs w:val="24"/>
        </w:rPr>
        <w:t xml:space="preserve"> A decisão de reprovação deverá indicar o(s) teste(s) não atendido(s), a exigência correspondente, o fato observado e a evidência registrada, não sendo suficiente fundamentação genérica.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8.6.6.</w:t>
      </w:r>
      <w:r>
        <w:rPr>
          <w:rFonts w:ascii="Arial" w:hAnsi="Arial" w:cs="Arial"/>
          <w:color w:val="000000" w:themeColor="text1"/>
          <w:sz w:val="24"/>
          <w:szCs w:val="24"/>
        </w:rPr>
        <w:t xml:space="preserve"> Os dados, documentos e credenciais de teste utilizados na POC deverão ser excluídos do ambiente da licitante após a homologação do certame ou após o encerramento definitivo da disputa, conforme o que ocorrer por último, mediante declaração de eliminação, ressalvadas as retenções exigidas por lei ou necessárias à defesa em processo administrativo ou judicial.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8.6.7.</w:t>
      </w:r>
      <w:r>
        <w:rPr>
          <w:rFonts w:ascii="Arial" w:hAnsi="Arial" w:cs="Arial"/>
          <w:color w:val="000000" w:themeColor="text1"/>
          <w:sz w:val="24"/>
          <w:szCs w:val="24"/>
        </w:rPr>
        <w:t xml:space="preserve"> A licitante deverá informar à Administração, no prazo definido na convocação, a conclusão da eliminação dos dados de teste e eventuais dados que tenham sido mantidos, indicando fundamento, finalidade e prazo de retenção.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9. Modelo de gestão e fiscalização do contrato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execução deverá ser acompanhada e fiscalizada por servidor(es) formalmente designado(s), nos termos do art. 117 da Lei nº 14.133/2021. A designação deverá indicar gestor, fiscal técnico, fiscal administrativo e substitutos quando aplicável.</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9.1. Glosas e descontos</w:t>
      </w:r>
    </w:p>
    <w:p>
      <w:pPr>
        <w:jc w:val="both"/>
        <w:rPr>
          <w:rFonts w:ascii="Arial" w:hAnsi="Arial" w:cs="Arial"/>
          <w:color w:val="000000" w:themeColor="text1"/>
          <w:sz w:val="24"/>
          <w:szCs w:val="24"/>
        </w:rPr>
      </w:pPr>
      <w:r>
        <w:rPr>
          <w:rFonts w:ascii="Arial" w:hAnsi="Arial" w:cs="Arial"/>
          <w:color w:val="000000" w:themeColor="text1"/>
          <w:sz w:val="24"/>
          <w:szCs w:val="24"/>
        </w:rPr>
        <w:t xml:space="preserve">As glosas incidirão somente sobre a parcela mensal correspondente ao período de apuração em que verificada a ocorrência e dependerão de registro da ocorrência, manifestação da contratada e decisão do gestor, sem prejuízo do contraditório quando a medida tiver natureza sancionatória.</w:t>
      </w:r>
    </w:p>
    <w:p>
      <w:pPr>
        <w:jc w:val="both"/>
        <w:rPr>
          <w:rFonts w:ascii="Arial" w:hAnsi="Arial" w:cs="Arial"/>
          <w:color w:val="000000" w:themeColor="text1"/>
          <w:sz w:val="24"/>
          <w:szCs w:val="24"/>
        </w:rPr>
      </w:pPr>
      <w:r>
        <w:rPr>
          <w:rFonts w:ascii="Arial" w:hAnsi="Arial" w:cs="Arial"/>
          <w:color w:val="000000" w:themeColor="text1"/>
          <w:sz w:val="24"/>
          <w:szCs w:val="24"/>
        </w:rPr>
        <w:t xml:space="preserve">Para disponibilidade inferior à meta, poderá ser aplicado desconto de </w:t>
      </w:r>
      <w:r>
        <w:rPr>
          <w:rFonts w:ascii="Arial" w:hAnsi="Arial" w:cs="Arial"/>
          <w:b/>
          <w:color w:val="000000" w:themeColor="text1"/>
          <w:sz w:val="24"/>
          <w:szCs w:val="24"/>
        </w:rPr>
        <w:t xml:space="preserve">2% do valor mensal por cada ponto percentual completo ou fração proporcional de indisponibilidade abaixo de 99,5%</w:t>
      </w:r>
      <w:r>
        <w:rPr>
          <w:rFonts w:ascii="Arial" w:hAnsi="Arial" w:cs="Arial"/>
          <w:color w:val="000000" w:themeColor="text1"/>
          <w:sz w:val="24"/>
          <w:szCs w:val="24"/>
        </w:rPr>
        <w:t xml:space="preserve">, limitado a 10% do valor mensal, sem prejuízo de outras medidas quando houver reincidência ou interrupção grave.</w:t>
      </w:r>
    </w:p>
    <w:p>
      <w:pPr>
        <w:jc w:val="both"/>
        <w:rPr>
          <w:rFonts w:ascii="Arial" w:hAnsi="Arial" w:cs="Arial"/>
          <w:color w:val="000000" w:themeColor="text1"/>
          <w:sz w:val="24"/>
          <w:szCs w:val="24"/>
        </w:rPr>
      </w:pPr>
      <w:r>
        <w:rPr>
          <w:rFonts w:ascii="Arial" w:hAnsi="Arial" w:cs="Arial"/>
          <w:color w:val="000000" w:themeColor="text1"/>
          <w:sz w:val="24"/>
          <w:szCs w:val="24"/>
        </w:rPr>
        <w:t xml:space="preserve">Para incidente P1 não atendido no prazo, poderá ser aplicado desconto de </w:t>
      </w:r>
      <w:r>
        <w:rPr>
          <w:rFonts w:ascii="Arial" w:hAnsi="Arial" w:cs="Arial"/>
          <w:b/>
          <w:color w:val="000000" w:themeColor="text1"/>
          <w:sz w:val="24"/>
          <w:szCs w:val="24"/>
        </w:rPr>
        <w:t xml:space="preserve">1% do valor mensal por ocorrência</w:t>
      </w:r>
      <w:r>
        <w:rPr>
          <w:rFonts w:ascii="Arial" w:hAnsi="Arial" w:cs="Arial"/>
          <w:color w:val="000000" w:themeColor="text1"/>
          <w:sz w:val="24"/>
          <w:szCs w:val="24"/>
        </w:rPr>
        <w:t xml:space="preserve">, limitado a 10% no mês, desde que a ocorrência seja imputável à contratada e não esteja abrangida por exclusão contratual comprovada.</w:t>
      </w:r>
    </w:p>
    <w:p>
      <w:pPr>
        <w:jc w:val="both"/>
        <w:rPr>
          <w:rFonts w:ascii="Arial" w:hAnsi="Arial" w:cs="Arial"/>
          <w:color w:val="000000" w:themeColor="text1"/>
          <w:sz w:val="24"/>
          <w:szCs w:val="24"/>
        </w:rPr>
      </w:pPr>
      <w:r>
        <w:rPr>
          <w:rFonts w:ascii="Arial" w:hAnsi="Arial" w:cs="Arial"/>
          <w:color w:val="000000" w:themeColor="text1"/>
          <w:sz w:val="24"/>
          <w:szCs w:val="24"/>
        </w:rPr>
        <w:t xml:space="preserve">Glosa não substitui multa ou sanção quando houver infração administrativa, nem poderá resultar em pagamento por serviço não prestado. A mesma ocorrência não deverá receber dupla penalização de natureza idêntica, devendo o gestor distinguir o desconto sobre a parcela mensal, a multa e demais consequências.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9.2. Pagamento</w:t>
      </w:r>
    </w:p>
    <w:p>
      <w:pPr>
        <w:jc w:val="both"/>
        <w:rPr>
          <w:rFonts w:ascii="Arial" w:hAnsi="Arial" w:cs="Arial"/>
          <w:color w:val="000000" w:themeColor="text1"/>
          <w:sz w:val="24"/>
          <w:szCs w:val="24"/>
        </w:rPr>
      </w:pPr>
      <w:r>
        <w:rPr>
          <w:rFonts w:ascii="Arial" w:hAnsi="Arial" w:cs="Arial"/>
          <w:color w:val="000000" w:themeColor="text1"/>
          <w:sz w:val="24"/>
          <w:szCs w:val="24"/>
        </w:rPr>
        <w:t xml:space="preserve">O pagamento será efetuado mensalmente após a apresentação da nota fiscal, o recebimento regular da documentação exigida, o ateste do gestor do contrato e a liquidação da despesa, no prazo definido no edital e no contrato.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nota fiscal deverá discriminar competência, licença, componentes incluídos, eventuais glosas e valor líquido. Não haverá cobrança adicional por implantação, capacitação, atualização, aplicativo, suporte, exportação ou manutenção quando esses componentes estiverem incluídos na proposta e no objeto.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10. Obrigações da contratada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contratada deverá:</w:t>
      </w:r>
    </w:p>
    <w:p>
      <w:pPr>
        <w:jc w:val="both"/>
        <w:rPr>
          <w:rFonts w:ascii="Arial" w:hAnsi="Arial" w:cs="Arial"/>
          <w:color w:val="000000" w:themeColor="text1"/>
          <w:sz w:val="24"/>
          <w:szCs w:val="24"/>
        </w:rPr>
      </w:pPr>
      <w:r>
        <w:rPr>
          <w:rFonts w:ascii="Arial" w:hAnsi="Arial" w:cs="Arial"/>
          <w:color w:val="000000" w:themeColor="text1"/>
          <w:sz w:val="24"/>
          <w:szCs w:val="24"/>
        </w:rPr>
        <w:t xml:space="preserve">a) disponibilizar a solução integralmente conforme o TR, a proposta, a POC e o contrato;</w:t>
      </w:r>
    </w:p>
    <w:p>
      <w:pPr>
        <w:jc w:val="both"/>
        <w:rPr>
          <w:rFonts w:ascii="Arial" w:hAnsi="Arial" w:cs="Arial"/>
          <w:color w:val="000000" w:themeColor="text1"/>
          <w:sz w:val="24"/>
          <w:szCs w:val="24"/>
        </w:rPr>
      </w:pPr>
      <w:r>
        <w:rPr>
          <w:rFonts w:ascii="Arial" w:hAnsi="Arial" w:cs="Arial"/>
          <w:color w:val="000000" w:themeColor="text1"/>
          <w:sz w:val="24"/>
          <w:szCs w:val="24"/>
        </w:rPr>
        <w:t xml:space="preserve">b) manter a plataforma, o aplicativo, as integrações, os painéis, os módulos de obrigações, CAUC e processos, a segurança e o suporte durante a vigência;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c) concluir a implantação, a configuração, a importação inicial e a capacitação no prazo previsto no subitem 7.3;</w:t>
      </w:r>
    </w:p>
    <w:p>
      <w:pPr>
        <w:jc w:val="both"/>
        <w:rPr>
          <w:rFonts w:ascii="Arial" w:hAnsi="Arial" w:cs="Arial"/>
          <w:color w:val="000000" w:themeColor="text1"/>
          <w:sz w:val="24"/>
          <w:szCs w:val="24"/>
        </w:rPr>
      </w:pPr>
      <w:r>
        <w:rPr>
          <w:rFonts w:ascii="Arial" w:hAnsi="Arial" w:cs="Arial"/>
          <w:color w:val="000000" w:themeColor="text1"/>
          <w:sz w:val="24"/>
          <w:szCs w:val="24"/>
        </w:rPr>
        <w:t xml:space="preserve">d) fornecer equipe técnica qualificada e indicar responsável operacional;</w:t>
      </w:r>
    </w:p>
    <w:p>
      <w:pPr>
        <w:jc w:val="both"/>
        <w:rPr>
          <w:rFonts w:ascii="Arial" w:hAnsi="Arial" w:cs="Arial"/>
          <w:color w:val="000000" w:themeColor="text1"/>
          <w:sz w:val="24"/>
          <w:szCs w:val="24"/>
        </w:rPr>
      </w:pPr>
      <w:r>
        <w:rPr>
          <w:rFonts w:ascii="Arial" w:hAnsi="Arial" w:cs="Arial"/>
          <w:color w:val="000000" w:themeColor="text1"/>
          <w:sz w:val="24"/>
          <w:szCs w:val="24"/>
        </w:rPr>
        <w:t xml:space="preserve">e) manter disponibilidade, canais e prazos de suporte definidos neste TR;</w:t>
      </w:r>
    </w:p>
    <w:p>
      <w:pPr>
        <w:jc w:val="both"/>
        <w:rPr>
          <w:rFonts w:ascii="Arial" w:hAnsi="Arial" w:cs="Arial"/>
          <w:color w:val="000000" w:themeColor="text1"/>
          <w:sz w:val="24"/>
          <w:szCs w:val="24"/>
        </w:rPr>
      </w:pPr>
      <w:r>
        <w:rPr>
          <w:rFonts w:ascii="Arial" w:hAnsi="Arial" w:cs="Arial"/>
          <w:color w:val="000000" w:themeColor="text1"/>
          <w:sz w:val="24"/>
          <w:szCs w:val="24"/>
        </w:rPr>
        <w:t xml:space="preserve">f) atualizar regras, layouts e funcionalidades abrangidas pelo objeto;</w:t>
      </w:r>
    </w:p>
    <w:p>
      <w:pPr>
        <w:jc w:val="both"/>
        <w:rPr>
          <w:rFonts w:ascii="Arial" w:hAnsi="Arial" w:cs="Arial"/>
          <w:color w:val="000000" w:themeColor="text1"/>
          <w:sz w:val="24"/>
          <w:szCs w:val="24"/>
        </w:rPr>
      </w:pPr>
      <w:r>
        <w:rPr>
          <w:rFonts w:ascii="Arial" w:hAnsi="Arial" w:cs="Arial"/>
          <w:color w:val="000000" w:themeColor="text1"/>
          <w:sz w:val="24"/>
          <w:szCs w:val="24"/>
        </w:rPr>
        <w:t xml:space="preserve">g) fornecer relatórios de importação, erros, disponibilidade, incidentes e alterações;</w:t>
      </w:r>
    </w:p>
    <w:p>
      <w:pPr>
        <w:jc w:val="both"/>
        <w:rPr>
          <w:rFonts w:ascii="Arial" w:hAnsi="Arial" w:cs="Arial"/>
          <w:color w:val="000000" w:themeColor="text1"/>
          <w:sz w:val="24"/>
          <w:szCs w:val="24"/>
        </w:rPr>
      </w:pPr>
      <w:r>
        <w:rPr>
          <w:rFonts w:ascii="Arial" w:hAnsi="Arial" w:cs="Arial"/>
          <w:color w:val="000000" w:themeColor="text1"/>
          <w:sz w:val="24"/>
          <w:szCs w:val="24"/>
        </w:rPr>
        <w:t xml:space="preserve">h) proteger dados e manter confidencialidade;</w:t>
      </w:r>
    </w:p>
    <w:p>
      <w:pPr>
        <w:jc w:val="both"/>
        <w:rPr>
          <w:rFonts w:ascii="Arial" w:hAnsi="Arial" w:cs="Arial"/>
          <w:color w:val="000000" w:themeColor="text1"/>
          <w:sz w:val="24"/>
          <w:szCs w:val="24"/>
        </w:rPr>
      </w:pPr>
      <w:r>
        <w:rPr>
          <w:rFonts w:ascii="Arial" w:hAnsi="Arial" w:cs="Arial"/>
          <w:color w:val="000000" w:themeColor="text1"/>
          <w:sz w:val="24"/>
          <w:szCs w:val="24"/>
        </w:rPr>
        <w:t xml:space="preserve">i) garantir a segregação de acesso por usuário, perfil, órgão, unidade e processo;</w:t>
      </w:r>
    </w:p>
    <w:p>
      <w:pPr>
        <w:jc w:val="both"/>
        <w:rPr>
          <w:rFonts w:ascii="Arial" w:hAnsi="Arial" w:cs="Arial"/>
          <w:color w:val="000000" w:themeColor="text1"/>
          <w:sz w:val="24"/>
          <w:szCs w:val="24"/>
        </w:rPr>
      </w:pPr>
      <w:r>
        <w:rPr>
          <w:rFonts w:ascii="Arial" w:hAnsi="Arial" w:cs="Arial"/>
          <w:color w:val="000000" w:themeColor="text1"/>
          <w:sz w:val="24"/>
          <w:szCs w:val="24"/>
        </w:rPr>
        <w:t xml:space="preserve">j) não usar os dados municipais para finalidade incompatível com o objeto sem autorização;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k) manter backups, logs e continuidade do serviço;</w:t>
      </w:r>
    </w:p>
    <w:p>
      <w:pPr>
        <w:jc w:val="both"/>
        <w:rPr>
          <w:rFonts w:ascii="Arial" w:hAnsi="Arial" w:cs="Arial"/>
          <w:color w:val="000000" w:themeColor="text1"/>
          <w:sz w:val="24"/>
          <w:szCs w:val="24"/>
        </w:rPr>
      </w:pPr>
      <w:r>
        <w:rPr>
          <w:rFonts w:ascii="Arial" w:hAnsi="Arial" w:cs="Arial"/>
          <w:color w:val="000000" w:themeColor="text1"/>
          <w:sz w:val="24"/>
          <w:szCs w:val="24"/>
        </w:rPr>
        <w:t xml:space="preserve">l) atender solicitações dos fiscais e permitir auditoria das informações contratuais;</w:t>
      </w:r>
    </w:p>
    <w:p>
      <w:pPr>
        <w:jc w:val="both"/>
        <w:rPr>
          <w:rFonts w:ascii="Arial" w:hAnsi="Arial" w:cs="Arial"/>
          <w:color w:val="000000" w:themeColor="text1"/>
          <w:sz w:val="24"/>
          <w:szCs w:val="24"/>
        </w:rPr>
      </w:pPr>
      <w:r>
        <w:rPr>
          <w:rFonts w:ascii="Arial" w:hAnsi="Arial" w:cs="Arial"/>
          <w:color w:val="000000" w:themeColor="text1"/>
          <w:sz w:val="24"/>
          <w:szCs w:val="24"/>
        </w:rPr>
        <w:t xml:space="preserve">m) fornecer exportação estruturada, documentação e apoio à transição;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n) corrigir falhas sem custo adicional quando abrangidas pelo objeto;</w:t>
      </w:r>
    </w:p>
    <w:p>
      <w:pPr>
        <w:jc w:val="both"/>
        <w:rPr>
          <w:rFonts w:ascii="Arial" w:hAnsi="Arial" w:cs="Arial"/>
          <w:color w:val="000000" w:themeColor="text1"/>
          <w:sz w:val="24"/>
          <w:szCs w:val="24"/>
        </w:rPr>
      </w:pPr>
      <w:r>
        <w:rPr>
          <w:rFonts w:ascii="Arial" w:hAnsi="Arial" w:cs="Arial"/>
          <w:color w:val="000000" w:themeColor="text1"/>
          <w:sz w:val="24"/>
          <w:szCs w:val="24"/>
        </w:rPr>
        <w:t xml:space="preserve">o) manter regularidade e condições de habilitação durante a execução;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p) responder por danos decorrentes de culpa ou dolo na execução, sem prejuízo da repartição de riscos;</w:t>
      </w:r>
    </w:p>
    <w:p>
      <w:pPr>
        <w:jc w:val="both"/>
        <w:rPr>
          <w:rFonts w:ascii="Arial" w:hAnsi="Arial" w:cs="Arial"/>
          <w:color w:val="000000" w:themeColor="text1"/>
          <w:sz w:val="24"/>
          <w:szCs w:val="24"/>
        </w:rPr>
      </w:pPr>
      <w:r>
        <w:rPr>
          <w:rFonts w:ascii="Arial" w:hAnsi="Arial" w:cs="Arial"/>
          <w:color w:val="000000" w:themeColor="text1"/>
          <w:sz w:val="24"/>
          <w:szCs w:val="24"/>
        </w:rPr>
        <w:t xml:space="preserve">q) não transferir ou ceder o contrato sem autorização quando exigida;</w:t>
      </w:r>
    </w:p>
    <w:p>
      <w:pPr>
        <w:jc w:val="both"/>
        <w:rPr>
          <w:rFonts w:ascii="Arial" w:hAnsi="Arial" w:cs="Arial"/>
          <w:color w:val="000000" w:themeColor="text1"/>
          <w:sz w:val="24"/>
          <w:szCs w:val="24"/>
        </w:rPr>
      </w:pPr>
      <w:r>
        <w:rPr>
          <w:rFonts w:ascii="Arial" w:hAnsi="Arial" w:cs="Arial"/>
          <w:color w:val="000000" w:themeColor="text1"/>
          <w:sz w:val="24"/>
          <w:szCs w:val="24"/>
        </w:rPr>
        <w:t xml:space="preserve">r) manter todas as demais obrigações previstas na proposta, edital e contrato.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11. Obrigações da contratante</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contratante deverá:</w:t>
      </w:r>
    </w:p>
    <w:p>
      <w:pPr>
        <w:jc w:val="both"/>
        <w:rPr>
          <w:rFonts w:ascii="Arial" w:hAnsi="Arial" w:cs="Arial"/>
          <w:color w:val="000000" w:themeColor="text1"/>
          <w:sz w:val="24"/>
          <w:szCs w:val="24"/>
        </w:rPr>
      </w:pPr>
      <w:r>
        <w:rPr>
          <w:rFonts w:ascii="Arial" w:hAnsi="Arial" w:cs="Arial"/>
          <w:color w:val="000000" w:themeColor="text1"/>
          <w:sz w:val="24"/>
          <w:szCs w:val="24"/>
        </w:rPr>
        <w:t xml:space="preserve">a) emitir ordem de serviço e designar gestor e fiscais;</w:t>
      </w:r>
    </w:p>
    <w:p>
      <w:pPr>
        <w:jc w:val="both"/>
        <w:rPr>
          <w:rFonts w:ascii="Arial" w:hAnsi="Arial" w:cs="Arial"/>
          <w:color w:val="000000" w:themeColor="text1"/>
          <w:sz w:val="24"/>
          <w:szCs w:val="24"/>
        </w:rPr>
      </w:pPr>
      <w:r>
        <w:rPr>
          <w:rFonts w:ascii="Arial" w:hAnsi="Arial" w:cs="Arial"/>
          <w:color w:val="000000" w:themeColor="text1"/>
          <w:sz w:val="24"/>
          <w:szCs w:val="24"/>
        </w:rPr>
        <w:t xml:space="preserve">b) fornecer dados, acessos, arquivos e informações necessários, respeitando sigilo e proteção de dados;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c) indicar usuários, perfis, responsáveis e bases documentais autorizadas;</w:t>
      </w:r>
    </w:p>
    <w:p>
      <w:pPr>
        <w:jc w:val="both"/>
        <w:rPr>
          <w:rFonts w:ascii="Arial" w:hAnsi="Arial" w:cs="Arial"/>
          <w:color w:val="000000" w:themeColor="text1"/>
          <w:sz w:val="24"/>
          <w:szCs w:val="24"/>
        </w:rPr>
      </w:pPr>
      <w:r>
        <w:rPr>
          <w:rFonts w:ascii="Arial" w:hAnsi="Arial" w:cs="Arial"/>
          <w:color w:val="000000" w:themeColor="text1"/>
          <w:sz w:val="24"/>
          <w:szCs w:val="24"/>
        </w:rPr>
        <w:t xml:space="preserve">d) participar da implantação, homologação, capacitação e validação;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e) conferir os resultados, indicadores, relatórios e documentos produzidos;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f) não inserir dados além da finalidade e da política autorizadas;</w:t>
      </w:r>
    </w:p>
    <w:p>
      <w:pPr>
        <w:jc w:val="both"/>
        <w:rPr>
          <w:rFonts w:ascii="Arial" w:hAnsi="Arial" w:cs="Arial"/>
          <w:color w:val="000000" w:themeColor="text1"/>
          <w:sz w:val="24"/>
          <w:szCs w:val="24"/>
        </w:rPr>
      </w:pPr>
      <w:r>
        <w:rPr>
          <w:rFonts w:ascii="Arial" w:hAnsi="Arial" w:cs="Arial"/>
          <w:color w:val="000000" w:themeColor="text1"/>
          <w:sz w:val="24"/>
          <w:szCs w:val="24"/>
        </w:rPr>
        <w:t xml:space="preserve">g) comunicar falhas, incidentes, alterações e indisponibilidades percebidas;</w:t>
      </w:r>
    </w:p>
    <w:p>
      <w:pPr>
        <w:jc w:val="both"/>
        <w:rPr>
          <w:rFonts w:ascii="Arial" w:hAnsi="Arial" w:cs="Arial"/>
          <w:color w:val="000000" w:themeColor="text1"/>
          <w:sz w:val="24"/>
          <w:szCs w:val="24"/>
        </w:rPr>
      </w:pPr>
      <w:r>
        <w:rPr>
          <w:rFonts w:ascii="Arial" w:hAnsi="Arial" w:cs="Arial"/>
          <w:color w:val="000000" w:themeColor="text1"/>
          <w:sz w:val="24"/>
          <w:szCs w:val="24"/>
        </w:rPr>
        <w:t xml:space="preserve">h) manter infraestrutura de conectividade e sistemas de origem sob sua responsabilidade;</w:t>
      </w:r>
    </w:p>
    <w:p>
      <w:pPr>
        <w:jc w:val="both"/>
        <w:rPr>
          <w:rFonts w:ascii="Arial" w:hAnsi="Arial" w:cs="Arial"/>
          <w:color w:val="000000" w:themeColor="text1"/>
          <w:sz w:val="24"/>
          <w:szCs w:val="24"/>
        </w:rPr>
      </w:pPr>
      <w:r>
        <w:rPr>
          <w:rFonts w:ascii="Arial" w:hAnsi="Arial" w:cs="Arial"/>
          <w:color w:val="000000" w:themeColor="text1"/>
          <w:sz w:val="24"/>
          <w:szCs w:val="24"/>
        </w:rPr>
        <w:t xml:space="preserve">i) efetuar o pagamento após o ateste do gestor e a liquidação da despesa;</w:t>
      </w:r>
    </w:p>
    <w:p>
      <w:pPr>
        <w:jc w:val="both"/>
        <w:rPr>
          <w:rFonts w:ascii="Arial" w:hAnsi="Arial" w:cs="Arial"/>
          <w:color w:val="000000" w:themeColor="text1"/>
          <w:sz w:val="24"/>
          <w:szCs w:val="24"/>
        </w:rPr>
      </w:pPr>
      <w:r>
        <w:rPr>
          <w:rFonts w:ascii="Arial" w:hAnsi="Arial" w:cs="Arial"/>
          <w:color w:val="000000" w:themeColor="text1"/>
          <w:sz w:val="24"/>
          <w:szCs w:val="24"/>
        </w:rPr>
        <w:t xml:space="preserve">j) guardar credenciais, controlar usuários e revogar acessos quando necessário;</w:t>
      </w:r>
    </w:p>
    <w:p>
      <w:pPr>
        <w:jc w:val="both"/>
        <w:rPr>
          <w:rFonts w:ascii="Arial" w:hAnsi="Arial" w:cs="Arial"/>
          <w:color w:val="000000" w:themeColor="text1"/>
          <w:sz w:val="24"/>
          <w:szCs w:val="24"/>
        </w:rPr>
      </w:pPr>
      <w:r>
        <w:rPr>
          <w:rFonts w:ascii="Arial" w:hAnsi="Arial" w:cs="Arial"/>
          <w:color w:val="000000" w:themeColor="text1"/>
          <w:sz w:val="24"/>
          <w:szCs w:val="24"/>
        </w:rPr>
        <w:t xml:space="preserve">k) observar a legislação, as normas internas e as orientações de segurança;</w:t>
      </w:r>
    </w:p>
    <w:p>
      <w:pPr>
        <w:jc w:val="both"/>
        <w:rPr>
          <w:rFonts w:ascii="Arial" w:hAnsi="Arial" w:cs="Arial"/>
          <w:color w:val="000000" w:themeColor="text1"/>
          <w:sz w:val="24"/>
          <w:szCs w:val="24"/>
        </w:rPr>
      </w:pPr>
      <w:r>
        <w:rPr>
          <w:rFonts w:ascii="Arial" w:hAnsi="Arial" w:cs="Arial"/>
          <w:color w:val="000000" w:themeColor="text1"/>
          <w:sz w:val="24"/>
          <w:szCs w:val="24"/>
        </w:rPr>
        <w:t xml:space="preserve">l) fornecer feedback e participar de reuniões de acompanhamento;</w:t>
      </w:r>
    </w:p>
    <w:p>
      <w:pPr>
        <w:jc w:val="both"/>
        <w:rPr>
          <w:rFonts w:ascii="Arial" w:hAnsi="Arial" w:cs="Arial"/>
          <w:color w:val="000000" w:themeColor="text1"/>
          <w:sz w:val="24"/>
          <w:szCs w:val="24"/>
        </w:rPr>
      </w:pPr>
      <w:r>
        <w:rPr>
          <w:rFonts w:ascii="Arial" w:hAnsi="Arial" w:cs="Arial"/>
          <w:color w:val="000000" w:themeColor="text1"/>
          <w:sz w:val="24"/>
          <w:szCs w:val="24"/>
        </w:rPr>
        <w:t xml:space="preserve">m) cumprir as demais obrigações do edital, contrato e legislação.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12. Proteção de dados, sigilo e governança documental</w:t>
      </w:r>
    </w:p>
    <w:p>
      <w:pPr>
        <w:jc w:val="both"/>
        <w:rPr>
          <w:rFonts w:ascii="Arial" w:hAnsi="Arial" w:cs="Arial"/>
          <w:color w:val="000000" w:themeColor="text1"/>
          <w:sz w:val="24"/>
          <w:szCs w:val="24"/>
        </w:rPr>
      </w:pPr>
      <w:r>
        <w:rPr>
          <w:rFonts w:ascii="Arial" w:hAnsi="Arial" w:cs="Arial"/>
          <w:color w:val="000000" w:themeColor="text1"/>
          <w:sz w:val="24"/>
          <w:szCs w:val="24"/>
        </w:rPr>
        <w:t xml:space="preserve">Os documentos de obrigações, balancetes, processos, informações pessoais e dados financeiros poderão conter informações restritas. O acesso deverá seguir o princípio do menor privilégio e a necessidade de conhecimento. A contratada não poderá comercializar, ceder, divulgar ou reutilizar dados municipais fora das finalidades contratuais.</w:t>
      </w:r>
    </w:p>
    <w:p>
      <w:pPr>
        <w:jc w:val="both"/>
        <w:rPr>
          <w:rFonts w:ascii="Arial" w:hAnsi="Arial" w:cs="Arial"/>
          <w:color w:val="000000" w:themeColor="text1"/>
          <w:sz w:val="24"/>
          <w:szCs w:val="24"/>
        </w:rPr>
      </w:pPr>
      <w:r>
        <w:rPr>
          <w:rFonts w:ascii="Arial" w:hAnsi="Arial" w:cs="Arial"/>
          <w:color w:val="000000" w:themeColor="text1"/>
          <w:sz w:val="24"/>
          <w:szCs w:val="24"/>
        </w:rPr>
        <w:t xml:space="preserve">O tratamento de dados pessoais observará a Lei Geral de Proteção de Dados — LGPD, com finalidade limitada à execução do objeto contratual, sendo vedada a utilização de dados municipais para finalidade diversa, inclusive comercialização ou compartilhamento com terceiros sem autorização e base jurídica adequada.</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13. Estimativa do valor e regras de precificação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estimativa de valor deverá ser elaborada em processo próprio, mediante pesquisa de preços com escopo uniforme e memória de cálculo. A pesquisa deverá considerar, no mínimo, a licença corporativa, 20 (vinte) usuários simultâneos incluídos, o preço unitário do usuário simultâneo adicional, a vigência de 36 (trinta e seis) meses, o aplicativo móvel integrado, a implantação, a capacitação, o suporte, as atualizações, a segurança, o backup e a exportação estruturada, apresentando o valor mensal, o valor por exercício financeiro e o valor global do período contratual.</w:t>
      </w:r>
    </w:p>
    <w:p>
      <w:pPr>
        <w:jc w:val="both"/>
        <w:rPr>
          <w:rFonts w:ascii="Arial" w:hAnsi="Arial" w:cs="Arial"/>
          <w:color w:val="000000" w:themeColor="text1"/>
          <w:sz w:val="24"/>
          <w:szCs w:val="24"/>
        </w:rPr>
      </w:pPr>
      <w:r>
        <w:rPr>
          <w:rFonts w:ascii="Arial" w:hAnsi="Arial" w:cs="Arial"/>
          <w:color w:val="000000" w:themeColor="text1"/>
          <w:sz w:val="24"/>
          <w:szCs w:val="24"/>
        </w:rPr>
        <w:t xml:space="preserve">A proposta deverá apresentar, de forma comparável:</w:t>
      </w:r>
    </w:p>
    <w:tbl>
      <w:tblPr>
        <w:tblStyle w:val="TabeladeGradeClara"/>
        <w:tblW w:w="0" w:type="auto"/>
        <w:tblInd w:w="250" w:type="dxa"/>
        <w:tblLook w:val="04A0" w:firstRow="1" w:lastRow="0" w:firstColumn="1" w:lastColumn="0" w:noHBand="0" w:noVBand="1"/>
      </w:tblPr>
      <w:tblGrid>
        <w:gridCol w:w="1997"/>
        <w:gridCol w:w="7352"/>
      </w:tblGrid>
      <w:tr>
        <w:trPr>
          <w:cantSplit/>
          <w:tblHeader w:val="true"/>
        </w:trPr>
        <w:tc>
          <w:tcPr>
            <w:tcW w:w="1997"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Componente</w:t>
            </w:r>
          </w:p>
        </w:tc>
        <w:tc>
          <w:tcPr>
            <w:tcW w:w="735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Regra de apresentação</w:t>
            </w:r>
          </w:p>
        </w:tc>
      </w:tr>
      <w:tr>
        <w:trPr>
          <w:cantSplit/>
        </w:trP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Licença integrada</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Valor mensal, valor por exercício financeiro e valor global de 36 meses</w:t>
            </w:r>
          </w:p>
        </w:tc>
      </w:tr>
      <w:tr>
        <w:trPr>
          <w:cantSplit/>
        </w:trP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Implantação e capacitação</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Informar inclusão no preço mensal/global, sem cobrança posterior não prevista</w:t>
            </w:r>
          </w:p>
        </w:tc>
      </w:tr>
      <w:tr>
        <w:trPr>
          <w:cantSplit/>
        </w:trP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Usuários</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Preço dos 20 usuários simultâneos incluídos e preço unitário do usuário simultâneo adicional</w:t>
            </w:r>
          </w:p>
        </w:tc>
      </w:tr>
      <w:tr>
        <w:trPr>
          <w:cantSplit/>
        </w:trP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Aplicativo móvel</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Inclusão de publicação, manutenção e atualizações</w:t>
            </w:r>
          </w:p>
        </w:tc>
      </w:tr>
      <w:tr>
        <w:trPr>
          <w:cantSplit/>
        </w:trP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Integrações e importações</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Identificar limites, custos e dependências de API, quando houver</w:t>
            </w:r>
          </w:p>
        </w:tc>
      </w:tr>
      <w:tr>
        <w:trPr>
          <w:cantSplit/>
        </w:trP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Suporte e SLA</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Inclusão de todos os níveis de atendimento e consequências por indisponibilidade</w:t>
            </w:r>
          </w:p>
        </w:tc>
      </w:tr>
      <w:tr>
        <w:trPr>
          <w:cantSplit/>
        </w:trP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Reversibilidade</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Inclusão de exportação estruturada e apoio de saída sem custo indevido</w:t>
            </w:r>
          </w:p>
        </w:tc>
      </w:tr>
    </w:tbl>
    <w:p>
      <w:pPr>
        <w:jc w:val="both"/>
        <w:rPr>
          <w:rFonts w:ascii="Arial" w:hAnsi="Arial" w:cs="Arial"/>
          <w:color w:val="000000" w:themeColor="text1"/>
          <w:sz w:val="24"/>
          <w:szCs w:val="24"/>
        </w:rPr>
      </w:pPr>
    </w:p>
    <w:p>
      <w:pPr>
        <w:jc w:val="both"/>
        <w:rPr>
          <w:rFonts w:ascii="Arial" w:hAnsi="Arial" w:cs="Arial"/>
          <w:color w:val="000000" w:themeColor="text1"/>
          <w:sz w:val="24"/>
          <w:szCs w:val="24"/>
        </w:rPr>
      </w:pPr>
      <w:r>
        <w:rPr>
          <w:rFonts w:ascii="Arial" w:hAnsi="Arial" w:cs="Arial"/>
          <w:color w:val="000000" w:themeColor="text1"/>
          <w:sz w:val="24"/>
          <w:szCs w:val="24"/>
        </w:rPr>
        <w:t xml:space="preserve">O julgamento deverá considerar o </w:t>
      </w:r>
      <w:r>
        <w:rPr>
          <w:rFonts w:ascii="Arial" w:hAnsi="Arial" w:cs="Arial"/>
          <w:b/>
          <w:color w:val="000000" w:themeColor="text1"/>
          <w:sz w:val="24"/>
          <w:szCs w:val="24"/>
        </w:rPr>
        <w:t xml:space="preserve">menor preço global do lote único</w:t>
      </w:r>
      <w:r>
        <w:rPr>
          <w:rFonts w:ascii="Arial" w:hAnsi="Arial" w:cs="Arial"/>
          <w:color w:val="000000" w:themeColor="text1"/>
          <w:sz w:val="24"/>
          <w:szCs w:val="24"/>
        </w:rPr>
        <w:t xml:space="preserve">, ou critério diverso se tecnicamente justificado pela Administração e previsto no edital. A planilha de preços deverá deixar claro que os componentes são partes integradas de um mesmo objeto e que a contratada não poderá cobrar separadamente por funcionalidade incluída no objeto.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13.1.</w:t>
      </w:r>
      <w:r>
        <w:rPr>
          <w:rFonts w:ascii="Arial" w:hAnsi="Arial" w:cs="Arial"/>
          <w:color w:val="000000" w:themeColor="text1"/>
          <w:sz w:val="24"/>
          <w:szCs w:val="24"/>
        </w:rPr>
        <w:t xml:space="preserve"> Não há, até a presente data, pesquisa de preços concluída para o objeto ora definido. Dessa forma, </w:t>
      </w:r>
      <w:r>
        <w:rPr>
          <w:rFonts w:ascii="Arial" w:hAnsi="Arial" w:cs="Arial"/>
          <w:b/>
          <w:color w:val="000000" w:themeColor="text1"/>
          <w:sz w:val="24"/>
          <w:szCs w:val="24"/>
        </w:rPr>
        <w:t xml:space="preserve">este Termo de Referência não apresenta valor estimado da contratação</w:t>
      </w:r>
      <w:r>
        <w:rPr>
          <w:rFonts w:ascii="Arial" w:hAnsi="Arial" w:cs="Arial"/>
          <w:color w:val="000000" w:themeColor="text1"/>
          <w:sz w:val="24"/>
          <w:szCs w:val="24"/>
        </w:rPr>
        <w:t xml:space="preserve">, permanecendo essa informação como pendência a ser suprida pela Administração antes do prosseguimento da fase externa da licitação. Processo de pesquisa de preços: [INFORMAÇÃO A PREENCHER].</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14. Matriz de alocação de riscos</w:t>
      </w:r>
    </w:p>
    <w:tbl>
      <w:tblPr>
        <w:tblStyle w:val="TabeladeGradeClara"/>
        <w:tblW w:w="0" w:type="auto"/>
        <w:tblInd w:w="250" w:type="dxa"/>
        <w:tblLook w:val="04A0" w:firstRow="1" w:lastRow="0" w:firstColumn="1" w:lastColumn="0" w:noHBand="0" w:noVBand="1"/>
      </w:tblPr>
      <w:tblGrid>
        <w:gridCol w:w="2009"/>
        <w:gridCol w:w="760"/>
        <w:gridCol w:w="760"/>
        <w:gridCol w:w="1591"/>
        <w:gridCol w:w="4227"/>
      </w:tblGrid>
      <w:tr>
        <w:trPr>
          <w:cantSplit/>
          <w:tblHeader w:val="true"/>
        </w:trPr>
        <w:tc>
          <w:tcPr>
            <w:tcW w:w="2009"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Risco</w:t>
            </w:r>
          </w:p>
        </w:tc>
        <w:tc>
          <w:tcPr>
            <w:tcW w:w="760"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Probabilidade</w:t>
            </w:r>
          </w:p>
        </w:tc>
        <w:tc>
          <w:tcPr>
            <w:tcW w:w="760"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Impacto</w:t>
            </w:r>
          </w:p>
        </w:tc>
        <w:tc>
          <w:tcPr>
            <w:tcW w:w="1591"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Responsável principal</w:t>
            </w:r>
          </w:p>
        </w:tc>
        <w:tc>
          <w:tcPr>
            <w:tcW w:w="4227"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Tratamento</w:t>
            </w:r>
          </w:p>
        </w:tc>
      </w:tr>
      <w:tr>
        <w:trPr>
          <w:cantSplit/>
        </w:trP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Dados de origem incompletos</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Compartilhado</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Validação inicial, relatório de erros e correção na origem</w:t>
            </w:r>
          </w:p>
        </w:tc>
      </w:tr>
      <w:tr>
        <w:trPr>
          <w:cantSplit/>
        </w:trP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Falha de importação por layout</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 quanto ao processamento; Município quanto à origem</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Versionamento, comunicação e teste com arquivo de referência</w:t>
            </w:r>
          </w:p>
        </w:tc>
      </w:tr>
      <w:tr>
        <w:trPr>
          <w:cantSplit/>
        </w:trP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Indisponibilidade de fonte externa (CAUC, TCM-GO)</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Médio/Alto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Compartilhado conforme causa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Indicar defasagem, exibir data da última consulta e usar fluxo alternativo autorizado</w:t>
            </w:r>
          </w:p>
        </w:tc>
      </w:tr>
      <w:tr>
        <w:trPr>
          <w:cantSplit/>
        </w:trP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Atualização regulatória atrasada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Monitoramento, atualização e comunicação sem custo adicional ordinário</w:t>
            </w:r>
          </w:p>
        </w:tc>
      </w:tr>
      <w:tr>
        <w:trPr>
          <w:cantSplit/>
        </w:trP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Acesso indevido</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Baixa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 e usuários conforme causa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Menor privilégio, logs, revogação, criptografia e treinamento</w:t>
            </w:r>
          </w:p>
        </w:tc>
      </w:tr>
      <w:tr>
        <w:trPr>
          <w:cantSplit/>
        </w:trP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Falha na implantação ou atraso de cronograma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Compartilhado conforme causa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Plano de implantação aprovado, marcos, comunicação de impedimentos e suspensão de prazo por pendência do Município</w:t>
            </w:r>
          </w:p>
        </w:tc>
      </w:tr>
      <w:tr>
        <w:trPr>
          <w:cantSplit/>
        </w:trP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Atraso de suporte</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Cumprimento dos níveis de serviço definidos no TR, com glosa e comunicação de incidentes</w:t>
            </w:r>
          </w:p>
        </w:tc>
      </w:tr>
      <w:tr>
        <w:trPr>
          <w:cantSplit/>
        </w:trP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Resistência de usuários</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Média/Alta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Compartilhado</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Capacitação, suporte, implantação assistida e manual</w:t>
            </w:r>
          </w:p>
        </w:tc>
      </w:tr>
      <w:tr>
        <w:trPr>
          <w:cantSplit/>
        </w:trP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Atraso de pagamento</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Contratante</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Fluxo de ateste, liquidação e pagamento</w:t>
            </w:r>
          </w:p>
        </w:tc>
      </w:tr>
      <w:tr>
        <w:trPr>
          <w:cantSplit/>
        </w:trP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Desatualização dos dados apresentados nos painéis</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Compartilhado conforme causa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Exibição obrigatória de data e hora da última atualização, período de referência e fonte; alertas de defasagem; monitoramento das rotinas de carga e processamento</w:t>
            </w:r>
          </w:p>
        </w:tc>
      </w:tr>
      <w:tr>
        <w:trPr>
          <w:cantSplit/>
        </w:trP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Interpretação de dado ainda não processado como informação oficial definitiva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Compartilhado</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Identificação visual do estágio do dado; diferenciação entre informação preliminar e processada; ressalva expressa nos indicadores dependentes de classificação</w:t>
            </w:r>
          </w:p>
        </w:tc>
      </w:tr>
      <w:tr>
        <w:trPr>
          <w:cantSplit/>
        </w:trP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Indisponibilidade da plataforma ou perda de continuidade</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Baixa/Média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SLA de disponibilidade, backup, plano de continuidade e recuperação, comunicação de incidentes</w:t>
            </w:r>
          </w:p>
        </w:tc>
      </w:tr>
      <w:tr>
        <w:trPr>
          <w:cantSplit/>
        </w:trP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Dificuldade de reversibilidade ao término da contratação</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Baixa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Exportação estruturada, formato aberto, apoio técnico de saída e prazo de transição definido em contrato</w:t>
            </w:r>
          </w:p>
        </w:tc>
      </w:tr>
      <w:tr>
        <w:trPr>
          <w:cantSplit/>
        </w:trP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Falha ou vulnerabilidade de segurança da informação</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Baixa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Criptografia, controle de acesso, gestão de vulnerabilidades, notificação de incidentes em até 24 horas</w:t>
            </w:r>
          </w:p>
        </w:tc>
      </w:tr>
      <w:tr>
        <w:trPr>
          <w:cantSplit/>
        </w:trP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Regressão funcional decorrente de atualização de versão</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Baixa/Média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Controle de versões, testes de regressão, ambiente de homologação quando aplicável, procedimento de rollback e comunicação prévia de alterações relevantes</w:t>
            </w:r>
          </w:p>
        </w:tc>
      </w:tr>
    </w:tbl>
    <w:p>
      <w:pPr>
        <w:jc w:val="both"/>
        <w:rPr>
          <w:rFonts w:ascii="Arial" w:hAnsi="Arial" w:cs="Arial"/>
          <w:color w:val="000000" w:themeColor="text1"/>
          <w:sz w:val="24"/>
          <w:szCs w:val="24"/>
        </w:rPr>
      </w:pP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15. Sanções administrativas</w:t>
      </w:r>
    </w:p>
    <w:p>
      <w:pPr>
        <w:jc w:val="both"/>
        <w:rPr>
          <w:rFonts w:ascii="Arial" w:hAnsi="Arial" w:cs="Arial"/>
          <w:color w:val="000000" w:themeColor="text1"/>
          <w:sz w:val="24"/>
          <w:szCs w:val="24"/>
        </w:rPr>
      </w:pPr>
      <w:r>
        <w:rPr>
          <w:rFonts w:ascii="Arial" w:hAnsi="Arial" w:cs="Arial"/>
          <w:color w:val="000000" w:themeColor="text1"/>
          <w:sz w:val="24"/>
          <w:szCs w:val="24"/>
        </w:rPr>
        <w:t xml:space="preserve">Constituem infrações administrativas as condutas previstas na Lei nº 14.133/2021, inclusive dar causa à inexecução parcial ou total, ensejar retardamento injustificado, apresentar documentação falsa, comportar-se de modo inidôneo, fraudar a execução ou praticar ato lesivo ao certame ou ao contrato.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aplicação de sanções observará legalidade, tipicidade, proporcionalidade, motivação, contraditório, ampla defesa, competência e processo administrativo próprio. Poderão ser aplicadas, conforme a gravidade e os arts. 155 a 163 da Lei nº 14.133/2021:</w:t>
      </w:r>
    </w:p>
    <w:p>
      <w:pPr>
        <w:jc w:val="both"/>
        <w:rPr>
          <w:rFonts w:ascii="Arial" w:hAnsi="Arial" w:cs="Arial"/>
          <w:color w:val="000000" w:themeColor="text1"/>
          <w:sz w:val="24"/>
          <w:szCs w:val="24"/>
        </w:rPr>
      </w:pPr>
      <w:r>
        <w:rPr>
          <w:rFonts w:ascii="Arial" w:hAnsi="Arial" w:cs="Arial"/>
          <w:color w:val="000000" w:themeColor="text1"/>
          <w:sz w:val="24"/>
          <w:szCs w:val="24"/>
        </w:rPr>
        <w:t xml:space="preserve">– advertência, quando cabível;</w:t>
      </w:r>
    </w:p>
    <w:p>
      <w:pPr>
        <w:jc w:val="both"/>
        <w:rPr>
          <w:rFonts w:ascii="Arial" w:hAnsi="Arial" w:cs="Arial"/>
          <w:color w:val="000000" w:themeColor="text1"/>
          <w:sz w:val="24"/>
          <w:szCs w:val="24"/>
        </w:rPr>
      </w:pPr>
      <w:r>
        <w:rPr>
          <w:rFonts w:ascii="Arial" w:hAnsi="Arial" w:cs="Arial"/>
          <w:color w:val="000000" w:themeColor="text1"/>
          <w:sz w:val="24"/>
          <w:szCs w:val="24"/>
        </w:rPr>
        <w:t xml:space="preserve">– multa moratória por atraso injustificado, conforme percentual definido no edital/contrato e limitada a patamar proporcional;</w:t>
      </w:r>
    </w:p>
    <w:p>
      <w:pPr>
        <w:jc w:val="both"/>
        <w:rPr>
          <w:rFonts w:ascii="Arial" w:hAnsi="Arial" w:cs="Arial"/>
          <w:color w:val="000000" w:themeColor="text1"/>
          <w:sz w:val="24"/>
          <w:szCs w:val="24"/>
        </w:rPr>
      </w:pPr>
      <w:r>
        <w:rPr>
          <w:rFonts w:ascii="Arial" w:hAnsi="Arial" w:cs="Arial"/>
          <w:color w:val="000000" w:themeColor="text1"/>
          <w:sz w:val="24"/>
          <w:szCs w:val="24"/>
        </w:rPr>
        <w:t xml:space="preserve">– multa compensatória por inexecução parcial ou total, conforme gravidade e valor contratual;</w:t>
      </w:r>
    </w:p>
    <w:p>
      <w:pPr>
        <w:jc w:val="both"/>
        <w:rPr>
          <w:rFonts w:ascii="Arial" w:hAnsi="Arial" w:cs="Arial"/>
          <w:color w:val="000000" w:themeColor="text1"/>
          <w:sz w:val="24"/>
          <w:szCs w:val="24"/>
        </w:rPr>
      </w:pPr>
      <w:r>
        <w:rPr>
          <w:rFonts w:ascii="Arial" w:hAnsi="Arial" w:cs="Arial"/>
          <w:color w:val="000000" w:themeColor="text1"/>
          <w:sz w:val="24"/>
          <w:szCs w:val="24"/>
        </w:rPr>
        <w:t xml:space="preserve">– impedimento de licitar e contratar, quando presentes os requisitos legais;</w:t>
      </w:r>
    </w:p>
    <w:p>
      <w:pPr>
        <w:jc w:val="both"/>
        <w:rPr>
          <w:rFonts w:ascii="Arial" w:hAnsi="Arial" w:cs="Arial"/>
          <w:color w:val="000000" w:themeColor="text1"/>
          <w:sz w:val="24"/>
          <w:szCs w:val="24"/>
        </w:rPr>
      </w:pPr>
      <w:r>
        <w:rPr>
          <w:rFonts w:ascii="Arial" w:hAnsi="Arial" w:cs="Arial"/>
          <w:color w:val="000000" w:themeColor="text1"/>
          <w:sz w:val="24"/>
          <w:szCs w:val="24"/>
        </w:rPr>
        <w:t xml:space="preserve">– declaração de inidoneidade, nos casos e limites legais aplicáveis.</w:t>
      </w:r>
    </w:p>
    <w:p>
      <w:pPr>
        <w:jc w:val="both"/>
        <w:rPr>
          <w:rFonts w:ascii="Arial" w:hAnsi="Arial" w:cs="Arial"/>
          <w:color w:val="000000" w:themeColor="text1"/>
          <w:sz w:val="24"/>
          <w:szCs w:val="24"/>
        </w:rPr>
      </w:pPr>
      <w:r>
        <w:rPr>
          <w:rFonts w:ascii="Arial" w:hAnsi="Arial" w:cs="Arial"/>
          <w:color w:val="000000" w:themeColor="text1"/>
          <w:sz w:val="24"/>
          <w:szCs w:val="24"/>
        </w:rPr>
        <w:t xml:space="preserve">Como referência contratual, o edital poderá prever multa moratória de </w:t>
      </w:r>
      <w:r>
        <w:rPr>
          <w:rFonts w:ascii="Arial" w:hAnsi="Arial" w:cs="Arial"/>
          <w:b/>
          <w:color w:val="000000" w:themeColor="text1"/>
          <w:sz w:val="24"/>
          <w:szCs w:val="24"/>
        </w:rPr>
        <w:t xml:space="preserve">0,5% por dia de atraso injustificado na implantação</w:t>
      </w:r>
      <w:r>
        <w:rPr>
          <w:rFonts w:ascii="Arial" w:hAnsi="Arial" w:cs="Arial"/>
          <w:color w:val="000000" w:themeColor="text1"/>
          <w:sz w:val="24"/>
          <w:szCs w:val="24"/>
        </w:rPr>
        <w:t xml:space="preserve">, limitada a 10% da parcela mensal ou do valor definido no instrumento convocatório, e multa compensatória entre </w:t>
      </w:r>
      <w:r>
        <w:rPr>
          <w:rFonts w:ascii="Arial" w:hAnsi="Arial" w:cs="Arial"/>
          <w:b/>
          <w:color w:val="000000" w:themeColor="text1"/>
          <w:sz w:val="24"/>
          <w:szCs w:val="24"/>
        </w:rPr>
        <w:t xml:space="preserve">5% e 20% do valor global</w:t>
      </w:r>
      <w:r>
        <w:rPr>
          <w:rFonts w:ascii="Arial" w:hAnsi="Arial" w:cs="Arial"/>
          <w:color w:val="000000" w:themeColor="text1"/>
          <w:sz w:val="24"/>
          <w:szCs w:val="24"/>
        </w:rPr>
        <w:t xml:space="preserve">, graduada conforme dano, reincidência e extensão da inexecução. Os percentuais deverão ser validados pela assessoria jurídica e pela regulamentação municipal.</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aplicação de multa não impede glosa por serviço não medido, desde que não haja dupla punição pelo mesmo fato e que a decisão identifique a natureza de cada consequência.</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16. Garantia, subcontratação e propriedade dos dados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necessidade de garantia contratual deverá ser avaliada e justificada pela Administração no edital e no contrato, considerando riscos, valor, criticidade, proteção de dados e complexidade da solução.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subcontratação de infraestrutura, processamento ou serviços auxiliares dependerá das condições previstas no edital e no contrato. A contratada permanecerá integralmente responsável pela execução e deverá informar subcontratados que tenham acesso a dados ou ambientes municipais.</w:t>
      </w:r>
    </w:p>
    <w:p>
      <w:pPr>
        <w:jc w:val="both"/>
        <w:rPr>
          <w:rFonts w:ascii="Arial" w:hAnsi="Arial" w:cs="Arial"/>
          <w:color w:val="000000" w:themeColor="text1"/>
          <w:sz w:val="24"/>
          <w:szCs w:val="24"/>
        </w:rPr>
      </w:pPr>
      <w:r>
        <w:rPr>
          <w:rFonts w:ascii="Arial" w:hAnsi="Arial" w:cs="Arial"/>
          <w:color w:val="000000" w:themeColor="text1"/>
          <w:sz w:val="24"/>
          <w:szCs w:val="24"/>
        </w:rPr>
        <w:t xml:space="preserve">Os dados, documentos, registros, históricos, metadados, relatórios e informações produzidos ou inseridos pelo Município permanecerão sob controle institucional do Município. A licença não transfere à contratada propriedade sobre os dados públicos ou documentos municipais. Componentes proprietários da plataforma permanecem de titularidade da contratada, sem impedir a extração e o uso dos dados municipais.</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17. Adequação orçamentária e classificação da despesa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adequação orçamentária e a classificação da despesa serão informadas pela Administração no processo administrativo, mediante indicação de dotação orçamentária específica, fonte de recursos e demonstração de compatibilidade com a Lei Orçamentária Anual e com o instrumento de planejamento vigente, previamente à publicação do edital.</w:t>
      </w:r>
    </w:p>
    <w:p>
      <w:pPr>
        <w:jc w:val="both"/>
        <w:rPr>
          <w:rFonts w:ascii="Arial" w:hAnsi="Arial" w:cs="Arial"/>
          <w:color w:val="000000" w:themeColor="text1"/>
          <w:sz w:val="24"/>
          <w:szCs w:val="24"/>
        </w:rPr>
      </w:pPr>
      <w:r>
        <w:rPr>
          <w:rFonts w:ascii="Arial" w:hAnsi="Arial" w:cs="Arial"/>
          <w:color w:val="000000" w:themeColor="text1"/>
          <w:sz w:val="24"/>
          <w:szCs w:val="24"/>
        </w:rPr>
        <w:t xml:space="preserve">Dotação orçamentária: [INFORMAÇÃO A PREENCHER]. Fonte de recursos: [INFORMAÇÃO A PREENCHER]. Programa/ação: [INFORMAÇÃO A PREENCHER].</w:t>
      </w:r>
    </w:p>
    <w:sectPr w:rsidR="00FE4E87" w:rsidRPr="00E80E04" w:rsidSect="00034616">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04E5F1" w14:textId="77777777" w:rsidR="00007FD6" w:rsidRDefault="00007FD6">
      <w:pPr>
        <w:spacing w:after="0" w:line="240" w:lineRule="auto"/>
      </w:pPr>
      <w:r>
        <w:separator/>
      </w:r>
    </w:p>
  </w:endnote>
  <w:endnote w:type="continuationSeparator" w:id="0">
    <w:p w14:paraId="2197C912" w14:textId="77777777" w:rsidR="00007FD6" w:rsidRDefault="00007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A749" w14:textId="77777777" w:rsidR="008316D0" w:rsidRDefault="008316D0">
    <w:pPr>
      <w:pStyle w:val="Rodap"/>
    </w:pPr>
    <w:r w:rsidRPr="005E65E3">
      <w:rPr>
        <w:noProof/>
        <w:lang w:eastAsia="pt-BR"/>
      </w:rPr>
      <w:drawing>
        <wp:anchor distT="0" distB="0" distL="114300" distR="114300" simplePos="0" relativeHeight="251658240" behindDoc="1" locked="0" layoutInCell="1" allowOverlap="1" wp14:anchorId="24731901" wp14:editId="3304688D">
          <wp:simplePos x="0" y="0"/>
          <wp:positionH relativeFrom="column">
            <wp:posOffset>-754075</wp:posOffset>
          </wp:positionH>
          <wp:positionV relativeFrom="paragraph">
            <wp:posOffset>-1140714</wp:posOffset>
          </wp:positionV>
          <wp:extent cx="6968611" cy="1486535"/>
          <wp:effectExtent l="0" t="0" r="3810" b="0"/>
          <wp:wrapNone/>
          <wp:docPr id="4" name="Imagem 3" descr="Papel Timbrado 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l Timbrado b.png"/>
                  <pic:cNvPicPr/>
                </pic:nvPicPr>
                <pic:blipFill>
                  <a:blip r:embed="rId1"/>
                  <a:stretch>
                    <a:fillRect/>
                  </a:stretch>
                </pic:blipFill>
                <pic:spPr>
                  <a:xfrm>
                    <a:off x="0" y="0"/>
                    <a:ext cx="6968611" cy="1486535"/>
                  </a:xfrm>
                  <a:prstGeom prst="rect">
                    <a:avLst/>
                  </a:prstGeom>
                </pic:spPr>
              </pic:pic>
            </a:graphicData>
          </a:graphic>
          <wp14:sizeRelH relativeFrom="margin">
            <wp14:pctWidth>0</wp14:pctWidth>
          </wp14:sizeRelH>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034705" w14:textId="77777777" w:rsidR="00007FD6" w:rsidRDefault="00007FD6">
      <w:pPr>
        <w:spacing w:after="0" w:line="240" w:lineRule="auto"/>
      </w:pPr>
      <w:r>
        <w:separator/>
      </w:r>
    </w:p>
  </w:footnote>
  <w:footnote w:type="continuationSeparator" w:id="0">
    <w:p w14:paraId="794C2F69" w14:textId="77777777" w:rsidR="00007FD6" w:rsidRDefault="00007F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41331" w14:textId="77777777" w:rsidR="008316D0" w:rsidRDefault="00477C12" w:rsidP="00477C12">
    <w:pPr>
      <w:pStyle w:val="Cabealho"/>
      <w:tabs>
        <w:tab w:val="clear" w:pos="4252"/>
        <w:tab w:val="clear" w:pos="8504"/>
        <w:tab w:val="left" w:pos="5392"/>
      </w:tabs>
    </w:pPr>
    <w:r>
      <w:rPr>
        <w:noProof/>
      </w:rPr>
      <w:drawing>
        <wp:anchor distT="0" distB="0" distL="114300" distR="114300" simplePos="0" relativeHeight="251660288" behindDoc="1" locked="0" layoutInCell="1" allowOverlap="1" wp14:anchorId="5A2A78AE" wp14:editId="2884FC24">
          <wp:simplePos x="0" y="0"/>
          <wp:positionH relativeFrom="margin">
            <wp:posOffset>-903605</wp:posOffset>
          </wp:positionH>
          <wp:positionV relativeFrom="paragraph">
            <wp:posOffset>-349723</wp:posOffset>
          </wp:positionV>
          <wp:extent cx="7208193" cy="1935125"/>
          <wp:effectExtent l="0" t="0" r="0" b="8255"/>
          <wp:wrapNone/>
          <wp:docPr id="106838163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81630" name="Imagem 1068381630"/>
                  <pic:cNvPicPr/>
                </pic:nvPicPr>
                <pic:blipFill>
                  <a:blip r:embed="rId1">
                    <a:extLst>
                      <a:ext uri="{28A0092B-C50C-407E-A947-70E740481C1C}">
                        <a14:useLocalDpi xmlns:a14="http://schemas.microsoft.com/office/drawing/2010/main" val="0"/>
                      </a:ext>
                    </a:extLst>
                  </a:blip>
                  <a:stretch>
                    <a:fillRect/>
                  </a:stretch>
                </pic:blipFill>
                <pic:spPr>
                  <a:xfrm>
                    <a:off x="0" y="0"/>
                    <a:ext cx="7208193" cy="1935125"/>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14E83062"/>
    <w:multiLevelType w:val="hybridMultilevel"/>
    <w:tmpl w:val="92AA2F00"/>
    <w:lvl w:ilvl="0" w:tplc="04160017">
      <w:start w:val="1"/>
      <w:numFmt w:val="lowerLetter"/>
      <w:lvlText w:val="%1)"/>
      <w:lvlJc w:val="left"/>
      <w:pPr>
        <w:ind w:left="360" w:hanging="360"/>
      </w:pPr>
      <w:rPr>
        <w:rFont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1B58298D"/>
    <w:multiLevelType w:val="hybridMultilevel"/>
    <w:tmpl w:val="644AC14E"/>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503D07D5"/>
    <w:multiLevelType w:val="hybridMultilevel"/>
    <w:tmpl w:val="92AA2F00"/>
    <w:lvl w:ilvl="0" w:tplc="04160017">
      <w:start w:val="1"/>
      <w:numFmt w:val="lowerLetter"/>
      <w:lvlText w:val="%1)"/>
      <w:lvlJc w:val="left"/>
      <w:pPr>
        <w:ind w:left="360" w:hanging="360"/>
      </w:pPr>
      <w:rPr>
        <w:rFont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78B63DE6"/>
    <w:multiLevelType w:val="hybridMultilevel"/>
    <w:tmpl w:val="BBE86A4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9"/>
  </w:num>
  <w:num w:numId="13">
    <w:abstractNumId w:val="7"/>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FD6"/>
    <w:rsid w:val="0001194B"/>
    <w:rsid w:val="00024325"/>
    <w:rsid w:val="00034616"/>
    <w:rsid w:val="0006063C"/>
    <w:rsid w:val="000751B0"/>
    <w:rsid w:val="00083F56"/>
    <w:rsid w:val="00085645"/>
    <w:rsid w:val="00087070"/>
    <w:rsid w:val="00092374"/>
    <w:rsid w:val="000E4F94"/>
    <w:rsid w:val="0015074B"/>
    <w:rsid w:val="00166A66"/>
    <w:rsid w:val="00231D3A"/>
    <w:rsid w:val="0029639D"/>
    <w:rsid w:val="002B2643"/>
    <w:rsid w:val="002E4F52"/>
    <w:rsid w:val="00326F90"/>
    <w:rsid w:val="003C6EA0"/>
    <w:rsid w:val="004010C0"/>
    <w:rsid w:val="00522842"/>
    <w:rsid w:val="005460B7"/>
    <w:rsid w:val="00585A01"/>
    <w:rsid w:val="005C1D1D"/>
    <w:rsid w:val="005F318B"/>
    <w:rsid w:val="006B6C1B"/>
    <w:rsid w:val="00707942"/>
    <w:rsid w:val="007D21AC"/>
    <w:rsid w:val="008065B0"/>
    <w:rsid w:val="00824509"/>
    <w:rsid w:val="00840D8B"/>
    <w:rsid w:val="008B5A6C"/>
    <w:rsid w:val="008F5B9B"/>
    <w:rsid w:val="008F760D"/>
    <w:rsid w:val="0090657D"/>
    <w:rsid w:val="00925702"/>
    <w:rsid w:val="009A691F"/>
    <w:rsid w:val="009F1F2E"/>
    <w:rsid w:val="00A2249D"/>
    <w:rsid w:val="00A34CD8"/>
    <w:rsid w:val="00AA1D8D"/>
    <w:rsid w:val="00B47730"/>
    <w:rsid w:val="00B67C79"/>
    <w:rsid w:val="00B9481D"/>
    <w:rsid w:val="00BA3E2E"/>
    <w:rsid w:val="00BE1F94"/>
    <w:rsid w:val="00C13DA7"/>
    <w:rsid w:val="00CB0664"/>
    <w:rsid w:val="00CE637D"/>
    <w:rsid w:val="00D71006"/>
    <w:rsid w:val="00D81DAA"/>
    <w:rsid w:val="00DD26D2"/>
    <w:rsid w:val="00E35B45"/>
    <w:rsid w:val="00E80E04"/>
    <w:rsid w:val="00EE2B89"/>
    <w:rsid w:val="00F31A54"/>
    <w:rsid w:val="00FC693F"/>
    <w:rsid w:val="00FE4E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D3E60"/>
  <w14:defaultImageDpi w14:val="300"/>
  <w15:docId w15:val="{A36A303D-87DC-49A8-BA3B-D7E29EFE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17323D"/>
      <w:sz w:val="21"/>
    </w:rPr>
  </w:style>
  <w:style w:type="paragraph" w:styleId="Ttulo1">
    <w:name w:val="heading 1"/>
    <w:basedOn w:val="Normal"/>
    <w:next w:val="Normal"/>
    <w:link w:val="Ttulo1Char"/>
    <w:uiPriority w:val="9"/>
    <w:qFormat/>
    <w:rsid w:val="00FC693F"/>
    <w:pPr>
      <w:keepNext/>
      <w:keepLines/>
      <w:spacing w:before="280" w:after="140"/>
      <w:outlineLvl w:val="0"/>
    </w:pPr>
    <w:rPr>
      <w:rFonts w:asciiTheme="majorHAnsi" w:eastAsiaTheme="majorEastAsia" w:hAnsiTheme="majorHAnsi" w:cstheme="majorBidi"/>
      <w:b/>
      <w:bCs/>
      <w:color w:val="0B2B40"/>
      <w:sz w:val="32"/>
      <w:szCs w:val="28"/>
    </w:rPr>
  </w:style>
  <w:style w:type="paragraph" w:styleId="Ttulo2">
    <w:name w:val="heading 2"/>
    <w:basedOn w:val="Normal"/>
    <w:next w:val="Normal"/>
    <w:link w:val="Ttulo2Char"/>
    <w:uiPriority w:val="9"/>
    <w:unhideWhenUsed/>
    <w:qFormat/>
    <w:rsid w:val="00FC693F"/>
    <w:pPr>
      <w:keepNext/>
      <w:keepLines/>
      <w:spacing w:before="200" w:after="100"/>
      <w:outlineLvl w:val="1"/>
    </w:pPr>
    <w:rPr>
      <w:rFonts w:asciiTheme="majorHAnsi" w:eastAsiaTheme="majorEastAsia" w:hAnsiTheme="majorHAnsi" w:cstheme="majorBidi"/>
      <w:b/>
      <w:bCs/>
      <w:color w:val="136F8A"/>
      <w:sz w:val="25"/>
      <w:szCs w:val="26"/>
    </w:rPr>
  </w:style>
  <w:style w:type="paragraph" w:styleId="Ttulo3">
    <w:name w:val="heading 3"/>
    <w:basedOn w:val="Normal"/>
    <w:next w:val="Normal"/>
    <w:link w:val="Ttulo3Char"/>
    <w:uiPriority w:val="9"/>
    <w:unhideWhenUsed/>
    <w:qFormat/>
    <w:rsid w:val="00FC693F"/>
    <w:pPr>
      <w:keepNext/>
      <w:keepLines/>
      <w:spacing w:before="160" w:after="80"/>
      <w:outlineLvl w:val="2"/>
    </w:pPr>
    <w:rPr>
      <w:rFonts w:asciiTheme="majorHAnsi" w:eastAsiaTheme="majorEastAsia" w:hAnsiTheme="majorHAnsi" w:cstheme="majorBidi"/>
      <w:b/>
      <w:bCs/>
      <w:color w:val="1AA6A6"/>
      <w:sz w:val="22"/>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B6B73"/>
      <w:sz w:val="17"/>
    </w:rPr>
  </w:style>
  <w:style w:type="paragraph" w:styleId="NormalWeb">
    <w:name w:val="Normal (Web)"/>
    <w:basedOn w:val="Normal"/>
    <w:uiPriority w:val="99"/>
    <w:semiHidden/>
    <w:unhideWhenUsed/>
    <w:rsid w:val="003C6EA0"/>
    <w:pPr>
      <w:spacing w:before="100" w:beforeAutospacing="1" w:after="100" w:afterAutospacing="1" w:line="240" w:lineRule="auto"/>
    </w:pPr>
    <w:rPr>
      <w:rFonts w:ascii="Times New Roman" w:eastAsia="Times New Roman" w:hAnsi="Times New Roman" w:cs="Times New Roman"/>
      <w:color w:val="auto"/>
      <w:sz w:val="24"/>
      <w:szCs w:val="24"/>
      <w:lang w:val="pt-BR" w:eastAsia="pt-BR"/>
    </w:rPr>
  </w:style>
  <w:style w:type="paragraph" w:customStyle="1" w:styleId="MdSpace">
    <w:name w:val="MdSpace"/>
    <w:qFormat/>
    <w:rsid w:val="008F5B9B"/>
    <w:pPr>
      <w:spacing w:after="0" w:line="240" w:lineRule="auto"/>
    </w:pPr>
    <w:rPr>
      <w:rFonts w:ascii="Times New Roman" w:eastAsia="Times New Roman" w:hAnsi="Times New Roman" w:cs="Times New Roman"/>
      <w:sz w:val="12"/>
      <w:szCs w:val="12"/>
      <w:lang w:val="pt-BR" w:eastAsia="pt-BR"/>
    </w:rPr>
  </w:style>
  <w:style w:type="paragraph" w:customStyle="1" w:styleId="MdParagraph">
    <w:name w:val="MdParagraph"/>
    <w:qFormat/>
    <w:rsid w:val="008F5B9B"/>
    <w:pPr>
      <w:spacing w:before="120" w:after="120" w:line="240" w:lineRule="auto"/>
    </w:pPr>
    <w:rPr>
      <w:rFonts w:ascii="Times New Roman" w:eastAsia="Times New Roman" w:hAnsi="Times New Roman" w:cs="Times New Roman"/>
      <w:sz w:val="24"/>
      <w:szCs w:val="24"/>
      <w:lang w:val="pt-BR" w:eastAsia="pt-BR"/>
    </w:rPr>
  </w:style>
  <w:style w:type="paragraph" w:customStyle="1" w:styleId="MdTableHeader">
    <w:name w:val="MdTableHeader"/>
    <w:qFormat/>
    <w:rsid w:val="008F5B9B"/>
    <w:pPr>
      <w:spacing w:before="60" w:after="60" w:line="240" w:lineRule="auto"/>
    </w:pPr>
    <w:rPr>
      <w:rFonts w:ascii="Times New Roman" w:eastAsia="Times New Roman" w:hAnsi="Times New Roman" w:cs="Times New Roman"/>
      <w:b/>
      <w:bCs/>
      <w:lang w:val="pt-BR" w:eastAsia="pt-BR"/>
    </w:rPr>
  </w:style>
  <w:style w:type="paragraph" w:customStyle="1" w:styleId="MdTableCell">
    <w:name w:val="MdTableCell"/>
    <w:qFormat/>
    <w:rsid w:val="008F5B9B"/>
    <w:pPr>
      <w:spacing w:before="40" w:after="40" w:line="240" w:lineRule="auto"/>
    </w:pPr>
    <w:rPr>
      <w:rFonts w:ascii="Times New Roman" w:eastAsia="Times New Roman" w:hAnsi="Times New Roman" w:cs="Times New Roman"/>
      <w:sz w:val="20"/>
      <w:szCs w:val="20"/>
      <w:lang w:val="pt-BR" w:eastAsia="pt-BR"/>
    </w:rPr>
  </w:style>
  <w:style w:type="paragraph" w:customStyle="1" w:styleId="MdHeading2">
    <w:name w:val="MdHeading2"/>
    <w:qFormat/>
    <w:rsid w:val="008F5B9B"/>
    <w:pPr>
      <w:keepNext/>
      <w:spacing w:before="400" w:line="240" w:lineRule="auto"/>
      <w:outlineLvl w:val="1"/>
    </w:pPr>
    <w:rPr>
      <w:rFonts w:ascii="Times New Roman" w:eastAsia="Times New Roman" w:hAnsi="Times New Roman" w:cs="Times New Roman"/>
      <w:b/>
      <w:bCs/>
      <w:sz w:val="32"/>
      <w:szCs w:val="32"/>
      <w:lang w:val="pt-BR" w:eastAsia="pt-BR"/>
    </w:rPr>
  </w:style>
  <w:style w:type="paragraph" w:customStyle="1" w:styleId="MdHeading3">
    <w:name w:val="MdHeading3"/>
    <w:qFormat/>
    <w:rsid w:val="008F5B9B"/>
    <w:pPr>
      <w:keepNext/>
      <w:spacing w:before="320" w:after="160" w:line="240" w:lineRule="auto"/>
      <w:outlineLvl w:val="2"/>
    </w:pPr>
    <w:rPr>
      <w:rFonts w:ascii="Times New Roman" w:eastAsia="Times New Roman" w:hAnsi="Times New Roman" w:cs="Times New Roman"/>
      <w:b/>
      <w:bCs/>
      <w:sz w:val="28"/>
      <w:szCs w:val="28"/>
      <w:lang w:val="pt-BR" w:eastAsia="pt-BR"/>
    </w:rPr>
  </w:style>
  <w:style w:type="character" w:customStyle="1" w:styleId="MdStrong">
    <w:name w:val="MdStrong"/>
    <w:uiPriority w:val="99"/>
    <w:qFormat/>
    <w:rsid w:val="008F5B9B"/>
    <w:rPr>
      <w:b/>
      <w:bCs/>
    </w:rPr>
  </w:style>
  <w:style w:type="table" w:styleId="TabelaSimples1">
    <w:name w:val="Plain Table 1"/>
    <w:basedOn w:val="Tabelanormal"/>
    <w:uiPriority w:val="99"/>
    <w:rsid w:val="008F5B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Clara">
    <w:name w:val="Grid Table Light"/>
    <w:basedOn w:val="Tabelanormal"/>
    <w:uiPriority w:val="99"/>
    <w:rsid w:val="000870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9553755">
      <w:bodyDiv w:val="1"/>
      <w:marLeft w:val="0"/>
      <w:marRight w:val="0"/>
      <w:marTop w:val="0"/>
      <w:marBottom w:val="0"/>
      <w:divBdr>
        <w:top w:val="none" w:sz="0" w:space="0" w:color="auto"/>
        <w:left w:val="none" w:sz="0" w:space="0" w:color="auto"/>
        <w:bottom w:val="none" w:sz="0" w:space="0" w:color="auto"/>
        <w:right w:val="none" w:sz="0" w:space="0" w:color="auto"/>
      </w:divBdr>
    </w:div>
    <w:div w:id="1504389903">
      <w:bodyDiv w:val="1"/>
      <w:marLeft w:val="0"/>
      <w:marRight w:val="0"/>
      <w:marTop w:val="0"/>
      <w:marBottom w:val="0"/>
      <w:divBdr>
        <w:top w:val="none" w:sz="0" w:space="0" w:color="auto"/>
        <w:left w:val="none" w:sz="0" w:space="0" w:color="auto"/>
        <w:bottom w:val="none" w:sz="0" w:space="0" w:color="auto"/>
        <w:right w:val="none" w:sz="0" w:space="0" w:color="auto"/>
      </w:divBdr>
    </w:div>
    <w:div w:id="1734893390">
      <w:bodyDiv w:val="1"/>
      <w:marLeft w:val="0"/>
      <w:marRight w:val="0"/>
      <w:marTop w:val="0"/>
      <w:marBottom w:val="0"/>
      <w:divBdr>
        <w:top w:val="none" w:sz="0" w:space="0" w:color="auto"/>
        <w:left w:val="none" w:sz="0" w:space="0" w:color="auto"/>
        <w:bottom w:val="none" w:sz="0" w:space="0" w:color="auto"/>
        <w:right w:val="none" w:sz="0" w:space="0" w:color="auto"/>
      </w:divBdr>
      <w:divsChild>
        <w:div w:id="1406227021">
          <w:marLeft w:val="0"/>
          <w:marRight w:val="0"/>
          <w:marTop w:val="15"/>
          <w:marBottom w:val="15"/>
          <w:divBdr>
            <w:top w:val="single" w:sz="2" w:space="0" w:color="E5E7EB"/>
            <w:left w:val="single" w:sz="2" w:space="0" w:color="E5E7EB"/>
            <w:bottom w:val="single" w:sz="2" w:space="0" w:color="E5E7EB"/>
            <w:right w:val="single" w:sz="2" w:space="0" w:color="E5E7EB"/>
          </w:divBdr>
          <w:divsChild>
            <w:div w:id="60912146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85677406">
          <w:marLeft w:val="0"/>
          <w:marRight w:val="0"/>
          <w:marTop w:val="15"/>
          <w:marBottom w:val="15"/>
          <w:divBdr>
            <w:top w:val="single" w:sz="2" w:space="0" w:color="E5E7EB"/>
            <w:left w:val="single" w:sz="2" w:space="0" w:color="E5E7EB"/>
            <w:bottom w:val="single" w:sz="2" w:space="0" w:color="E5E7EB"/>
            <w:right w:val="single" w:sz="2" w:space="0" w:color="E5E7EB"/>
          </w:divBdr>
          <w:divsChild>
            <w:div w:id="164334637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24803774">
          <w:marLeft w:val="0"/>
          <w:marRight w:val="0"/>
          <w:marTop w:val="15"/>
          <w:marBottom w:val="15"/>
          <w:divBdr>
            <w:top w:val="single" w:sz="2" w:space="0" w:color="E5E7EB"/>
            <w:left w:val="single" w:sz="2" w:space="0" w:color="E5E7EB"/>
            <w:bottom w:val="single" w:sz="2" w:space="0" w:color="E5E7EB"/>
            <w:right w:val="single" w:sz="2" w:space="0" w:color="E5E7EB"/>
          </w:divBdr>
          <w:divsChild>
            <w:div w:id="23016294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5778818">
          <w:marLeft w:val="0"/>
          <w:marRight w:val="0"/>
          <w:marTop w:val="15"/>
          <w:marBottom w:val="15"/>
          <w:divBdr>
            <w:top w:val="single" w:sz="2" w:space="0" w:color="E5E7EB"/>
            <w:left w:val="single" w:sz="2" w:space="0" w:color="E5E7EB"/>
            <w:bottom w:val="single" w:sz="2" w:space="0" w:color="E5E7EB"/>
            <w:right w:val="single" w:sz="2" w:space="0" w:color="E5E7EB"/>
          </w:divBdr>
          <w:divsChild>
            <w:div w:id="63787596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25424830">
          <w:marLeft w:val="0"/>
          <w:marRight w:val="0"/>
          <w:marTop w:val="15"/>
          <w:marBottom w:val="15"/>
          <w:divBdr>
            <w:top w:val="single" w:sz="2" w:space="0" w:color="E5E7EB"/>
            <w:left w:val="single" w:sz="2" w:space="0" w:color="E5E7EB"/>
            <w:bottom w:val="single" w:sz="2" w:space="0" w:color="E5E7EB"/>
            <w:right w:val="single" w:sz="2" w:space="0" w:color="E5E7EB"/>
          </w:divBdr>
          <w:divsChild>
            <w:div w:id="129062545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C2E07-CEB6-4571-A96B-35C42AE65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29</Pages>
  <Words>11446</Words>
  <Characters>61810</Characters>
  <Application>Microsoft Office Word</Application>
  <DocSecurity>0</DocSecurity>
  <Lines>515</Lines>
  <Paragraphs>146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Termo de Referência — Inteligência Contábil e Gestão Fiscal</vt:lpstr>
      <vt:lpstr/>
    </vt:vector>
  </TitlesOfParts>
  <Manager/>
  <Company/>
  <LinksUpToDate>false</LinksUpToDate>
  <CharactersWithSpaces>73110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Referência — Inteligência Contábil e Gestão Fiscal</dc:title>
  <dc:subject>Termo de Referência — contratação de plataforma SaaS de inteligência contábil e gestão fiscal</dc:subject>
  <dc:creator>Prefeitura Municipal de Hidrolândia/GO</dc:creator>
  <cp:keywords>ETP, SaaS, gestão fiscal, inteligência artificial, TCM-GO, Hidrolândia</cp:keywords>
  <dc:description/>
  <cp:lastModifiedBy>Thyago Ferreira</cp:lastModifiedBy>
  <cp:revision>8</cp:revision>
  <dcterms:created xsi:type="dcterms:W3CDTF">2026-08-17T20:20:00Z</dcterms:created>
  <dcterms:modified xsi:type="dcterms:W3CDTF">2026-09-22T12:03:00Z</dcterms:modified>
  <cp:category/>
</cp:coreProperties>
</file>