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65C7" w14:textId="77777777" w:rsidR="00640D18" w:rsidRDefault="00640D18" w:rsidP="00FE27E1">
      <w:pPr>
        <w:spacing w:after="0" w:line="240" w:lineRule="auto"/>
        <w:ind w:left="-851"/>
        <w:jc w:val="both"/>
        <w:rPr>
          <w:rFonts w:ascii="Arial-BoldItalicMT" w:eastAsia="Times New Roman" w:hAnsi="Arial-BoldItalicMT" w:cs="Times New Roman"/>
          <w:b/>
          <w:bCs/>
          <w:i/>
          <w:iCs/>
          <w:color w:val="000000"/>
          <w:sz w:val="24"/>
          <w:szCs w:val="24"/>
          <w:lang w:eastAsia="pt-BR"/>
        </w:rPr>
      </w:pPr>
      <w:bookmarkStart w:id="0" w:name="_Toc514078657"/>
      <w:bookmarkStart w:id="1" w:name="_Hlk519247940"/>
      <w:bookmarkStart w:id="2" w:name="_Hlk518638408"/>
    </w:p>
    <w:p w14:paraId="50676BAB" w14:textId="77777777" w:rsidR="0097312A" w:rsidRDefault="0097312A" w:rsidP="0097312A">
      <w:pPr>
        <w:spacing w:after="200"/>
        <w:jc w:val="center"/>
        <w:rPr>
          <w:rFonts w:ascii="Cambria" w:hAnsi="Cambria" w:cstheme="minorHAnsi"/>
          <w:b/>
          <w:color w:val="000000" w:themeColor="text1"/>
          <w:szCs w:val="24"/>
          <w:u w:val="single"/>
        </w:rPr>
      </w:pPr>
      <w:r>
        <w:rPr>
          <w:rFonts w:ascii="Cambria" w:hAnsi="Cambria" w:cstheme="minorHAnsi"/>
          <w:b/>
          <w:color w:val="000000" w:themeColor="text1"/>
          <w:szCs w:val="24"/>
          <w:u w:val="single"/>
        </w:rPr>
        <w:t>ESTUDO TÉCNICO PRELIMINAR</w:t>
      </w: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Identificação do objeto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CONTRATAÇÃO DE PLATAFORMA SAAS DE INTELIGÊNCIA CONTÁBIL E GESTÃO FISCAL, EM MODELO DE SERVIÇO HOSPEDADO EM NUVEM, COM ACESSO WEB E APLICATIVO MÓVEL INTEGRADO, COMPREENDENDO PAINÉIS ANALÍTICOS EXECUTIVOS, GESTÃO DE ENTREGAS, OBRIGAÇÕES E CONFORMIDADE, ACOMPANHAMENTO DE CAUC E DE PROCESSOS DO TCM-GO, E INTEGRAÇÃO, IMPORTAÇÃO E RASTREABILIDADE DE DADOS, COM IMPLANTAÇÃO, CAPACITAÇÃO, SUPORTE E MANUTENÇÃO.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objeto é contratual único e abrange, na mesma contratação: implantação, configuração, parametrização e capacitação; hospedagem, infraestrutura, backup, segurança da informação e continuidade; suporte técnico e manutenção corretiva e evolutiva; e disponibilização de aplicativo móvel integrado à mesma base de dados, usuários, perfis e permissões da plataforma web.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Secretaria requisitante: [INFORMAÇÃO A PREENCHER]. Setor responsável: [INFORMAÇÃO A PREENCHER]. Processo administrativo nº [INFORMAÇÃO A PREENCHER]. Data de elaboração: [INFORMAÇÃO A PREENCHER].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1. Sumário executivo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Administração Municipal de Minaçu -- GO necessita de uma solução tecnológica integrada capaz de transformar dados contábeis, orçamentários, financeiros, patrimoniais e fiscais em informação gerencial confiável, tempestiva e rastreável. A necessidade decorre da dispersão das fontes de informação, da dependência de controles manuais e da dificuldade de acompanhar, de forma centralizada, obrigações, prazos e processos perante órgãos de controle.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Propõe-se, como solução mais adequada, a contratação de </w:t>
            </w:r>
            <w:r>
              <w:rPr>
                <w:rFonts w:cstheme="minorHAnsi"/>
                <w:b/>
              </w:rPr>
              <w:t xml:space="preserve">licença de uso temporário de plataforma SaaS -- Software as a Service --, hospedada em nuvem</w:t>
            </w:r>
            <w:r>
              <w:rPr>
                <w:rFonts w:cstheme="minorHAnsi"/>
              </w:rPr>
              <w:t xml:space="preserve">, com acesso pela web e por aplicativo móvel integrado, reunindo, em ambiente único, painéis analíticos executivos, gestão de entregas, obrigações e conformidade, acompanhamento de CAUC, acompanhamento de processos do TCM-GO e mecanismos de integração, importação e rastreabilidade de dados.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solução deverá apoiar, sem substituir a responsabilidade dos agentes públicos, a análise da execução contábil, orçamentária e financeira e a qualidade da informação gerencial disponível aos gestores, preservando integralmente as competências do SIAFIC municipal e dos profissionais responsáveis pela contabilidade, pela controladoria e pela prestação de contas.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escopo ora delineado resulta de adequação do objeto à necessidade efetivamente identificada pela Administração, orientada pelos princípios da economicidade e da proporcionalidade dos requisitos técnicos em relação ao resultado pretendido, com potencial de ampliação da competitividade do certame em razão da redução de exigências não essenciais ao atendimento da necessidade pública.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2. Identificação do problema e diagnóstico da situação atual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2.1. Problema central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gestão pública de Minaçu não dispõe de um ambiente institucional único e integrado voltado à gestão inteligente de dados contábeis, orçamentários, financeiros e fiscais, capaz de consolidar informações estratégicas, apoiar a tomada de decisão, produzir indicadores e painéis gerenciais, monitorar obrigações e processos de prestação de contas e centralizar o acompanhamento da situação de conformidade perante os órgãos de controle. Como consequência, parte relevante da gestão depende de documentos dispersos em PDF, planilhas paralelas e cruzamentos manuais, o que compromete a eficiência da gestão.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problema identificado, portanto, não se resume à ausência de ferramenta para visualização de dados. Trata-se de uma lacuna de </w:t>
            </w:r>
            <w:r>
              <w:rPr>
                <w:rFonts w:cstheme="minorHAnsi"/>
                <w:b/>
              </w:rPr>
              <w:t xml:space="preserve">governança, integração e inteligência da informação</w:t>
            </w:r>
            <w:r>
              <w:rPr>
                <w:rFonts w:cstheme="minorHAnsi"/>
              </w:rPr>
              <w:t xml:space="preserve">, na medida em que dados essenciais à gestão existem, mas nem sempre estão organizados, correlacionados e apresentados de forma suficientemente acessível, tempestiva e orientada à tomada de decisão.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2.2. Primeira frente: qualidade da informação gerencial a partir das fontes contábeis e fiscais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Administração Pública de Minaçu produz e encaminha periodicamente grande volume de informações contábeis, orçamentárias e fiscais, distribuídas em demonstrativos e bases estruturadas de elevada complexidade, como a Declaração de Contas Anuais -- DCA, o Relatório Resumido da Execução Orçamentária -- RREO, o Relatório de Gestão Fiscal -- RGF e a Matriz de Saldos Contábeis -- MSC. Tais bases constituem fontes primárias legítimas e relevantes para a composição de indicadores gerenciais e de painéis analíticos, não sendo objeto desta contratação a criação de módulo autônomo de validação, conferência ou cruzamento preventivo desses demonstrativos, tarefa que permanece sob responsabilidade da contabilidade, da controladoria e do SIAFIC municipal.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Justifica-se, assim, a utilização de solução tecnológica capaz de consolidar essas bases em painéis e indicadores gerenciais tempestivos, ampliando a capacidade analítica da Administração sem substituir o SIAFIC, os profissionais da contabilidade ou a assessoria responsável, tampouco realizar alterações nos registros oficiais.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2.3. Segunda frente: ausência de inteligência gerencial tempestiva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SIAFIC municipal desempenha função essencial no registro, processamento e consolidação dos atos e fatos da execução orçamentária, financeira, patrimonial e contábil. Entretanto, sua finalidade principal não é, necessariamente, oferecer uma camada de inteligência gerencial voltada à leitura executiva, ao acompanhamento de indicadores e à análise integrada dos fatores que afetam a gestão fiscal e orçamentária. Na prática, grande parte das informações necessárias à tomada de decisão precisa ser extraída de relatórios e bases de dados e, posteriormente, organizada, filtrada, cruzada e apresentada por meio de planilhas ou controles auxiliares, o que aumenta o tempo entre a geração do dado e sua efetiva utilização gerencial.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solução pretendida deverá, portanto, reduzir o intervalo entre a disponibilização dos dados contábeis e sua transformação em informação gerencial útil, permitindo que Prefeito, secretários, controladoria, contabilidade e demais usuários autorizados acompanhem indicadores e realizem análises sob diferentes perspectivas, inclusive por exercício, órgão, unidade, função, programa, fonte de recursos e período.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2.4. Terceira frente: dispersão de entregas, pendências e processos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Administração precisa acompanhar obrigações e processos em diferentes ambientes, incluindo TCM-GO e CAUC, além das rotinas do sistema de gestão pública e dos controles internos. A consulta fragmentada dificulta saber, em tempo oportuno, o que foi enviado, o que está pendente, qual prazo se aproxima, qual processo está em diligência e qual providência aguarda responsável.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plataforma deverá centralizar o status operacional, com indicação de fonte, data de consulta, atualização, responsável e evidência disponível. Quando a integração automática não for tecnicamente possível ou não estiver autorizada pela fonte, o sistema deverá permitir importação, registro manual controlado ou atualização assistida, sempre identificando o método utilizado e evitando a aparência de consulta em tempo real quando houver defasagem -- especialmente relevante no caso do CAUC, cuja fonte pode apresentar indisponibilidade ou defasagem de atualização.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3. Requisitos mínimos da plataforma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3.1. Requisitos gerais e requisitos transversais de segurança, privacidade e continuidade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solução deverá ser disponibilizada como serviço em nuvem, acessível por navegador atualizado, com ambiente personalizado por usuário, suporte técnico, manutenção corretiva e evolutiva e atualizações necessárias à continuidade operacional. Deverá permitir configuração de exercício, órgão, unidade, fonte de recurso, período e perfil, com registro da data de atualização de cada base, e exibir, em linguagem clara, se determinada informação foi importada, calculada, sincronizada ou informada manualmente.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Os requisitos de segurança, privacidade e continuidade a seguir não constituem módulo comercial autônomo, mas condição transversal aplicável a toda a plataforma, web e móvel: autenticação segura; usuários individuais e intransferíveis; perfis e permissões configuráveis; controle de acesso baseado no princípio do menor privilégio; segregação de acesso por perfil, órgão e unidade; logs e trilhas de auditoria; rastreabilidade das ações realizadas na plataforma; criptografia em trânsito e em repouso; rotinas de backup e mecanismos de continuidade e recuperação; disponibilidade mensal de referência de 99,5%, com regras de medição, janelas de manutenção e forma de apuração; proteção de dados pessoais em conformidade com a Lei Geral de Proteção de Dados (LGPD); gestão de vulnerabilidades e notificação de incidentes; exportação estruturada dos dados municipais; reversibilidade ao término da contratação; e suporte técnico e manutenção com níveis mínimos de atendimento.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3.2. Painéis analíticos executivos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módulo deverá contemplar, no mínimo, as seguintes visões, com filtros, comparações entre exercícios e períodos, séries históricas, detalhamento e exportação, sempre com identificação da fonte e do momento da extração:</w:t>
            </w:r>
          </w:p>
          <w:tbl>
            <w:tblPr>
              <w:tblStyle w:val="Tabelacomgrade"/>
              <w:tblW w:w="9639" w:type="dxa"/>
              <w:tblLook w:val="04A0" w:firstRow="1" w:lastRow="0" w:firstColumn="1" w:lastColumn="0" w:noHBand="0" w:noVBand="1"/>
            </w:tblPr>
            <w:tblGrid>
              <w:gridCol w:w="2500"/>
              <w:gridCol w:w="7139"/>
            </w:tblGrid>
            <w:tr>
              <w:tc>
                <w:tcPr>
                  <w:tcW w:w="25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Grupo</w:t>
                  </w:r>
                </w:p>
              </w:tc>
              <w:tc>
                <w:tcPr>
                  <w:tcW w:w="7139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Conteúdo mínimo esperado</w:t>
                  </w:r>
                </w:p>
              </w:tc>
            </w:tr>
            <w:tr>
              <w:tc>
                <w:tcPr>
                  <w:tcW w:w="2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Receita</w:t>
                  </w:r>
                </w:p>
              </w:tc>
              <w:tc>
                <w:tcPr>
                  <w:tcW w:w="7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Visão geral, receitas próprias, transferências correntes, fontes, receitas vinculadas à educação e à saúde, RCL e consulta detalhada.</w:t>
                  </w:r>
                </w:p>
              </w:tc>
            </w:tr>
            <w:tr>
              <w:tc>
                <w:tcPr>
                  <w:tcW w:w="2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Despesa</w:t>
                  </w:r>
                </w:p>
              </w:tc>
              <w:tc>
                <w:tcPr>
                  <w:tcW w:w="7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GND, órgão, unidade, função, programa, elemento, subelemento, fonte, fornecedor e estágios empenhado, liquidado e pago.</w:t>
                  </w:r>
                </w:p>
              </w:tc>
            </w:tr>
            <w:tr>
              <w:tc>
                <w:tcPr>
                  <w:tcW w:w="2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Despesas críticas</w:t>
                  </w:r>
                </w:p>
              </w:tc>
              <w:tc>
                <w:tcPr>
                  <w:tcW w:w="7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Combustíveis, diárias, obras, folha, encargos sociais e rankings ou séries comparativas quando os dados permitirem.</w:t>
                  </w:r>
                </w:p>
              </w:tc>
            </w:tr>
            <w:tr>
              <w:tc>
                <w:tcPr>
                  <w:tcW w:w="2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Caixa e patrimônio</w:t>
                  </w:r>
                </w:p>
              </w:tc>
              <w:tc>
                <w:tcPr>
                  <w:tcW w:w="7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Disponibilidades, saldos bancários, disponibilidade líquida, retenções, dívida consolidada e restos a pagar.</w:t>
                  </w:r>
                </w:p>
              </w:tc>
            </w:tr>
            <w:tr>
              <w:tc>
                <w:tcPr>
                  <w:tcW w:w="2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Relações institucionais</w:t>
                  </w:r>
                </w:p>
              </w:tc>
              <w:tc>
                <w:tcPr>
                  <w:tcW w:w="7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Duodécimo, transferências financeiras, INSS/RPPS e outros indicadores disponíveis na base importada.</w:t>
                  </w:r>
                </w:p>
              </w:tc>
            </w:tr>
            <w:tr>
              <w:tc>
                <w:tcPr>
                  <w:tcW w:w="2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Indicadores legais</w:t>
                  </w:r>
                </w:p>
              </w:tc>
              <w:tc>
                <w:tcPr>
                  <w:tcW w:w="7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Pessoal/LRF, saúde, MDE, FUNDEB e demais indicadores definidos no TR conforme a fonte e a legislação vigente, apurados a partir de DCA, RREO, RGF e MSC como fontes de dados.</w:t>
                  </w:r>
                </w:p>
              </w:tc>
            </w:tr>
            <w:tr>
              <w:tc>
                <w:tcPr>
                  <w:tcW w:w="2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Apresentação</w:t>
                  </w:r>
                </w:p>
              </w:tc>
              <w:tc>
                <w:tcPr>
                  <w:tcW w:w="7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Visões simplificadas para reuniões gerenciais, audiências públicas e conselhos, sem eliminar a consulta detalhada.</w:t>
                  </w:r>
                </w:p>
              </w:tc>
            </w:tr>
          </w:tbl>
          <w:p>
            <w:pPr>
              <w:spacing w:after="0"/>
            </w:pP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sistema deverá informar as fórmulas, as premissas e a origem dos dados utilizados nos indicadores. Quando o indicador depender de classificação, vinculação ou tratamento que não possa ser confirmado automaticamente, deverá exibir ressalva e permitir consulta aos dados de origem.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3.3. Entregas, obrigações e conformidade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módulo deverá permitir agenda de obrigações, prazos, responsáveis, status, alertas e notificações, com registro de evidências, protocolos e recibos, contemplando, conforme disponibilidade e autorização técnica das fontes, o acompanhamento perante órgãos externos quando tecnicamente possível.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3.4. CAUC -- Cadastro Único de Convênios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plataforma deverá permitir o acompanhamento da situação de adimplência do Município no CAUC, incluindo pendências identificadas, grupos de conformidade, histórico de consultas, data da última consulta e indicação expressa de eventual indisponibilidade ou defasagem da fonte oficial, de modo a não apresentar informação desatualizada como se fosse consulta em tempo real.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3.5. Processos do TCM-GO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No acompanhamento de processos do Tribunal de Contas dos Municípios do Estado de Goiás (TCM-GO), a plataforma deverá permitir, no mínimo, cadastro ou importação do número do processo, órgão, exercício, unidade responsável, assunto, fase, situação, prazos, diligências, julgamentos e decisões, documentos vinculados, providências pendentes e alertas relacionados.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3.6. Integrações, importação e rastreabilidade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solução deverá aceitar arquivos e formatos utilizados pela Administração, incluindo balancetes, e admitir integração por API quando houver interface oficial autorizada, estável e disponível. Em cada importação, o sistema deverá indicar quantidade de arquivos, linhas ou registros processados, aceitos, rejeitados ou pendentes, além de identificação da origem, data de atualização, status de processamento, histórico e rastreabilidade, mantendo vínculo entre a informação exibida no painel e o lote de dados que a originou.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3.7. Aplicativo móvel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aplicativo deverá ser integrado à mesma base de dados, usuários, perfis e permissões da plataforma web, constituindo com ela uma única solução SaaS, e não sistemas independentes. Deverá permitir, conforme o perfil do usuário, o acesso a dashboard, receitas, despesas, caixa e disponibilidades, indicadores, obrigações, CAUC, processos do TCM-GO e alertas, observadas as limitações próprias de dispositivos móveis.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4. Levantamento de mercado e análise das alternativas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levantamento considera quatro cenários, revisados à luz do escopo reduzido definido neste Estudo: manutenção do modelo atual, predominantemente manual; desenvolvimento próprio; contratação de desenvolvimento sob encomenda; e contratação de plataforma SaaS especializada já estruturada. A comparação não pretende presumir que toda plataforma de mercado seja adequada; avalia apenas qual tipo de solução melhor atende à necessidade identificada, sem indicação de fornecedores ou de preços, os quais dependem de pesquisa de mercado a ser realizada na fase preparatória.</w:t>
            </w:r>
          </w:p>
          <w:tbl>
            <w:tblPr>
              <w:tblStyle w:val="Tabelacomgrade"/>
              <w:tblW w:w="9639" w:type="dxa"/>
              <w:tblLook w:val="04A0" w:firstRow="1" w:lastRow="0" w:firstColumn="1" w:lastColumn="0" w:noHBand="0" w:noVBand="1"/>
            </w:tblPr>
            <w:tblGrid>
              <w:gridCol w:w="2000"/>
              <w:gridCol w:w="2400"/>
              <w:gridCol w:w="2900"/>
              <w:gridCol w:w="2339"/>
            </w:tblGrid>
            <w:tr>
              <w:tc>
                <w:tcPr>
                  <w:tcW w:w="20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Alternativa</w:t>
                  </w:r>
                </w:p>
              </w:tc>
              <w:tc>
                <w:tcPr>
                  <w:tcW w:w="24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Benefícios</w:t>
                  </w:r>
                </w:p>
              </w:tc>
              <w:tc>
                <w:tcPr>
                  <w:tcW w:w="29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Limitações e riscos</w:t>
                  </w:r>
                </w:p>
              </w:tc>
              <w:tc>
                <w:tcPr>
                  <w:tcW w:w="2339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Conclusão preliminar</w:t>
                  </w:r>
                </w:p>
              </w:tc>
            </w:tr>
            <w:tr>
              <w:tc>
                <w:tcPr>
                  <w:tcW w:w="2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Manter o modelo atual (manual)</w:t>
                  </w:r>
                </w:p>
              </w:tc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Nenhum custo adicional imediato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Perpetua dispersão de fontes, controles manuais e ausência de visão gerencial integrada</w:t>
                  </w:r>
                </w:p>
              </w:tc>
              <w:tc>
                <w:tcPr>
                  <w:tcW w:w="2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Não atende à necessidade identificada</w:t>
                  </w:r>
                </w:p>
              </w:tc>
            </w:tr>
            <w:tr>
              <w:tc>
                <w:tcPr>
                  <w:tcW w:w="2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Desenvolver internamente</w:t>
                  </w:r>
                </w:p>
              </w:tc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Controle direto sobre prioridades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Falta de equipe especializada, prazo longo, custo continuado e risco de descontinuidade</w:t>
                  </w:r>
                </w:p>
              </w:tc>
              <w:tc>
                <w:tcPr>
                  <w:tcW w:w="2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Não recomendada para o horizonte da necessidade</w:t>
                  </w:r>
                </w:p>
              </w:tc>
            </w:tr>
            <w:tr>
              <w:tc>
                <w:tcPr>
                  <w:tcW w:w="2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Desenvolver sob encomenda</w:t>
                  </w:r>
                </w:p>
              </w:tc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Possibilidade de customização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Custo inicial elevado, necessidade de equipe interna de requisitos e homologação, manutenção futura e dependência de fornecedor</w:t>
                  </w:r>
                </w:p>
              </w:tc>
              <w:tc>
                <w:tcPr>
                  <w:tcW w:w="2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Menos adequada que solução já operacional</w:t>
                  </w:r>
                </w:p>
              </w:tc>
            </w:tr>
            <w:tr>
              <w:tc>
                <w:tcPr>
                  <w:tcW w:w="2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Contratar plataforma SaaS especializada</w:t>
                  </w:r>
                </w:p>
              </w:tc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Implantação mais rápida, economia de escala, atualização contínua, suporte e módulos já estruturados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Dependência contratual; necessidade de avaliar fornecedor, proteção de dados, continuidade e reversibilidade</w:t>
                  </w:r>
                </w:p>
              </w:tc>
              <w:tc>
                <w:tcPr>
                  <w:tcW w:w="2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Alternativa escolhida, condicionada a requisitos objetivos e à pesquisa de preços</w:t>
                  </w:r>
                </w:p>
              </w:tc>
            </w:tr>
          </w:tbl>
          <w:p>
            <w:pPr>
              <w:spacing w:after="0"/>
            </w:pP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contratação de plataforma SaaS especializada permite à Administração utilizar solução tecnológica previamente desenvolvida, testada e mantida de forma contínua pelo fornecedor, sem a necessidade de estruturar internamente todo o ciclo de desenvolvimento, hospedagem, atualização e sustentação do software, reduzindo o tempo necessário para disponibilização das funcionalidades. Sua vantajosidade econômica e técnica deverá ser confirmada por pesquisa de preços, análise do custo total da contratação e comprovação do atendimento aos requisitos estabelecidos.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5. Estimativa das quantidades e memória de dimensionamento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quantidade foi dimensionada a partir da necessidade de disponibilizar uma base municipal integrada, com acesso de diferentes perfis da Administração e utilização compartilhada dos módulos. A contratação não corresponde à aquisição de sistemas independentes; trata-se de uma licença corporativa que deve permitir a gestão de perfis e o uso simultâneo por até vinte agentes públicos. Os quantitativos abaixo preservam os já definidos no ETP original desta contratação, excluídos os itens relativos a módulos de inteligência artificial, os quais não subsistem no escopo revisado.</w:t>
            </w:r>
          </w:p>
          <w:tbl>
            <w:tblPr>
              <w:tblStyle w:val="Tabelacomgrade"/>
              <w:tblW w:w="9639" w:type="dxa"/>
              <w:tblLook w:val="04A0" w:firstRow="1" w:lastRow="0" w:firstColumn="1" w:lastColumn="0" w:noHBand="0" w:noVBand="1"/>
            </w:tblPr>
            <w:tblGrid>
              <w:gridCol w:w="3200"/>
              <w:gridCol w:w="1800"/>
              <w:gridCol w:w="4639"/>
            </w:tblGrid>
            <w:tr>
              <w:tc>
                <w:tcPr>
                  <w:tcW w:w="32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Item de dimensionamento</w:t>
                  </w:r>
                </w:p>
              </w:tc>
              <w:tc>
                <w:tcPr>
                  <w:tcW w:w="18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Quantidade</w:t>
                  </w:r>
                </w:p>
              </w:tc>
              <w:tc>
                <w:tcPr>
                  <w:tcW w:w="4639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Memória de cálculo / justificativa</w:t>
                  </w:r>
                </w:p>
              </w:tc>
            </w:tr>
            <w:tr>
              <w:tc>
                <w:tcPr>
                  <w:tcW w:w="32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Licença corporativa da plataforma integrada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1</w:t>
                  </w:r>
                </w:p>
              </w:tc>
              <w:tc>
                <w:tcPr>
                  <w:tcW w:w="46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Uma unidade atende ao Município e evita duplicidade de base, integração e governança</w:t>
                  </w:r>
                </w:p>
              </w:tc>
            </w:tr>
            <w:tr>
              <w:tc>
                <w:tcPr>
                  <w:tcW w:w="32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Usuários simultâneos de referência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20</w:t>
                  </w:r>
                </w:p>
              </w:tc>
              <w:tc>
                <w:tcPr>
                  <w:tcW w:w="46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Perfis iniciais para gestão, contabilidade, controladoria e secretarias, a definir nominalmente</w:t>
                  </w:r>
                </w:p>
              </w:tc>
            </w:tr>
            <w:tr>
              <w:tc>
                <w:tcPr>
                  <w:tcW w:w="32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Vigência inicial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3 anos</w:t>
                  </w:r>
                </w:p>
              </w:tc>
              <w:tc>
                <w:tcPr>
                  <w:tcW w:w="46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Ciclo da gestão, fechamento, acompanhamento e avaliação de resultados</w:t>
                  </w:r>
                </w:p>
              </w:tc>
            </w:tr>
            <w:tr>
              <w:tc>
                <w:tcPr>
                  <w:tcW w:w="32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Aplicativo móvel integrado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1 componente</w:t>
                  </w:r>
                </w:p>
              </w:tc>
              <w:tc>
                <w:tcPr>
                  <w:tcW w:w="46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Deve utilizar a mesma base e os mesmos perfis da plataforma web</w:t>
                  </w:r>
                </w:p>
              </w:tc>
            </w:tr>
          </w:tbl>
          <w:p>
            <w:pPr>
              <w:spacing w:after="0"/>
            </w:pP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quantidade poderá ser ajustada no TR se a Administração comprovar alteração no número de usuários, órgãos ou volume de dados, preservada a comparação objetiva entre propostas e a compatibilidade com o orçamento.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6. Estimativa preliminar do valor da contratação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valor deverá ser apresentado com memória de cálculo mensal, incluindo todos os custos necessários à execução, considerando o ciclo de vida da solução -- implantação, treinamento, suporte, manutenção, segurança, backup e eventual expansão -- e não apenas o preço nominal da licença.</w:t>
            </w:r>
          </w:p>
          <w:tbl>
            <w:tblPr>
              <w:tblStyle w:val="Tabelacomgrade"/>
              <w:tblW w:w="9639" w:type="dxa"/>
              <w:tblLook w:val="04A0" w:firstRow="1" w:lastRow="0" w:firstColumn="1" w:lastColumn="0" w:noHBand="0" w:noVBand="1"/>
            </w:tblPr>
            <w:tblGrid>
              <w:gridCol w:w="3500"/>
              <w:gridCol w:w="6139"/>
            </w:tblGrid>
            <w:tr>
              <w:tc>
                <w:tcPr>
                  <w:tcW w:w="35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Componente do preço</w:t>
                  </w:r>
                </w:p>
              </w:tc>
              <w:tc>
                <w:tcPr>
                  <w:tcW w:w="6139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Tratamento no orçamento estimado</w:t>
                  </w:r>
                </w:p>
              </w:tc>
            </w:tr>
            <w:tr>
              <w:tc>
                <w:tcPr>
                  <w:tcW w:w="3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Licença corporativa dos módulos integrados</w:t>
                  </w:r>
                </w:p>
              </w:tc>
              <w:tc>
                <w:tcPr>
                  <w:tcW w:w="6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Cotar como base mensal e anual</w:t>
                  </w:r>
                </w:p>
              </w:tc>
            </w:tr>
            <w:tr>
              <w:tc>
                <w:tcPr>
                  <w:tcW w:w="3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Usuários e simultaneidade</w:t>
                  </w:r>
                </w:p>
              </w:tc>
              <w:tc>
                <w:tcPr>
                  <w:tcW w:w="6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Informar quantidade e regra de expansão</w:t>
                  </w:r>
                </w:p>
              </w:tc>
            </w:tr>
            <w:tr>
              <w:tc>
                <w:tcPr>
                  <w:tcW w:w="3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Implantação e treinamento</w:t>
                  </w:r>
                </w:p>
              </w:tc>
              <w:tc>
                <w:tcPr>
                  <w:tcW w:w="6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Indicar se incluídos ou cobrados separadamente</w:t>
                  </w:r>
                </w:p>
              </w:tc>
            </w:tr>
            <w:tr>
              <w:tc>
                <w:tcPr>
                  <w:tcW w:w="3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Aplicativo móvel</w:t>
                  </w:r>
                </w:p>
              </w:tc>
              <w:tc>
                <w:tcPr>
                  <w:tcW w:w="6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Informar inclusão, publicação e atualizações</w:t>
                  </w:r>
                </w:p>
              </w:tc>
            </w:tr>
            <w:tr>
              <w:tc>
                <w:tcPr>
                  <w:tcW w:w="3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Integrações e importações</w:t>
                  </w:r>
                </w:p>
              </w:tc>
              <w:tc>
                <w:tcPr>
                  <w:tcW w:w="6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Identificar limites, custos e dependências de API</w:t>
                  </w:r>
                </w:p>
              </w:tc>
            </w:tr>
            <w:tr>
              <w:tc>
                <w:tcPr>
                  <w:tcW w:w="3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Suporte e SLA</w:t>
                  </w:r>
                </w:p>
              </w:tc>
              <w:tc>
                <w:tcPr>
                  <w:tcW w:w="6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Incluir atendimento e consequências por indisponibilidade</w:t>
                  </w:r>
                </w:p>
              </w:tc>
            </w:tr>
            <w:tr>
              <w:tc>
                <w:tcPr>
                  <w:tcW w:w="3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Reversibilidade</w:t>
                  </w:r>
                </w:p>
              </w:tc>
              <w:tc>
                <w:tcPr>
                  <w:tcW w:w="6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Incluir exportação estruturada e apoio de saída sem custo indevido</w:t>
                  </w:r>
                </w:p>
              </w:tc>
            </w:tr>
          </w:tbl>
          <w:p>
            <w:pPr>
              <w:spacing w:after="0"/>
            </w:pP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Não há, nos documentos que fundamentam este Estudo, pesquisa de preços concluída para o escopo revisado. Dessa forma, </w:t>
            </w:r>
            <w:r>
              <w:rPr>
                <w:rFonts w:cstheme="minorHAnsi"/>
                <w:b/>
              </w:rPr>
              <w:t xml:space="preserve">não é apresentado valor estimado da contratação neste momento</w:t>
            </w:r>
            <w:r>
              <w:rPr>
                <w:rFonts w:cstheme="minorHAnsi"/>
              </w:rPr>
              <w:t xml:space="preserve">, registrando-se como pendência a ser suprida pela Administração, mediante pesquisa de preços formal, antes do prosseguimento da fase externa da licitação. Processo de pesquisa de preços: [INFORMAÇÃO A PREENCHER].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7. Descrição da solução como um todo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solução consiste em serviço contínuo de licenciamento de uso de plataforma integrada de inteligência contábil e gestão fiscal, hospedada em nuvem, com acesso web e móvel, apoio à análise de dados e monitoramento de obrigações. O serviço deverá incluir disponibilização do ambiente, configuração inicial, importação ou integração das bases autorizadas, capacitação, suporte e manutenção corretiva e evolutiva.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arquitetura funcional esperada é composta por uma camada de entrada, importação e rastreabilidade de dados; uma camada de indicadores e painéis analíticos; e uma camada de entregas, obrigações, CAUC e processos do TCM-GO. A separação é conceitual e não obriga arquitetura específica, mas o fornecedor deverá demonstrar como mantém o vínculo entre dado, origem, resultado e documento.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Os módulos devem compartilhar autenticação, base de permissões, logs, política de segurança e regras de exportação, reduzindo o risco de divergências entre sistemas contratados separadamente e assegurando que o aplicativo móvel e o sistema web operem como uma única plataforma.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8. Justificativa para contratação em lote único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contratação em lote único mostra-se tecnicamente adequada porque o objeto foi concebido como </w:t>
            </w:r>
            <w:r>
              <w:rPr>
                <w:rFonts w:cstheme="minorHAnsi"/>
                <w:b/>
              </w:rPr>
              <w:t xml:space="preserve">plataforma única, integrada e interoperável</w:t>
            </w:r>
            <w:r>
              <w:rPr>
                <w:rFonts w:cstheme="minorHAnsi"/>
              </w:rPr>
              <w:t xml:space="preserve">, cujas funcionalidades -- painéis analíticos, gestão de entregas e obrigações, acompanhamento de CAUC, acompanhamento de processos do TCM-GO e mecanismos de integração e rastreabilidade -- compartilham dados, mecanismos de autenticação, perfis de acesso, trilhas de auditoria e componentes de infraestrutura. Os módulos não constituem soluções independentes simplesmente agrupadas em uma mesma contratação, mas partes complementares de um mesmo ambiente tecnológico.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art. 40, § 3º, II, da Lei nº 14.133/2021 admite a não adoção do parcelamento quando o objeto configurar sistema único e integrado e houver risco de prejuízo ao conjunto. No caso em análise, a divisão do objeto entre diferentes fornecedores poderia comprometer justamente a integração contínua entre dados, painéis, obrigações, processos e acesso por diferentes canais, inclusive porque o aplicativo móvel deverá utilizar a mesma estrutura de autenticação, autorização e segregação de dados da plataforma web.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parcelamento dessas funcionalidades entre fornecedores distintos exigiria a construção e manutenção de múltiplas integrações, sincronização permanente de dados e compatibilização de regras de negócio, mecanismos de segurança e políticas de acesso, podendo gerar duplicidade de bases, divergências de cálculo, aumento de pontos de falha e maior complexidade para identificação da responsabilidade técnica por indisponibilidades ou perda de integração.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opção pelo lote único </w:t>
            </w:r>
            <w:r>
              <w:rPr>
                <w:rFonts w:cstheme="minorHAnsi"/>
                <w:b/>
              </w:rPr>
              <w:t xml:space="preserve">não se fundamenta na preferência por fornecedor, marca, tecnologia proprietária específica ou solução previamente determinada</w:t>
            </w:r>
            <w:r>
              <w:rPr>
                <w:rFonts w:cstheme="minorHAnsi"/>
              </w:rPr>
              <w:t xml:space="preserve">, mas na necessidade de preservação da unidade funcional e tecnológica do objeto. Essa conclusão deverá ser confrontada com os resultados efetivos da pesquisa de mercado; caso se demonstre que o parcelamento permite ampliar a competição sem comprometer a interoperabilidade, a segurança e a vantajosidade econômica, a Administração deverá reavaliar a estratégia antes da publicação do edital.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9. Contratações correlatas e interdependentes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solução depende da existência de sistema de gestão pública/SIAFIC e de acesso à internet, os quais já estão disponíveis, uma vez que o Município já possui contrato de sistema de gestão pública em uso.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10. Modelo preliminar de implantação e execução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implantação deverá iniciar após a ordem de serviço e seguir plano aprovado pela Administração Municipal de Minaçu. O prazo de referência deverá ser definido no TR, dividido em diagnóstico, configuração, importação inicial, capacitação, homologação e entrada em produção. A contagem deverá iniciar somente quando o Município entregar os dados e acessos necessários, sem afastar a obrigação da contratada de informar impedimentos e dependências.</w:t>
            </w:r>
          </w:p>
          <w:tbl>
            <w:tblPr>
              <w:tblStyle w:val="Tabelacomgrade"/>
              <w:tblW w:w="9639" w:type="dxa"/>
              <w:tblLook w:val="04A0" w:firstRow="1" w:lastRow="0" w:firstColumn="1" w:lastColumn="0" w:noHBand="0" w:noVBand="1"/>
            </w:tblPr>
            <w:tblGrid>
              <w:gridCol w:w="2300"/>
              <w:gridCol w:w="4339"/>
              <w:gridCol w:w="3000"/>
            </w:tblGrid>
            <w:tr>
              <w:tc>
                <w:tcPr>
                  <w:tcW w:w="23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Fase</w:t>
                  </w:r>
                </w:p>
              </w:tc>
              <w:tc>
                <w:tcPr>
                  <w:tcW w:w="4339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Entrega esperada</w:t>
                  </w:r>
                </w:p>
              </w:tc>
              <w:tc>
                <w:tcPr>
                  <w:tcW w:w="30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Aceite preliminar</w:t>
                  </w:r>
                </w:p>
              </w:tc>
            </w:tr>
            <w:tr>
              <w:tc>
                <w:tcPr>
                  <w:tcW w:w="23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Mobilização</w:t>
                  </w:r>
                </w:p>
              </w:tc>
              <w:tc>
                <w:tcPr>
                  <w:tcW w:w="4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Reunião inicial, plano de trabalho e matriz de responsabilidades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Plano aprovado pelo gestor</w:t>
                  </w:r>
                </w:p>
              </w:tc>
            </w:tr>
            <w:tr>
              <w:tc>
                <w:tcPr>
                  <w:tcW w:w="23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Configuração</w:t>
                  </w:r>
                </w:p>
              </w:tc>
              <w:tc>
                <w:tcPr>
                  <w:tcW w:w="4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Ambiente, usuários, perfis, órgão, exercícios e parâmetros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Perfis testados e segregação validada</w:t>
                  </w:r>
                </w:p>
              </w:tc>
            </w:tr>
            <w:tr>
              <w:tc>
                <w:tcPr>
                  <w:tcW w:w="23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Integração/importação</w:t>
                  </w:r>
                </w:p>
              </w:tc>
              <w:tc>
                <w:tcPr>
                  <w:tcW w:w="4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Dados iniciais, arquivos e fontes autorizadas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Relatório de quantidade, erros e origem</w:t>
                  </w:r>
                </w:p>
              </w:tc>
            </w:tr>
            <w:tr>
              <w:tc>
                <w:tcPr>
                  <w:tcW w:w="23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Homologação</w:t>
                  </w:r>
                </w:p>
              </w:tc>
              <w:tc>
                <w:tcPr>
                  <w:tcW w:w="4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Testes de painéis, indicadores, obrigações, CAUC, processos e aplicativo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Roteiro de testes assinado</w:t>
                  </w:r>
                </w:p>
              </w:tc>
            </w:tr>
            <w:tr>
              <w:tc>
                <w:tcPr>
                  <w:tcW w:w="23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Capacitação</w:t>
                  </w:r>
                </w:p>
              </w:tc>
              <w:tc>
                <w:tcPr>
                  <w:tcW w:w="4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Treinamento por perfil e manual operacional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Registro de participantes e avaliação</w:t>
                  </w:r>
                </w:p>
              </w:tc>
            </w:tr>
            <w:tr>
              <w:tc>
                <w:tcPr>
                  <w:tcW w:w="23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Produção</w:t>
                  </w:r>
                </w:p>
              </w:tc>
              <w:tc>
                <w:tcPr>
                  <w:tcW w:w="4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Disponibilização para uso institucional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Termo de aceite inicial</w:t>
                  </w:r>
                </w:p>
              </w:tc>
            </w:tr>
            <w:tr>
              <w:tc>
                <w:tcPr>
                  <w:tcW w:w="23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Operação assistida</w:t>
                  </w:r>
                </w:p>
              </w:tc>
              <w:tc>
                <w:tcPr>
                  <w:tcW w:w="4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Suporte reforçado e correção de ajustes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Relatório de pendências encerradas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11. Resultados pretendidos e indicadores de acompanhamento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contratação deverá produzir resultados mensuráveis relacionados à melhoria da qualidade da informação gerencial, à redução do esforço operacional, à ampliação da rastreabilidade e ao fortalecimento do acompanhamento de obrigações, CAUC e processos. Os resultados constituem objetivos de melhoria administrativa e operacional, e não garantia de determinado resultado fiscal, contábil ou de julgamento perante órgãos de controle. Sempre que inexistir informação histórica confiável, a linha de base deverá ser apurada durante a implantação da solução.</w:t>
            </w:r>
          </w:p>
          <w:tbl>
            <w:tblPr>
              <w:tblStyle w:val="Tabelacomgrade"/>
              <w:tblW w:w="9639" w:type="dxa"/>
              <w:tblLook w:val="04A0" w:firstRow="1" w:lastRow="0" w:firstColumn="1" w:lastColumn="0" w:noHBand="0" w:noVBand="1"/>
            </w:tblPr>
            <w:tblGrid>
              <w:gridCol w:w="2400"/>
              <w:gridCol w:w="2900"/>
              <w:gridCol w:w="1500"/>
              <w:gridCol w:w="2839"/>
            </w:tblGrid>
            <w:tr>
              <w:tc>
                <w:tcPr>
                  <w:tcW w:w="24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Resultado pretendido</w:t>
                  </w:r>
                </w:p>
              </w:tc>
              <w:tc>
                <w:tcPr>
                  <w:tcW w:w="29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Indicador de acompanhamento</w:t>
                  </w:r>
                </w:p>
              </w:tc>
              <w:tc>
                <w:tcPr>
                  <w:tcW w:w="15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Linha de base</w:t>
                  </w:r>
                </w:p>
              </w:tc>
              <w:tc>
                <w:tcPr>
                  <w:tcW w:w="2839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Meta ou critério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Reduzir o tempo de transformação dos dados em informação gerencial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Tempo médio entre a conclusão da importação/processamento e a disponibilização nos painéis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Apurar durante a implantação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Disponibilização dentro do prazo técnico definido no TR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Ampliar a rastreabilidade das importações e processamentos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de lotes com identificação de origem, data, usuário e resultado do processamento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Apurar durante a implantação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100% dos lotes processados com trilha mínima de rastreabilidade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Melhorar o acompanhamento de obrigações e prazos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de obrigações cadastradas contendo responsável, prazo, situação e evidência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Apurar durante a implantação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100% das obrigações incluídas no escopo com informações mínimas de acompanhamento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Ampliar a centralização do acompanhamento de CAUC e de processos do TCM-GO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dos processos e da situação de CAUC definidos pela Administração disponíveis para acompanhamento no ambiente gerencial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Apurar durante a implantação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Cobertura integral dos processos e fontes definidos no escopo contratual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Disponibilizar informação gerencial com maior tempestividade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de painéis atualizados dentro da periodicidade definida para cada fonte de dados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Apurar durante a implantação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Cumprimento da periodicidade estabelecida no TR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Assegurar transparência sobre a origem e atualização dos dados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de painéis que apresentam origem da informação, período de referência e data da última atualização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Apurar durante a implantação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100% dos painéis abrangidos pelo requisito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Assegurar disponibilidade da plataforma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mensal de disponibilidade do serviço, apurado conforme metodologia de SLA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N/A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Disponibilidade mínima de 99,5%, ressalvadas as exclusões previstas em contrato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Assegurar atendimento e suporte aos usuários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de chamados atendidos dentro dos prazos definidos por nível de criticidade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N/A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Cumprimento dos níveis mínimos de serviço estabelecidos no TR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Promover a adequada utilização da solução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dos usuários indicados pela Administração que concluíram a capacitação inicial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N/A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100% dos usuários iniciais indicados pela Administração capacitados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12. Sustentabilidade e impactos ambientais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solução é predominantemente digital e tende a reduzir a impressão de relatórios, planilhas e cópias físicas para reuniões, controles e conferências. O benefício ambiental é indireto e deve ser considerado em conjunto com o consumo energético da infraestrutura de nuvem e dos dispositivos utilizados.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13. Posicionamento conclusivo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Após examinar o problema, a necessidade pública, os requisitos, as quantidades, as alternativas de mercado, a interdependência dos módulos e os resultados esperados, esta equipe de planejamento conclui preliminarmente que a contratação de plataforma integrada de inteligência contábil e gestão fiscal, na modalidade SaaS, com o escopo revisado consolidado em painéis analíticos executivos, gestão de entregas e obrigações, acompanhamento de CAUC, acompanhamento de processos do TCM-GO e integração, importação e rastreabilidade de dados, é </w:t>
            </w:r>
            <w:r>
              <w:rPr>
                <w:rFonts w:cstheme="minorHAnsi"/>
                <w:b/>
              </w:rPr>
              <w:t xml:space="preserve">tecnicamente adequada, operacionalmente viável e potencialmente vantajosa</w:t>
            </w:r>
            <w:r>
              <w:rPr>
                <w:rFonts w:cstheme="minorHAnsi"/>
              </w:rPr>
              <w:t xml:space="preserve">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Diante disso, recomenda-se o prosseguimento da fase preparatória, com atualização do Termo de Referência conforme o escopo ora revisado, realização de pesquisa de preços, elaboração de minuta contratual e manifestação das áreas requisitante, técnica, contábil, jurídica e de controle interno.</w:t>
            </w:r>
          </w:p>
        </w:tc>
      </w:tr>
    </w:tbl>
    <w:p>
      <w:pPr>
        <w:spacing w:after="0"/>
      </w:pPr>
    </w:p>
    <w:p w14:paraId="5071E7A6" w14:textId="77777777" w:rsidR="009D2EF2" w:rsidRPr="005E405E" w:rsidRDefault="009D2EF2" w:rsidP="009D2EF2">
      <w:pPr>
        <w:keepNext/>
        <w:spacing w:after="280" w:before="160"/>
        <w:jc w:val="right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 Minaçu-GO, em ____ de _______________ de 2026</w:t>
      </w:r>
    </w:p>
    <w:p w14:paraId="3CD0ABF6" w14:textId="77777777" w:rsidR="00477C12" w:rsidRDefault="00477C12" w:rsidP="00477C12">
      <w:pPr>
        <w:keepNext/>
        <w:tabs>
          <w:tab w:val="left" w:pos="284"/>
        </w:tabs>
        <w:spacing w:after="0"/>
        <w:ind w:right="51"/>
        <w:jc w:val="center"/>
        <w:rPr>
          <w:rFonts w:cstheme="minorHAnsi"/>
        </w:rPr>
      </w:pPr>
    </w:p>
    <w:p w14:paraId="42352BFA" w14:textId="77777777" w:rsidR="008919FF" w:rsidRPr="005E405E" w:rsidRDefault="008919FF" w:rsidP="00477C12">
      <w:pPr>
        <w:keepNext/>
        <w:tabs>
          <w:tab w:val="left" w:pos="284"/>
        </w:tabs>
        <w:spacing w:after="0"/>
        <w:ind w:right="51"/>
        <w:jc w:val="center"/>
        <w:rPr>
          <w:rFonts w:cstheme="minorHAnsi"/>
        </w:rPr>
      </w:pPr>
      <w:r>
        <w:rPr>
          <w:rFonts w:cstheme="minorHAnsi"/>
        </w:rPr>
        <w:t>___________________________________________________</w:t>
      </w:r>
    </w:p>
    <w:p w14:paraId="0CE4DFC7" w14:textId="77777777" w:rsidR="008919FF" w:rsidRPr="00AF0FDF" w:rsidRDefault="008919FF" w:rsidP="00477C12">
      <w:pPr>
        <w:keepNext/>
        <w:spacing w:after="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[INFORMAÇÃO A PREENCHER]</w:t>
      </w:r>
    </w:p>
    <w:p w14:paraId="4369937C" w14:textId="77777777" w:rsidR="008919FF" w:rsidRPr="00AF0FDF" w:rsidRDefault="008919FF" w:rsidP="00477C12">
      <w:pPr>
        <w:spacing w:after="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[INFORMAÇÃO A PREENCHER — Secretaria Municipal responsável]</w:t>
      </w:r>
    </w:p>
    <w:p w14:paraId="444BCCBF" w14:textId="77777777" w:rsidR="008919FF" w:rsidRPr="00AF0FDF" w:rsidRDefault="008919FF" w:rsidP="00477C12">
      <w:pPr>
        <w:spacing w:after="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Decreto nº [INFORMAÇÃO A PREENCHER]</w:t>
      </w:r>
      <w:bookmarkEnd w:id="0"/>
      <w:bookmarkEnd w:id="1"/>
      <w:bookmarkEnd w:id="2"/>
    </w:p>
    <w:sectPr w:rsidR="008919FF" w:rsidRPr="00AF0FDF" w:rsidSect="008F2AB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6CDD9" w14:textId="77777777" w:rsidR="009034E4" w:rsidRDefault="009034E4" w:rsidP="00D54769">
      <w:pPr>
        <w:spacing w:after="0" w:line="240" w:lineRule="auto"/>
      </w:pPr>
      <w:r>
        <w:separator/>
      </w:r>
    </w:p>
  </w:endnote>
  <w:endnote w:type="continuationSeparator" w:id="0">
    <w:p w14:paraId="643BA48F" w14:textId="77777777" w:rsidR="009034E4" w:rsidRDefault="009034E4" w:rsidP="00D54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ItalicMT">
    <w:altName w:val="Arial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NewPS-ItalicMT">
    <w:altName w:val="Courier New"/>
    <w:panose1 w:val="00000000000000000000"/>
    <w:charset w:val="00"/>
    <w:family w:val="roman"/>
    <w:notTrueType/>
    <w:pitch w:val="default"/>
  </w:font>
  <w:font w:name="Arial-Italic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A749" w14:textId="77777777" w:rsidR="008316D0" w:rsidRDefault="008316D0">
    <w:pPr>
      <w:pStyle w:val="Rodap"/>
    </w:pPr>
    <w:r w:rsidRPr="005E65E3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24731901" wp14:editId="3304688D">
          <wp:simplePos x="0" y="0"/>
          <wp:positionH relativeFrom="column">
            <wp:posOffset>-754075</wp:posOffset>
          </wp:positionH>
          <wp:positionV relativeFrom="paragraph">
            <wp:posOffset>-1140714</wp:posOffset>
          </wp:positionV>
          <wp:extent cx="6968611" cy="1486535"/>
          <wp:effectExtent l="0" t="0" r="3810" b="0"/>
          <wp:wrapNone/>
          <wp:docPr id="4" name="Imagem 3" descr="Papel Timbrado 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68611" cy="1486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39588" w14:textId="77777777" w:rsidR="009034E4" w:rsidRDefault="009034E4" w:rsidP="00D54769">
      <w:pPr>
        <w:spacing w:after="0" w:line="240" w:lineRule="auto"/>
      </w:pPr>
      <w:r>
        <w:separator/>
      </w:r>
    </w:p>
  </w:footnote>
  <w:footnote w:type="continuationSeparator" w:id="0">
    <w:p w14:paraId="0DE9D1DA" w14:textId="77777777" w:rsidR="009034E4" w:rsidRDefault="009034E4" w:rsidP="00D547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41331" w14:textId="77777777" w:rsidR="008316D0" w:rsidRDefault="00477C12" w:rsidP="00477C12">
    <w:pPr>
      <w:pStyle w:val="Cabealho"/>
      <w:tabs>
        <w:tab w:val="clear" w:pos="4252"/>
        <w:tab w:val="clear" w:pos="8504"/>
        <w:tab w:val="left" w:pos="5392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5A2A78AE" wp14:editId="2884FC24">
          <wp:simplePos x="0" y="0"/>
          <wp:positionH relativeFrom="margin">
            <wp:posOffset>-903605</wp:posOffset>
          </wp:positionH>
          <wp:positionV relativeFrom="paragraph">
            <wp:posOffset>-349723</wp:posOffset>
          </wp:positionV>
          <wp:extent cx="7208193" cy="1935125"/>
          <wp:effectExtent l="0" t="0" r="0" b="8255"/>
          <wp:wrapNone/>
          <wp:docPr id="106838163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8381630" name="Imagem 10683816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8193" cy="1935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653"/>
    <w:multiLevelType w:val="hybridMultilevel"/>
    <w:tmpl w:val="AB763C3A"/>
    <w:lvl w:ilvl="0" w:tplc="0874843C">
      <w:start w:val="1"/>
      <w:numFmt w:val="decimal"/>
      <w:lvlText w:val="%1."/>
      <w:lvlJc w:val="left"/>
      <w:pPr>
        <w:ind w:left="360" w:hanging="360"/>
      </w:pPr>
      <w:rPr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D4217A"/>
    <w:multiLevelType w:val="multilevel"/>
    <w:tmpl w:val="B5E6D1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B360F70"/>
    <w:multiLevelType w:val="hybridMultilevel"/>
    <w:tmpl w:val="29A62986"/>
    <w:lvl w:ilvl="0" w:tplc="A332311A">
      <w:start w:val="1"/>
      <w:numFmt w:val="decimal"/>
      <w:lvlText w:val="%1."/>
      <w:lvlJc w:val="left"/>
      <w:pPr>
        <w:ind w:left="-491" w:hanging="360"/>
      </w:pPr>
      <w:rPr>
        <w:rFonts w:ascii="Arial-BoldItalicMT" w:hAnsi="Arial-BoldItalicMT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" w15:restartNumberingAfterBreak="0">
    <w:nsid w:val="26AC5313"/>
    <w:multiLevelType w:val="multilevel"/>
    <w:tmpl w:val="896ED7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2DC63C2"/>
    <w:multiLevelType w:val="hybridMultilevel"/>
    <w:tmpl w:val="F9B07A36"/>
    <w:lvl w:ilvl="0" w:tplc="D7CC4C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F244F"/>
    <w:multiLevelType w:val="hybridMultilevel"/>
    <w:tmpl w:val="223CC6F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552632">
    <w:abstractNumId w:val="1"/>
  </w:num>
  <w:num w:numId="2" w16cid:durableId="551581293">
    <w:abstractNumId w:val="4"/>
  </w:num>
  <w:num w:numId="3" w16cid:durableId="1781415836">
    <w:abstractNumId w:val="3"/>
  </w:num>
  <w:num w:numId="4" w16cid:durableId="1033505530">
    <w:abstractNumId w:val="5"/>
  </w:num>
  <w:num w:numId="5" w16cid:durableId="2080665263">
    <w:abstractNumId w:val="0"/>
  </w:num>
  <w:num w:numId="6" w16cid:durableId="1585648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CA"/>
    <w:rsid w:val="00005944"/>
    <w:rsid w:val="00041291"/>
    <w:rsid w:val="00066A61"/>
    <w:rsid w:val="00077543"/>
    <w:rsid w:val="000842E2"/>
    <w:rsid w:val="00086E89"/>
    <w:rsid w:val="00090234"/>
    <w:rsid w:val="000A1625"/>
    <w:rsid w:val="000B290E"/>
    <w:rsid w:val="000C0EEA"/>
    <w:rsid w:val="000C1457"/>
    <w:rsid w:val="000D002D"/>
    <w:rsid w:val="000D43D6"/>
    <w:rsid w:val="000E2414"/>
    <w:rsid w:val="000E51A1"/>
    <w:rsid w:val="00101316"/>
    <w:rsid w:val="00142887"/>
    <w:rsid w:val="0014751D"/>
    <w:rsid w:val="001475B9"/>
    <w:rsid w:val="0017423B"/>
    <w:rsid w:val="00180974"/>
    <w:rsid w:val="001851FA"/>
    <w:rsid w:val="0018575D"/>
    <w:rsid w:val="00186FF0"/>
    <w:rsid w:val="001879AF"/>
    <w:rsid w:val="00191A20"/>
    <w:rsid w:val="00192185"/>
    <w:rsid w:val="00194EFC"/>
    <w:rsid w:val="001A5B24"/>
    <w:rsid w:val="001B0837"/>
    <w:rsid w:val="001B741A"/>
    <w:rsid w:val="001C163E"/>
    <w:rsid w:val="001C7BC2"/>
    <w:rsid w:val="001E4306"/>
    <w:rsid w:val="001F0125"/>
    <w:rsid w:val="001F3B19"/>
    <w:rsid w:val="002142BE"/>
    <w:rsid w:val="002206B5"/>
    <w:rsid w:val="00223ECE"/>
    <w:rsid w:val="002256B8"/>
    <w:rsid w:val="0026260E"/>
    <w:rsid w:val="00274124"/>
    <w:rsid w:val="00274DDE"/>
    <w:rsid w:val="002803F0"/>
    <w:rsid w:val="0028704B"/>
    <w:rsid w:val="00295358"/>
    <w:rsid w:val="002A02E0"/>
    <w:rsid w:val="002B5900"/>
    <w:rsid w:val="002B69B5"/>
    <w:rsid w:val="002C0669"/>
    <w:rsid w:val="002D066E"/>
    <w:rsid w:val="002E5737"/>
    <w:rsid w:val="002F1587"/>
    <w:rsid w:val="002F5B81"/>
    <w:rsid w:val="0031084F"/>
    <w:rsid w:val="00311852"/>
    <w:rsid w:val="00321262"/>
    <w:rsid w:val="00323201"/>
    <w:rsid w:val="003379E8"/>
    <w:rsid w:val="00337B63"/>
    <w:rsid w:val="00344185"/>
    <w:rsid w:val="003523CA"/>
    <w:rsid w:val="003576B2"/>
    <w:rsid w:val="0038415B"/>
    <w:rsid w:val="003841D7"/>
    <w:rsid w:val="003954CD"/>
    <w:rsid w:val="003A1683"/>
    <w:rsid w:val="003C0EB3"/>
    <w:rsid w:val="003C7179"/>
    <w:rsid w:val="003F4E84"/>
    <w:rsid w:val="004302D5"/>
    <w:rsid w:val="004343C7"/>
    <w:rsid w:val="004452E8"/>
    <w:rsid w:val="004544EF"/>
    <w:rsid w:val="00454AF0"/>
    <w:rsid w:val="00466924"/>
    <w:rsid w:val="00472732"/>
    <w:rsid w:val="00477C12"/>
    <w:rsid w:val="00492420"/>
    <w:rsid w:val="004A6239"/>
    <w:rsid w:val="004B2840"/>
    <w:rsid w:val="004D4480"/>
    <w:rsid w:val="004D59E1"/>
    <w:rsid w:val="004F2EA7"/>
    <w:rsid w:val="00505C97"/>
    <w:rsid w:val="005273E0"/>
    <w:rsid w:val="00571A47"/>
    <w:rsid w:val="00574E70"/>
    <w:rsid w:val="00592EE6"/>
    <w:rsid w:val="005A00EB"/>
    <w:rsid w:val="005A0715"/>
    <w:rsid w:val="005B454E"/>
    <w:rsid w:val="005C731D"/>
    <w:rsid w:val="005D2C18"/>
    <w:rsid w:val="005D5520"/>
    <w:rsid w:val="005E65E3"/>
    <w:rsid w:val="005F0BEA"/>
    <w:rsid w:val="0060429A"/>
    <w:rsid w:val="00607322"/>
    <w:rsid w:val="006278EF"/>
    <w:rsid w:val="00640D18"/>
    <w:rsid w:val="00643746"/>
    <w:rsid w:val="006441B3"/>
    <w:rsid w:val="00664510"/>
    <w:rsid w:val="0067288E"/>
    <w:rsid w:val="006A2D66"/>
    <w:rsid w:val="006B3B09"/>
    <w:rsid w:val="006B7EFD"/>
    <w:rsid w:val="006E6D97"/>
    <w:rsid w:val="006E717C"/>
    <w:rsid w:val="007042E7"/>
    <w:rsid w:val="0071378B"/>
    <w:rsid w:val="00720A72"/>
    <w:rsid w:val="007224A3"/>
    <w:rsid w:val="00734D44"/>
    <w:rsid w:val="00735EC9"/>
    <w:rsid w:val="00763FAC"/>
    <w:rsid w:val="007744CC"/>
    <w:rsid w:val="00792455"/>
    <w:rsid w:val="00793C87"/>
    <w:rsid w:val="007A1196"/>
    <w:rsid w:val="007A1276"/>
    <w:rsid w:val="007D2207"/>
    <w:rsid w:val="007D5830"/>
    <w:rsid w:val="007F125A"/>
    <w:rsid w:val="00803B84"/>
    <w:rsid w:val="00807036"/>
    <w:rsid w:val="008131CD"/>
    <w:rsid w:val="0081713F"/>
    <w:rsid w:val="00820180"/>
    <w:rsid w:val="00824E0E"/>
    <w:rsid w:val="008316D0"/>
    <w:rsid w:val="008429D9"/>
    <w:rsid w:val="00857A04"/>
    <w:rsid w:val="00864AAC"/>
    <w:rsid w:val="00873566"/>
    <w:rsid w:val="00882382"/>
    <w:rsid w:val="008919FF"/>
    <w:rsid w:val="00896706"/>
    <w:rsid w:val="00896AD5"/>
    <w:rsid w:val="00896D96"/>
    <w:rsid w:val="008B3D4C"/>
    <w:rsid w:val="008E1CB4"/>
    <w:rsid w:val="008F27EE"/>
    <w:rsid w:val="008F2ABF"/>
    <w:rsid w:val="009034E4"/>
    <w:rsid w:val="00914065"/>
    <w:rsid w:val="009434A0"/>
    <w:rsid w:val="00954F64"/>
    <w:rsid w:val="00960E9B"/>
    <w:rsid w:val="00965E91"/>
    <w:rsid w:val="0097312A"/>
    <w:rsid w:val="00973D1E"/>
    <w:rsid w:val="009832FA"/>
    <w:rsid w:val="00987966"/>
    <w:rsid w:val="00987A26"/>
    <w:rsid w:val="009954D3"/>
    <w:rsid w:val="009B0978"/>
    <w:rsid w:val="009C1F32"/>
    <w:rsid w:val="009D2EF2"/>
    <w:rsid w:val="009F46BC"/>
    <w:rsid w:val="00A012DC"/>
    <w:rsid w:val="00A01B28"/>
    <w:rsid w:val="00A159CF"/>
    <w:rsid w:val="00A25664"/>
    <w:rsid w:val="00A42806"/>
    <w:rsid w:val="00A45F45"/>
    <w:rsid w:val="00A51797"/>
    <w:rsid w:val="00A52FD5"/>
    <w:rsid w:val="00A56870"/>
    <w:rsid w:val="00A62F94"/>
    <w:rsid w:val="00A63147"/>
    <w:rsid w:val="00A93BAC"/>
    <w:rsid w:val="00AA1410"/>
    <w:rsid w:val="00AC7C4A"/>
    <w:rsid w:val="00AE12DA"/>
    <w:rsid w:val="00AF0FDF"/>
    <w:rsid w:val="00AF2030"/>
    <w:rsid w:val="00AF35A9"/>
    <w:rsid w:val="00B02B01"/>
    <w:rsid w:val="00B03589"/>
    <w:rsid w:val="00B166E4"/>
    <w:rsid w:val="00B167B4"/>
    <w:rsid w:val="00B520B6"/>
    <w:rsid w:val="00B54426"/>
    <w:rsid w:val="00B56385"/>
    <w:rsid w:val="00B56613"/>
    <w:rsid w:val="00B64D2A"/>
    <w:rsid w:val="00B67E84"/>
    <w:rsid w:val="00B70386"/>
    <w:rsid w:val="00B7288B"/>
    <w:rsid w:val="00B73AF7"/>
    <w:rsid w:val="00B95699"/>
    <w:rsid w:val="00BA7D93"/>
    <w:rsid w:val="00BC293E"/>
    <w:rsid w:val="00BD54B9"/>
    <w:rsid w:val="00BF56DB"/>
    <w:rsid w:val="00C177DA"/>
    <w:rsid w:val="00C245EB"/>
    <w:rsid w:val="00C24B45"/>
    <w:rsid w:val="00C37985"/>
    <w:rsid w:val="00C57499"/>
    <w:rsid w:val="00C63566"/>
    <w:rsid w:val="00C65FDB"/>
    <w:rsid w:val="00C771B5"/>
    <w:rsid w:val="00C82055"/>
    <w:rsid w:val="00CA71DC"/>
    <w:rsid w:val="00CC5043"/>
    <w:rsid w:val="00CD3E57"/>
    <w:rsid w:val="00CE6CF1"/>
    <w:rsid w:val="00CF7780"/>
    <w:rsid w:val="00D022AC"/>
    <w:rsid w:val="00D17112"/>
    <w:rsid w:val="00D30A0B"/>
    <w:rsid w:val="00D3256C"/>
    <w:rsid w:val="00D54769"/>
    <w:rsid w:val="00D616C6"/>
    <w:rsid w:val="00D77699"/>
    <w:rsid w:val="00D83EBF"/>
    <w:rsid w:val="00DA3FAB"/>
    <w:rsid w:val="00DA7299"/>
    <w:rsid w:val="00DB08CD"/>
    <w:rsid w:val="00DB43AF"/>
    <w:rsid w:val="00DC0658"/>
    <w:rsid w:val="00DD4210"/>
    <w:rsid w:val="00DE17AD"/>
    <w:rsid w:val="00E25367"/>
    <w:rsid w:val="00E362B5"/>
    <w:rsid w:val="00E553F6"/>
    <w:rsid w:val="00E64627"/>
    <w:rsid w:val="00E8017E"/>
    <w:rsid w:val="00E82955"/>
    <w:rsid w:val="00E92FE0"/>
    <w:rsid w:val="00E9307C"/>
    <w:rsid w:val="00E966C6"/>
    <w:rsid w:val="00EB50B1"/>
    <w:rsid w:val="00EB765D"/>
    <w:rsid w:val="00ED38B8"/>
    <w:rsid w:val="00ED6706"/>
    <w:rsid w:val="00EE0E9C"/>
    <w:rsid w:val="00EF1851"/>
    <w:rsid w:val="00EF1A8B"/>
    <w:rsid w:val="00F00413"/>
    <w:rsid w:val="00F1320D"/>
    <w:rsid w:val="00F2044F"/>
    <w:rsid w:val="00F311D4"/>
    <w:rsid w:val="00F4418A"/>
    <w:rsid w:val="00F46138"/>
    <w:rsid w:val="00F61A5C"/>
    <w:rsid w:val="00F7161C"/>
    <w:rsid w:val="00F86509"/>
    <w:rsid w:val="00F96052"/>
    <w:rsid w:val="00FA22BF"/>
    <w:rsid w:val="00FA2946"/>
    <w:rsid w:val="00FA4828"/>
    <w:rsid w:val="00FB3701"/>
    <w:rsid w:val="00FC6885"/>
    <w:rsid w:val="00FC778B"/>
    <w:rsid w:val="00FC7CC7"/>
    <w:rsid w:val="00FE25B0"/>
    <w:rsid w:val="00FE27E1"/>
    <w:rsid w:val="00FF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02139"/>
  <w15:docId w15:val="{ACFED312-C9FE-4779-8C02-5349BFC5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3CA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108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84F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D547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4769"/>
  </w:style>
  <w:style w:type="paragraph" w:styleId="Rodap">
    <w:name w:val="footer"/>
    <w:basedOn w:val="Normal"/>
    <w:link w:val="RodapChar"/>
    <w:uiPriority w:val="99"/>
    <w:unhideWhenUsed/>
    <w:rsid w:val="00D547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4769"/>
  </w:style>
  <w:style w:type="table" w:styleId="Tabelacomgrade">
    <w:name w:val="Table Grid"/>
    <w:basedOn w:val="Tabelanormal"/>
    <w:uiPriority w:val="39"/>
    <w:rsid w:val="00CA7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A71DC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7312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B167B4"/>
    <w:rPr>
      <w:rFonts w:ascii="CourierNewPS-ItalicMT" w:hAnsi="CourierNewPS-ItalicMT" w:hint="default"/>
      <w:b w:val="0"/>
      <w:bCs w:val="0"/>
      <w:i/>
      <w:iCs/>
      <w:color w:val="0084D1"/>
      <w:sz w:val="22"/>
      <w:szCs w:val="22"/>
    </w:rPr>
  </w:style>
  <w:style w:type="character" w:customStyle="1" w:styleId="fontstyle21">
    <w:name w:val="fontstyle21"/>
    <w:basedOn w:val="Fontepargpadro"/>
    <w:rsid w:val="00640D18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table" w:styleId="SimplesTabela1">
    <w:name w:val="Plain Table 1"/>
    <w:basedOn w:val="Tabelanormal"/>
    <w:uiPriority w:val="41"/>
    <w:rsid w:val="00477C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31</Pages>
  <Words>16462</Words>
  <Characters>88899</Characters>
  <Application>Microsoft Office Word</Application>
  <DocSecurity>0</DocSecurity>
  <Lines>740</Lines>
  <Paragraphs>210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SILVANE</dc:creator>
  <cp:lastModifiedBy>Rodrigo Mendanha</cp:lastModifiedBy>
  <cp:revision>3</cp:revision>
  <cp:lastPrinted>2024-02-28T18:00:00Z</cp:lastPrinted>
  <dcterms:created xsi:type="dcterms:W3CDTF">2024-07-17T17:27:00Z</dcterms:created>
  <dcterms:modified xsi:type="dcterms:W3CDTF">2026-09-11T14:33:00Z</dcterms:modified>
</cp:coreProperties>
</file>