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9D013FB" w14:textId="77777777" w:rsidR="001278CF" w:rsidRPr="00392B49" w:rsidRDefault="00BA01D5">
      <w:pPr>
        <w:rPr>
          <w:rFonts w:ascii="ACaslon" w:hAnsi="ACaslon"/>
          <w:b/>
          <w:sz w:val="32"/>
        </w:rPr>
      </w:pPr>
      <w:r w:rsidRPr="00392B49">
        <w:rPr>
          <w:rFonts w:ascii="ACaslon" w:hAnsi="ACaslon"/>
          <w:b/>
          <w:sz w:val="32"/>
        </w:rPr>
        <w:t>Macro II – PS 2</w:t>
      </w:r>
    </w:p>
    <w:p w14:paraId="3E9B8669" w14:textId="77777777" w:rsidR="00BA01D5" w:rsidRDefault="00BA01D5">
      <w:pPr>
        <w:rPr>
          <w:rFonts w:ascii="ACaslon" w:hAnsi="ACaslon" w:hint="eastAsia"/>
        </w:rPr>
      </w:pPr>
    </w:p>
    <w:p w14:paraId="6F804F38" w14:textId="7FE698D4" w:rsidR="00BA01D5" w:rsidRDefault="00BA01D5">
      <w:pPr>
        <w:rPr>
          <w:rFonts w:ascii="ACaslon" w:hAnsi="ACaslon" w:hint="eastAsia"/>
        </w:rPr>
      </w:pPr>
      <w:r w:rsidRPr="00537C9B">
        <w:rPr>
          <w:rFonts w:ascii="ACaslon" w:hAnsi="ACaslon" w:hint="eastAsia"/>
          <w:b/>
        </w:rPr>
        <w:t>Problem 1</w:t>
      </w:r>
      <w:r>
        <w:rPr>
          <w:rFonts w:ascii="ACaslon" w:hAnsi="ACaslon" w:hint="eastAsia"/>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w:rPr>
            <w:rFonts w:ascii="Cambria Math" w:hAnsi="Cambria Math"/>
          </w:rPr>
          <m:t>=</m:t>
        </m:r>
        <m:func>
          <m:funcPr>
            <m:ctrlPr>
              <w:rPr>
                <w:rFonts w:ascii="Cambria Math" w:hAnsi="Cambria Math"/>
              </w:rPr>
            </m:ctrlPr>
          </m:funcPr>
          <m:fName>
            <m:r>
              <m:rPr>
                <m:sty m:val="p"/>
              </m:rPr>
              <w:rPr>
                <w:rFonts w:ascii="Cambria Math" w:hAnsi="Cambria Math"/>
              </w:rPr>
              <m:t>exp</m:t>
            </m:r>
          </m:fName>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t</m:t>
                    </m:r>
                  </m:sub>
                </m:sSub>
              </m:e>
            </m:d>
          </m:e>
        </m:func>
      </m:oMath>
      <w:r w:rsidR="00B73682">
        <w:rPr>
          <w:rFonts w:ascii="ACaslon" w:hAnsi="ACaslon" w:hint="eastAsia"/>
        </w:rPr>
        <w:t xml:space="preserve"> and </w:t>
      </w:r>
      <m:oMath>
        <m:sSub>
          <m:sSubPr>
            <m:ctrlPr>
              <w:rPr>
                <w:rFonts w:ascii="Cambria Math" w:hAnsi="Cambria Math"/>
                <w:i/>
              </w:rPr>
            </m:ctrlPr>
          </m:sSubPr>
          <m:e>
            <m:r>
              <w:rPr>
                <w:rFonts w:ascii="Cambria Math" w:hAnsi="Cambria Math"/>
              </w:rPr>
              <m:t>w</m:t>
            </m:r>
          </m:e>
          <m:sub>
            <m:r>
              <w:rPr>
                <w:rFonts w:ascii="Cambria Math" w:hAnsi="Cambria Math"/>
              </w:rPr>
              <m:t>t</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+ρ</m:t>
        </m:r>
        <m:sSub>
          <m:sSubPr>
            <m:ctrlPr>
              <w:rPr>
                <w:rFonts w:ascii="Cambria Math" w:hAnsi="Cambria Math"/>
                <w:i/>
              </w:rPr>
            </m:ctrlPr>
          </m:sSubPr>
          <m:e>
            <m:r>
              <w:rPr>
                <w:rFonts w:ascii="Cambria Math" w:hAnsi="Cambria Math"/>
              </w:rPr>
              <m:t>w</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t</m:t>
            </m:r>
          </m:sub>
        </m:sSub>
      </m:oMath>
      <w:r w:rsidR="00B73682">
        <w:rPr>
          <w:rFonts w:ascii="ACaslon" w:hAnsi="ACaslon" w:hint="eastAsia"/>
        </w:rPr>
        <w:t xml:space="preserve">, </w:t>
      </w:r>
      <w:r w:rsidR="004875CA">
        <w:rPr>
          <w:rFonts w:ascii="ACaslon" w:hAnsi="ACaslon" w:hint="eastAsia"/>
        </w:rPr>
        <w:t xml:space="preserve">such that </w:t>
      </w:r>
      <m:oMath>
        <m:r>
          <w:rPr>
            <w:rFonts w:ascii="Cambria Math" w:hAnsi="Cambria Math"/>
          </w:rPr>
          <m:t>ρ</m:t>
        </m:r>
        <m:r>
          <w:rPr>
            <w:rFonts w:ascii="Cambria Math" w:hAnsi="Cambria Math"/>
          </w:rPr>
          <m:t xml:space="preserve">=0.9, </m:t>
        </m:r>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r>
          <w:rPr>
            <w:rFonts w:ascii="Cambria Math" w:hAnsi="Cambria Math"/>
          </w:rPr>
          <m:t xml:space="preserve">=0.06 </m:t>
        </m:r>
      </m:oMath>
      <w:r w:rsidR="00B73682">
        <w:rPr>
          <w:rFonts w:ascii="ACaslon" w:hAnsi="ACaslon" w:hint="eastAsia"/>
        </w:rPr>
        <w:t xml:space="preserve">. </w:t>
      </w:r>
    </w:p>
    <w:p w14:paraId="1D113228" w14:textId="77777777" w:rsidR="00537C9B" w:rsidRDefault="00537C9B">
      <w:pPr>
        <w:rPr>
          <w:rFonts w:ascii="ACaslon" w:hAnsi="ACaslon" w:hint="eastAsia"/>
        </w:rPr>
      </w:pPr>
    </w:p>
    <w:p w14:paraId="5C4AC75F" w14:textId="77777777" w:rsidR="0028694F" w:rsidRDefault="00B73682" w:rsidP="00537C9B">
      <w:pPr>
        <w:pStyle w:val="a4"/>
        <w:numPr>
          <w:ilvl w:val="0"/>
          <w:numId w:val="1"/>
        </w:numPr>
        <w:ind w:firstLineChars="0"/>
        <w:rPr>
          <w:rFonts w:ascii="ACaslon" w:hAnsi="ACaslon" w:hint="eastAsia"/>
        </w:rPr>
      </w:pPr>
      <w:r w:rsidRPr="00537C9B">
        <w:rPr>
          <w:rFonts w:ascii="ACaslon" w:hAnsi="ACaslon" w:hint="eastAsia"/>
        </w:rPr>
        <w:t xml:space="preserve">Set </w:t>
      </w:r>
      <m:oMath>
        <m:acc>
          <m:accPr>
            <m:chr m:val="̅"/>
            <m:ctrlPr>
              <w:rPr>
                <w:rFonts w:ascii="Cambria Math" w:hAnsi="Cambria Math"/>
                <w:i/>
              </w:rPr>
            </m:ctrlPr>
          </m:accPr>
          <m:e>
            <m:r>
              <w:rPr>
                <w:rFonts w:ascii="Cambria Math" w:hAnsi="Cambria Math"/>
              </w:rPr>
              <m:t>w</m:t>
            </m:r>
          </m:e>
        </m:acc>
      </m:oMath>
      <w:r w:rsidRPr="00537C9B">
        <w:rPr>
          <w:rFonts w:ascii="ACaslon" w:hAnsi="ACaslon" w:hint="eastAsia"/>
        </w:rPr>
        <w:t xml:space="preserve"> such that </w:t>
      </w:r>
      <m:oMath>
        <m:r>
          <m:rPr>
            <m:sty m:val="p"/>
          </m:rPr>
          <w:rPr>
            <w:rFonts w:ascii="Cambria Math" w:hAnsi="Cambria Math"/>
          </w:rPr>
          <m:t>mean</m:t>
        </m:r>
        <m:d>
          <m:dPr>
            <m:ctrlPr>
              <w:rPr>
                <w:rFonts w:ascii="Cambria Math" w:hAnsi="Cambria Math"/>
              </w:rPr>
            </m:ctrlPr>
          </m:dPr>
          <m:e>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ctrlPr>
              <w:rPr>
                <w:rFonts w:ascii="Cambria Math" w:hAnsi="Cambria Math"/>
                <w:i/>
              </w:rPr>
            </m:ctrlPr>
          </m:e>
        </m:d>
        <m:r>
          <m:rPr>
            <m:sty m:val="p"/>
          </m:rPr>
          <w:rPr>
            <w:rFonts w:ascii="Cambria Math" w:hAnsi="Cambria Math"/>
          </w:rPr>
          <m:t>=1</m:t>
        </m:r>
      </m:oMath>
      <w:r w:rsidRPr="00537C9B">
        <w:rPr>
          <w:rFonts w:ascii="ACaslon" w:hAnsi="ACaslon" w:hint="eastAsia"/>
        </w:rPr>
        <w:t xml:space="preserve">. This implies that </w:t>
      </w:r>
      <m:oMath>
        <m:r>
          <m:rPr>
            <m:sty m:val="p"/>
          </m:rPr>
          <w:rPr>
            <w:rFonts w:ascii="Cambria Math" w:hAnsi="Cambria Math"/>
          </w:rPr>
          <m:t>mean</m:t>
        </m:r>
        <m:d>
          <m:dPr>
            <m:ctrlPr>
              <w:rPr>
                <w:rFonts w:ascii="Cambria Math" w:hAnsi="Cambria Math"/>
              </w:rPr>
            </m:ctrlPr>
          </m:dPr>
          <m:e>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ctrlPr>
              <w:rPr>
                <w:rFonts w:ascii="Cambria Math" w:hAnsi="Cambria Math"/>
                <w:i/>
              </w:rPr>
            </m:ctrlPr>
          </m:e>
        </m:d>
        <m:r>
          <m:rPr>
            <m:sty m:val="p"/>
          </m:rPr>
          <w:rPr>
            <w:rFonts w:ascii="Cambria Math" w:hAnsi="Cambria Math"/>
          </w:rPr>
          <m:t>=0</m:t>
        </m:r>
      </m:oMath>
      <w:r w:rsidRPr="00537C9B">
        <w:rPr>
          <w:rFonts w:ascii="ACaslon" w:hAnsi="ACaslon" w:hint="eastAsia"/>
        </w:rPr>
        <w:t xml:space="preserve">. </w:t>
      </w:r>
    </w:p>
    <w:p w14:paraId="43571C54" w14:textId="0D69570F" w:rsidR="00B73682" w:rsidRPr="00537C9B" w:rsidRDefault="00537C9B" w:rsidP="00537C9B">
      <w:pPr>
        <w:pStyle w:val="a4"/>
        <w:numPr>
          <w:ilvl w:val="0"/>
          <w:numId w:val="1"/>
        </w:numPr>
        <w:ind w:firstLineChars="0"/>
        <w:rPr>
          <w:rFonts w:ascii="ACaslon" w:hAnsi="ACaslon" w:hint="eastAsia"/>
        </w:rPr>
      </w:pPr>
      <w:r w:rsidRPr="00537C9B">
        <w:rPr>
          <w:rFonts w:ascii="ACaslon" w:hAnsi="ACaslon" w:hint="eastAsia"/>
        </w:rPr>
        <w:t xml:space="preserve">From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r>
          <w:rPr>
            <w:rFonts w:ascii="Cambria Math" w:hAnsi="Cambria Math"/>
          </w:rPr>
          <m:t>=</m:t>
        </m:r>
        <m:r>
          <w:rPr>
            <w:rFonts w:ascii="Cambria Math" w:hAnsi="Cambria Math"/>
          </w:rPr>
          <m:t xml:space="preserve">0.06 </m:t>
        </m:r>
      </m:oMath>
      <w:r>
        <w:rPr>
          <w:rFonts w:ascii="ACaslon" w:hAnsi="ACaslon" w:hint="eastAsia"/>
        </w:rPr>
        <w:t xml:space="preserve">we know that </w:t>
      </w:r>
      <m:oMath>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0.06</m:t>
            </m:r>
          </m:num>
          <m:den>
            <m:r>
              <w:rPr>
                <w:rFonts w:ascii="Cambria Math" w:hAnsi="Cambria Math"/>
              </w:rPr>
              <m:t>1-0.81</m:t>
            </m:r>
          </m:den>
        </m:f>
        <m:r>
          <w:rPr>
            <w:rFonts w:ascii="Cambria Math" w:hAnsi="Cambria Math"/>
          </w:rPr>
          <m:t>=</m:t>
        </m:r>
      </m:oMath>
      <w:r w:rsidR="0028694F">
        <w:rPr>
          <w:rFonts w:ascii="ACaslon" w:hAnsi="ACaslon" w:hint="eastAsia"/>
        </w:rPr>
        <w:t>0.316</w:t>
      </w:r>
    </w:p>
    <w:p w14:paraId="286C18D2" w14:textId="2AC9D03C" w:rsidR="00BA01D5" w:rsidRDefault="0028694F">
      <w:pPr>
        <w:rPr>
          <w:rFonts w:ascii="ACaslon" w:hAnsi="ACaslon" w:hint="eastAsia"/>
        </w:rPr>
      </w:pPr>
      <w:r>
        <w:rPr>
          <w:rFonts w:ascii="ACaslon" w:hAnsi="ACaslon" w:hint="eastAsia"/>
        </w:rPr>
        <w:t xml:space="preserve">Q1: </w:t>
      </w:r>
    </w:p>
    <w:p w14:paraId="2654ED66" w14:textId="6D766067" w:rsidR="00B577A8" w:rsidRDefault="00E64850">
      <w:pPr>
        <w:rPr>
          <w:rFonts w:ascii="ACaslon" w:hAnsi="ACaslon" w:hint="eastAsia"/>
        </w:rPr>
      </w:pPr>
      <w:r>
        <w:rPr>
          <w:rFonts w:ascii="ACaslon" w:hAnsi="ACaslon" w:hint="eastAsia"/>
        </w:rPr>
        <w:t xml:space="preserve">Using the Tauchen method to specify the transition probability, also using 10000-time simulation of the </w:t>
      </w:r>
      <w:r w:rsidR="00305FA4">
        <w:rPr>
          <w:rFonts w:ascii="ACaslon" w:hAnsi="ACaslon" w:hint="eastAsia"/>
        </w:rPr>
        <w:t>5-state M</w:t>
      </w:r>
      <w:r w:rsidR="00B577A8">
        <w:rPr>
          <w:rFonts w:ascii="ACaslon" w:hAnsi="ACaslon" w:hint="eastAsia"/>
        </w:rPr>
        <w:t>arkov chain. (# of states specify the line space in the state grid of transition matrix)</w:t>
      </w:r>
    </w:p>
    <w:p w14:paraId="7039BCCE" w14:textId="21488104" w:rsidR="00E64850" w:rsidRDefault="00E83D7A">
      <w:pPr>
        <w:rPr>
          <w:rFonts w:ascii="ACaslon" w:hAnsi="ACaslon" w:hint="eastAsia"/>
        </w:rPr>
      </w:pPr>
      <w:r w:rsidRPr="00FB5539">
        <w:rPr>
          <w:rFonts w:ascii="ACaslon" w:hAnsi="ACaslon" w:hint="eastAsia"/>
          <w:u w:val="single"/>
        </w:rPr>
        <w:t>Results</w:t>
      </w:r>
      <w:r>
        <w:rPr>
          <w:rFonts w:ascii="ACaslon" w:hAnsi="ACaslon" w:hint="eastAsia"/>
        </w:rPr>
        <w:t xml:space="preserve">: </w:t>
      </w:r>
      <w:r w:rsidR="007B7D7E">
        <w:rPr>
          <w:rFonts w:ascii="ACaslon" w:hAnsi="ACaslon" w:hint="eastAsia"/>
        </w:rPr>
        <w:t xml:space="preserve"> mean of the process is </w:t>
      </w:r>
      <w:r w:rsidR="007B7D7E" w:rsidRPr="007B7D7E">
        <w:rPr>
          <w:rFonts w:ascii="ACaslon" w:hAnsi="ACaslon"/>
        </w:rPr>
        <w:t>0.3302</w:t>
      </w:r>
      <w:r w:rsidR="007B7D7E">
        <w:rPr>
          <w:rFonts w:ascii="ACaslon" w:hAnsi="ACaslon" w:hint="eastAsia"/>
        </w:rPr>
        <w:t xml:space="preserve">, standard deviation </w:t>
      </w:r>
      <w:r w:rsidR="007B7D7E" w:rsidRPr="007B7D7E">
        <w:rPr>
          <w:rFonts w:ascii="ACaslon" w:hAnsi="ACaslon"/>
        </w:rPr>
        <w:t>0.1018</w:t>
      </w:r>
      <w:r w:rsidR="007B7D7E">
        <w:rPr>
          <w:rFonts w:ascii="ACaslon" w:hAnsi="ACaslon" w:hint="eastAsia"/>
        </w:rPr>
        <w:t xml:space="preserve">, and autocorrelation </w:t>
      </w:r>
      <w:r w:rsidR="007B7D7E" w:rsidRPr="007B7D7E">
        <w:rPr>
          <w:rFonts w:ascii="ACaslon" w:hAnsi="ACaslon"/>
        </w:rPr>
        <w:t>0.9923</w:t>
      </w:r>
      <w:r w:rsidR="007B7D7E">
        <w:rPr>
          <w:rFonts w:ascii="ACaslon" w:hAnsi="ACaslon" w:hint="eastAsia"/>
        </w:rPr>
        <w:t xml:space="preserve">. </w:t>
      </w:r>
    </w:p>
    <w:p w14:paraId="35F7DBF3" w14:textId="77777777" w:rsidR="007B7D7E" w:rsidRDefault="007B7D7E">
      <w:pPr>
        <w:rPr>
          <w:rFonts w:ascii="ACaslon" w:hAnsi="ACaslon" w:hint="eastAsia"/>
        </w:rPr>
      </w:pPr>
    </w:p>
    <w:p w14:paraId="00BDCCAD" w14:textId="423F6B75" w:rsidR="007B7D7E" w:rsidRDefault="007B7D7E">
      <w:pPr>
        <w:rPr>
          <w:rFonts w:ascii="ACaslon" w:hAnsi="ACaslon" w:hint="eastAsia"/>
        </w:rPr>
      </w:pPr>
      <w:r>
        <w:rPr>
          <w:rFonts w:ascii="ACaslon" w:hAnsi="ACaslon" w:hint="eastAsia"/>
        </w:rPr>
        <w:t>Q2</w:t>
      </w:r>
      <w:r>
        <w:rPr>
          <w:rFonts w:ascii="ACaslon" w:hAnsi="ACaslon" w:hint="eastAsia"/>
        </w:rPr>
        <w:t>:</w:t>
      </w:r>
    </w:p>
    <w:p w14:paraId="3A02860F" w14:textId="77777777" w:rsidR="00763650" w:rsidRDefault="003B465E">
      <w:pPr>
        <w:rPr>
          <w:rFonts w:ascii="ACaslon" w:hAnsi="ACaslon" w:hint="eastAsia"/>
        </w:rPr>
      </w:pPr>
      <w:r>
        <w:rPr>
          <w:rFonts w:ascii="ACaslon" w:hAnsi="ACaslon" w:hint="eastAsia"/>
        </w:rPr>
        <w:t xml:space="preserve">Now using 10-state Markov </w:t>
      </w:r>
      <w:r>
        <w:rPr>
          <w:rFonts w:ascii="ACaslon" w:hAnsi="ACaslon"/>
        </w:rPr>
        <w:t>Chain</w:t>
      </w:r>
      <w:r>
        <w:rPr>
          <w:rFonts w:ascii="ACaslon" w:hAnsi="ACaslon" w:hint="eastAsia"/>
        </w:rPr>
        <w:t xml:space="preserve">, the mean is </w:t>
      </w:r>
      <w:r w:rsidRPr="003B465E">
        <w:rPr>
          <w:rFonts w:ascii="ACaslon" w:hAnsi="ACaslon"/>
        </w:rPr>
        <w:t>-0.0042</w:t>
      </w:r>
      <w:r>
        <w:rPr>
          <w:rFonts w:ascii="ACaslon" w:hAnsi="ACaslon" w:hint="eastAsia"/>
        </w:rPr>
        <w:t xml:space="preserve">, </w:t>
      </w:r>
      <w:r w:rsidR="00746F2F">
        <w:rPr>
          <w:rFonts w:ascii="ACaslon" w:hAnsi="ACaslon" w:hint="eastAsia"/>
        </w:rPr>
        <w:t xml:space="preserve">standard deviation </w:t>
      </w:r>
      <w:r w:rsidR="00746F2F" w:rsidRPr="00746F2F">
        <w:rPr>
          <w:rFonts w:ascii="ACaslon" w:hAnsi="ACaslon"/>
        </w:rPr>
        <w:t>0.1758</w:t>
      </w:r>
      <w:r w:rsidR="00746F2F">
        <w:rPr>
          <w:rFonts w:ascii="ACaslon" w:hAnsi="ACaslon" w:hint="eastAsia"/>
        </w:rPr>
        <w:t xml:space="preserve">, and </w:t>
      </w:r>
      <w:r w:rsidR="007944CF">
        <w:rPr>
          <w:rFonts w:ascii="ACaslon" w:hAnsi="ACaslon" w:hint="eastAsia"/>
        </w:rPr>
        <w:t xml:space="preserve">autocorrelation is </w:t>
      </w:r>
      <w:r w:rsidR="007944CF" w:rsidRPr="007944CF">
        <w:rPr>
          <w:rFonts w:ascii="ACaslon" w:hAnsi="ACaslon"/>
        </w:rPr>
        <w:t>0.9301</w:t>
      </w:r>
      <w:r w:rsidR="007944CF">
        <w:rPr>
          <w:rFonts w:ascii="ACaslon" w:hAnsi="ACaslon" w:hint="eastAsia"/>
        </w:rPr>
        <w:t xml:space="preserve">. This result </w:t>
      </w:r>
      <w:r w:rsidR="00763650">
        <w:rPr>
          <w:rFonts w:ascii="ACaslon" w:hAnsi="ACaslon" w:hint="eastAsia"/>
        </w:rPr>
        <w:t xml:space="preserve">returns better approximation of the true process. </w:t>
      </w:r>
    </w:p>
    <w:p w14:paraId="160A3E33" w14:textId="6717C92B" w:rsidR="007B7D7E" w:rsidRDefault="00763650">
      <w:pPr>
        <w:rPr>
          <w:rFonts w:ascii="ACaslon" w:hAnsi="ACaslon" w:hint="eastAsia"/>
        </w:rPr>
      </w:pPr>
      <w:r w:rsidRPr="00763650">
        <w:rPr>
          <w:rFonts w:ascii="ACaslon" w:hAnsi="ACaslon" w:hint="eastAsia"/>
          <w:u w:val="single"/>
        </w:rPr>
        <w:t>Reason</w:t>
      </w:r>
      <w:r>
        <w:rPr>
          <w:rFonts w:ascii="ACaslon" w:hAnsi="ACaslon" w:hint="eastAsia"/>
        </w:rPr>
        <w:t xml:space="preserve">: with </w:t>
      </w:r>
      <w:r w:rsidR="00A82B21">
        <w:rPr>
          <w:rFonts w:ascii="ACaslon" w:hAnsi="ACaslon" w:hint="eastAsia"/>
        </w:rPr>
        <w:t>more states in the</w:t>
      </w:r>
      <w:r>
        <w:rPr>
          <w:rFonts w:ascii="ACaslon" w:hAnsi="ACaslon" w:hint="eastAsia"/>
        </w:rPr>
        <w:t xml:space="preserve"> state </w:t>
      </w:r>
      <w:r w:rsidR="00A82B21">
        <w:rPr>
          <w:rFonts w:ascii="ACaslon" w:hAnsi="ACaslon" w:hint="eastAsia"/>
        </w:rPr>
        <w:t>grid</w:t>
      </w:r>
      <w:r>
        <w:rPr>
          <w:rFonts w:ascii="ACaslon" w:hAnsi="ACaslon" w:hint="eastAsia"/>
        </w:rPr>
        <w:t>, the transition matrix allows more refined probability among different states</w:t>
      </w:r>
      <w:r w:rsidR="00B577A8">
        <w:rPr>
          <w:rFonts w:ascii="ACaslon" w:hAnsi="ACaslon" w:hint="eastAsia"/>
        </w:rPr>
        <w:t xml:space="preserve">, thus returning finner approximation of the true process. </w:t>
      </w:r>
      <w:r>
        <w:rPr>
          <w:rFonts w:ascii="ACaslon" w:hAnsi="ACaslon" w:hint="eastAsia"/>
        </w:rPr>
        <w:t xml:space="preserve">  </w:t>
      </w:r>
    </w:p>
    <w:p w14:paraId="2200E413" w14:textId="77777777" w:rsidR="007B7D7E" w:rsidRDefault="007B7D7E">
      <w:pPr>
        <w:rPr>
          <w:rFonts w:ascii="ACaslon" w:hAnsi="ACaslon" w:hint="eastAsia"/>
        </w:rPr>
      </w:pPr>
    </w:p>
    <w:p w14:paraId="1F541310" w14:textId="07C0CCA0" w:rsidR="00052B05" w:rsidRDefault="00052B05">
      <w:pPr>
        <w:rPr>
          <w:rFonts w:ascii="ACaslon" w:hAnsi="ACaslon" w:hint="eastAsia"/>
        </w:rPr>
      </w:pPr>
      <w:r>
        <w:rPr>
          <w:rFonts w:ascii="ACaslon" w:hAnsi="ACaslon" w:hint="eastAsia"/>
        </w:rPr>
        <w:t>Q3:</w:t>
      </w:r>
    </w:p>
    <w:p w14:paraId="776C1078" w14:textId="0D975010" w:rsidR="00052B05" w:rsidRDefault="00052B05">
      <w:pPr>
        <w:rPr>
          <w:rFonts w:ascii="ACaslon" w:hAnsi="ACaslon" w:hint="eastAsia"/>
        </w:rPr>
      </w:pPr>
      <w:r>
        <w:rPr>
          <w:rFonts w:ascii="ACaslon" w:hAnsi="ACaslon" w:hint="eastAsia"/>
        </w:rPr>
        <w:t>Now use the Rouwen</w:t>
      </w:r>
      <w:r w:rsidR="00E83D7A">
        <w:rPr>
          <w:rFonts w:ascii="ACaslon" w:hAnsi="ACaslon" w:hint="eastAsia"/>
        </w:rPr>
        <w:t xml:space="preserve">horst method instead, with a 5-state Markov Chain, </w:t>
      </w:r>
      <w:r w:rsidR="00E83D7A">
        <w:rPr>
          <w:rFonts w:ascii="ACaslon" w:hAnsi="ACaslon" w:hint="eastAsia"/>
        </w:rPr>
        <w:t>10000-time simulation</w:t>
      </w:r>
      <w:r w:rsidR="00E83D7A">
        <w:rPr>
          <w:rFonts w:ascii="ACaslon" w:hAnsi="ACaslon" w:hint="eastAsia"/>
        </w:rPr>
        <w:t xml:space="preserve">. </w:t>
      </w:r>
    </w:p>
    <w:p w14:paraId="5BAF6D95" w14:textId="57867C71" w:rsidR="00E83D7A" w:rsidRDefault="00E83D7A" w:rsidP="00E83D7A">
      <w:pPr>
        <w:rPr>
          <w:rFonts w:ascii="ACaslon" w:hAnsi="ACaslon" w:hint="eastAsia"/>
        </w:rPr>
      </w:pPr>
      <w:r w:rsidRPr="00FB5539">
        <w:rPr>
          <w:rFonts w:ascii="ACaslon" w:hAnsi="ACaslon" w:hint="eastAsia"/>
          <w:u w:val="single"/>
        </w:rPr>
        <w:t>Results</w:t>
      </w:r>
      <w:r>
        <w:rPr>
          <w:rFonts w:ascii="ACaslon" w:hAnsi="ACaslon" w:hint="eastAsia"/>
        </w:rPr>
        <w:t xml:space="preserve">: </w:t>
      </w:r>
      <w:r>
        <w:rPr>
          <w:rFonts w:ascii="ACaslon" w:hAnsi="ACaslon" w:hint="eastAsia"/>
        </w:rPr>
        <w:t xml:space="preserve">mean of the process is </w:t>
      </w:r>
      <w:r w:rsidR="00E45CEA" w:rsidRPr="00E45CEA">
        <w:rPr>
          <w:rFonts w:ascii="ACaslon" w:hAnsi="ACaslon"/>
        </w:rPr>
        <w:t>0.0010</w:t>
      </w:r>
      <w:r>
        <w:rPr>
          <w:rFonts w:ascii="ACaslon" w:hAnsi="ACaslon" w:hint="eastAsia"/>
        </w:rPr>
        <w:t xml:space="preserve">, standard deviation </w:t>
      </w:r>
      <w:r w:rsidR="00E45CEA" w:rsidRPr="00E45CEA">
        <w:rPr>
          <w:rFonts w:ascii="ACaslon" w:hAnsi="ACaslon"/>
        </w:rPr>
        <w:t>0.1363</w:t>
      </w:r>
      <w:r>
        <w:rPr>
          <w:rFonts w:ascii="ACaslon" w:hAnsi="ACaslon" w:hint="eastAsia"/>
        </w:rPr>
        <w:t xml:space="preserve">, and autocorrelation </w:t>
      </w:r>
      <w:r w:rsidR="00E45CEA" w:rsidRPr="00E45CEA">
        <w:rPr>
          <w:rFonts w:ascii="ACaslon" w:hAnsi="ACaslon"/>
        </w:rPr>
        <w:t>0.8960</w:t>
      </w:r>
      <w:r>
        <w:rPr>
          <w:rFonts w:ascii="ACaslon" w:hAnsi="ACaslon" w:hint="eastAsia"/>
        </w:rPr>
        <w:t xml:space="preserve">. </w:t>
      </w:r>
    </w:p>
    <w:p w14:paraId="4D023944" w14:textId="4B567143" w:rsidR="009B303D" w:rsidRDefault="009B303D" w:rsidP="00E83D7A">
      <w:pPr>
        <w:rPr>
          <w:rFonts w:ascii="ACaslon" w:hAnsi="ACaslon" w:hint="eastAsia"/>
        </w:rPr>
      </w:pPr>
      <w:r w:rsidRPr="00FB5539">
        <w:rPr>
          <w:rFonts w:ascii="ACaslon" w:hAnsi="ACaslon" w:hint="eastAsia"/>
          <w:u w:val="single"/>
        </w:rPr>
        <w:t>Comments</w:t>
      </w:r>
      <w:r>
        <w:rPr>
          <w:rFonts w:ascii="ACaslon" w:hAnsi="ACaslon" w:hint="eastAsia"/>
        </w:rPr>
        <w:t xml:space="preserve">: compared with </w:t>
      </w:r>
      <w:r w:rsidR="00FB5539">
        <w:rPr>
          <w:rFonts w:ascii="ACaslon" w:hAnsi="ACaslon" w:hint="eastAsia"/>
        </w:rPr>
        <w:t xml:space="preserve">Tauchen method with 5-state Markov chain, the result from the </w:t>
      </w:r>
      <w:r w:rsidR="00FB5539">
        <w:rPr>
          <w:rFonts w:ascii="ACaslon" w:hAnsi="ACaslon" w:hint="eastAsia"/>
        </w:rPr>
        <w:t>Rouwenhorst method</w:t>
      </w:r>
      <w:r w:rsidR="00FB5539">
        <w:rPr>
          <w:rFonts w:ascii="ACaslon" w:hAnsi="ACaslon" w:hint="eastAsia"/>
        </w:rPr>
        <w:t xml:space="preserve"> is better, with mean, std deviation and autocorrelation nearer to the true AR(1) process. </w:t>
      </w:r>
    </w:p>
    <w:p w14:paraId="00E71BCE" w14:textId="3D2264D5" w:rsidR="00E83D7A" w:rsidRDefault="00E83D7A">
      <w:pPr>
        <w:rPr>
          <w:rFonts w:ascii="ACaslon" w:hAnsi="ACaslon" w:hint="eastAsia"/>
        </w:rPr>
      </w:pPr>
    </w:p>
    <w:p w14:paraId="70404670" w14:textId="310C3832" w:rsidR="005F6549" w:rsidRDefault="005F6549">
      <w:pPr>
        <w:rPr>
          <w:rFonts w:ascii="ACaslon" w:hAnsi="ACaslon" w:hint="eastAsia"/>
        </w:rPr>
      </w:pPr>
      <w:r>
        <w:rPr>
          <w:rFonts w:ascii="ACaslon" w:hAnsi="ACaslon" w:hint="eastAsia"/>
        </w:rPr>
        <w:t xml:space="preserve">Q4: </w:t>
      </w:r>
    </w:p>
    <w:p w14:paraId="6CDB3850" w14:textId="5A550CCA" w:rsidR="005F6549" w:rsidRDefault="005F6549">
      <w:pPr>
        <w:rPr>
          <w:rFonts w:ascii="ACaslon" w:hAnsi="ACaslon" w:hint="eastAsia"/>
        </w:rPr>
      </w:pPr>
      <w:r>
        <w:rPr>
          <w:rFonts w:ascii="ACaslon" w:hAnsi="ACaslon" w:hint="eastAsia"/>
        </w:rPr>
        <w:t xml:space="preserve">From Q3, the standard deviation of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t</m:t>
            </m:r>
          </m:sub>
        </m:sSub>
      </m:oMath>
      <w:r>
        <w:rPr>
          <w:rFonts w:ascii="ACaslon" w:hAnsi="ACaslon" w:hint="eastAsia"/>
        </w:rPr>
        <w:t xml:space="preserve"> is </w:t>
      </w:r>
      <w:r w:rsidRPr="00E45CEA">
        <w:rPr>
          <w:rFonts w:ascii="ACaslon" w:hAnsi="ACaslon"/>
        </w:rPr>
        <w:t>0.1363</w:t>
      </w:r>
      <w:r>
        <w:rPr>
          <w:rFonts w:ascii="ACaslon" w:hAnsi="ACaslon" w:hint="eastAsia"/>
        </w:rPr>
        <w:t xml:space="preserve">, </w:t>
      </w:r>
      <w:r w:rsidR="002F038E">
        <w:rPr>
          <w:rFonts w:ascii="ACaslon" w:hAnsi="ACaslon" w:hint="eastAsia"/>
        </w:rPr>
        <w:t xml:space="preserve">so </w:t>
      </w:r>
      <m:oMath>
        <m:sSubSup>
          <m:sSubSupPr>
            <m:ctrlPr>
              <w:rPr>
                <w:rFonts w:ascii="Cambria Math" w:hAnsi="Cambria Math"/>
                <w:i/>
              </w:rPr>
            </m:ctrlPr>
          </m:sSubSupPr>
          <m:e>
            <m:r>
              <w:rPr>
                <w:rFonts w:ascii="Cambria Math" w:hAnsi="Cambria Math"/>
              </w:rPr>
              <m:t>σ</m:t>
            </m:r>
          </m:e>
          <m:sub>
            <m:r>
              <w:rPr>
                <w:rFonts w:ascii="Cambria Math" w:hAnsi="Cambria Math"/>
              </w:rPr>
              <m:t>ϵ</m:t>
            </m:r>
          </m:sub>
          <m:sup>
            <m:r>
              <w:rPr>
                <w:rFonts w:ascii="Cambria Math" w:hAnsi="Cambria Math"/>
              </w:rPr>
              <m:t>2</m:t>
            </m:r>
          </m:sup>
        </m:sSubSup>
        <m:r>
          <m:rPr>
            <m:sty m:val="p"/>
          </m:rPr>
          <w:rPr>
            <w:rFonts w:ascii="Cambria Math" w:hAnsi="Cambria Math"/>
          </w:rPr>
          <m:t>=</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d>
        <m:sSubSup>
          <m:sSubSupPr>
            <m:ctrlPr>
              <w:rPr>
                <w:rFonts w:ascii="Cambria Math" w:hAnsi="Cambria Math"/>
                <w:i/>
              </w:rPr>
            </m:ctrlPr>
          </m:sSubSupPr>
          <m:e>
            <m:r>
              <w:rPr>
                <w:rFonts w:ascii="Cambria Math" w:hAnsi="Cambria Math"/>
              </w:rPr>
              <m:t>σ</m:t>
            </m:r>
          </m:e>
          <m:sub>
            <m:r>
              <w:rPr>
                <w:rFonts w:ascii="Cambria Math" w:hAnsi="Cambria Math"/>
              </w:rPr>
              <m:t>w</m:t>
            </m:r>
          </m:sub>
          <m:sup>
            <m:r>
              <w:rPr>
                <w:rFonts w:ascii="Cambria Math" w:hAnsi="Cambria Math"/>
              </w:rPr>
              <m:t>2</m:t>
            </m:r>
          </m:sup>
        </m:sSubSup>
        <m:r>
          <m:rPr>
            <m:sty m:val="p"/>
          </m:rPr>
          <w:rPr>
            <w:rFonts w:ascii="Cambria Math" w:hAnsi="Cambria Math"/>
          </w:rPr>
          <m:t>=0.19×</m:t>
        </m:r>
        <m:r>
          <m:rPr>
            <m:sty m:val="p"/>
          </m:rPr>
          <w:rPr>
            <w:rFonts w:ascii="Cambria Math" w:hAnsi="Cambria Math"/>
          </w:rPr>
          <m:t>0.1363</m:t>
        </m:r>
        <m:r>
          <m:rPr>
            <m:sty m:val="p"/>
          </m:rPr>
          <w:rPr>
            <w:rFonts w:ascii="Cambria Math" w:hAnsi="ACaslon"/>
          </w:rPr>
          <m:t>=</m:t>
        </m:r>
      </m:oMath>
      <w:r w:rsidR="00760A7C">
        <w:rPr>
          <w:rFonts w:ascii="ACaslon" w:hAnsi="ACaslon" w:hint="eastAsia"/>
        </w:rPr>
        <w:t xml:space="preserve"> 0.025897</w:t>
      </w:r>
    </w:p>
    <w:p w14:paraId="5A70BDA4" w14:textId="2F9D2818" w:rsidR="00760A7C" w:rsidRDefault="00760A7C">
      <w:pPr>
        <w:rPr>
          <w:rFonts w:ascii="ACaslon" w:hAnsi="ACaslon" w:hint="eastAsia"/>
        </w:rPr>
      </w:pPr>
      <w:r>
        <w:rPr>
          <w:rFonts w:ascii="ACaslon" w:hAnsi="ACaslon" w:hint="eastAsia"/>
        </w:rPr>
        <w:t xml:space="preserve">Plug-in these values into the </w:t>
      </w:r>
      <w:r w:rsidR="00FB5539">
        <w:rPr>
          <w:rFonts w:ascii="ACaslon" w:hAnsi="ACaslon" w:hint="eastAsia"/>
        </w:rPr>
        <w:t xml:space="preserve">Rouwenhorst algorithm with 5-state markov chain: </w:t>
      </w:r>
    </w:p>
    <w:p w14:paraId="4B579590" w14:textId="2179F7D5" w:rsidR="00FB5539" w:rsidRDefault="00FB5539" w:rsidP="00FB5539">
      <w:pPr>
        <w:rPr>
          <w:rFonts w:ascii="ACaslon" w:hAnsi="ACaslon" w:hint="eastAsia"/>
        </w:rPr>
      </w:pPr>
      <w:r w:rsidRPr="00FB5539">
        <w:rPr>
          <w:rFonts w:ascii="ACaslon" w:hAnsi="ACaslon" w:hint="eastAsia"/>
          <w:u w:val="single"/>
        </w:rPr>
        <w:t>Results</w:t>
      </w:r>
      <w:r>
        <w:rPr>
          <w:rFonts w:ascii="ACaslon" w:hAnsi="ACaslon" w:hint="eastAsia"/>
        </w:rPr>
        <w:t xml:space="preserve">: mean </w:t>
      </w:r>
      <w:r w:rsidR="00392B49" w:rsidRPr="00392B49">
        <w:rPr>
          <w:rFonts w:ascii="ACaslon" w:hAnsi="ACaslon"/>
        </w:rPr>
        <w:t>0.0064</w:t>
      </w:r>
      <w:r>
        <w:rPr>
          <w:rFonts w:ascii="ACaslon" w:hAnsi="ACaslon" w:hint="eastAsia"/>
        </w:rPr>
        <w:t xml:space="preserve">, standard deviation </w:t>
      </w:r>
      <w:r w:rsidR="00392B49" w:rsidRPr="00392B49">
        <w:rPr>
          <w:rFonts w:ascii="ACaslon" w:hAnsi="ACaslon"/>
        </w:rPr>
        <w:t>0.1228</w:t>
      </w:r>
      <w:r>
        <w:rPr>
          <w:rFonts w:ascii="ACaslon" w:hAnsi="ACaslon" w:hint="eastAsia"/>
        </w:rPr>
        <w:t xml:space="preserve">, and autocorrelation </w:t>
      </w:r>
      <w:r w:rsidR="00392B49" w:rsidRPr="00392B49">
        <w:rPr>
          <w:rFonts w:ascii="ACaslon" w:hAnsi="ACaslon"/>
        </w:rPr>
        <w:t>0.9752</w:t>
      </w:r>
      <w:r>
        <w:rPr>
          <w:rFonts w:ascii="ACaslon" w:hAnsi="ACaslon" w:hint="eastAsia"/>
        </w:rPr>
        <w:t xml:space="preserve">. </w:t>
      </w:r>
    </w:p>
    <w:p w14:paraId="5F255ECC" w14:textId="37B2AFB2" w:rsidR="00392B49" w:rsidRDefault="00392B49" w:rsidP="00FB5539">
      <w:pPr>
        <w:rPr>
          <w:rFonts w:ascii="ACaslon" w:hAnsi="ACaslon" w:hint="eastAsia"/>
        </w:rPr>
      </w:pPr>
      <w:r>
        <w:rPr>
          <w:rFonts w:ascii="ACaslon" w:hAnsi="ACaslon" w:hint="eastAsia"/>
        </w:rPr>
        <w:t xml:space="preserve">The approximation is pretty good. </w:t>
      </w:r>
    </w:p>
    <w:p w14:paraId="21936BD9" w14:textId="77777777" w:rsidR="00FB5539" w:rsidRDefault="00FB5539">
      <w:pPr>
        <w:rPr>
          <w:rFonts w:ascii="ACaslon" w:hAnsi="ACaslon" w:hint="eastAsia"/>
        </w:rPr>
      </w:pPr>
    </w:p>
    <w:p w14:paraId="023E7BF6" w14:textId="10BD63E5" w:rsidR="00700FBD" w:rsidRDefault="003D3977">
      <w:pPr>
        <w:rPr>
          <w:rFonts w:ascii="ACaslon" w:hAnsi="ACaslon" w:hint="eastAsia"/>
          <w:b/>
        </w:rPr>
      </w:pPr>
      <w:r w:rsidRPr="00537C9B">
        <w:rPr>
          <w:rFonts w:ascii="ACaslon" w:hAnsi="ACaslon" w:hint="eastAsia"/>
          <w:b/>
        </w:rPr>
        <w:lastRenderedPageBreak/>
        <w:t xml:space="preserve">Problem </w:t>
      </w:r>
      <w:r>
        <w:rPr>
          <w:rFonts w:ascii="ACaslon" w:hAnsi="ACaslon" w:hint="eastAsia"/>
          <w:b/>
        </w:rPr>
        <w:t xml:space="preserve">2: </w:t>
      </w:r>
    </w:p>
    <w:p w14:paraId="1ACB9FC7" w14:textId="03EAEABB" w:rsidR="003D3977" w:rsidRPr="00907E93" w:rsidRDefault="00907E93">
      <w:pPr>
        <w:rPr>
          <w:rFonts w:ascii="ACaslon" w:hAnsi="ACaslon" w:hint="eastAsia"/>
        </w:rPr>
      </w:pPr>
      <w:r>
        <w:rPr>
          <w:rFonts w:ascii="ACaslon" w:hAnsi="ACaslon" w:hint="eastAsia"/>
        </w:rPr>
        <w:t>Q1&amp;Q2:</w:t>
      </w:r>
      <w:r w:rsidR="003D3977" w:rsidRPr="00F15378">
        <w:rPr>
          <w:rFonts w:ascii="ACaslon" w:hAnsi="ACaslon" w:hint="eastAsia"/>
        </w:rPr>
        <w:t xml:space="preserve"> </w:t>
      </w:r>
      <w:r w:rsidR="00F15378">
        <w:rPr>
          <w:rFonts w:ascii="ACaslon" w:hAnsi="ACaslon" w:hint="eastAsia"/>
        </w:rPr>
        <w:t xml:space="preserve">The </w:t>
      </w:r>
      <w:r>
        <w:rPr>
          <w:rFonts w:ascii="ACaslon" w:hAnsi="ACaslon" w:hint="eastAsia"/>
        </w:rPr>
        <w:t xml:space="preserve">consumption and saving under different </w:t>
      </w:r>
      <m:oMath>
        <m:r>
          <m:rPr>
            <m:sty m:val="p"/>
          </m:rPr>
          <w:rPr>
            <w:rFonts w:ascii="Cambria Math" w:hAnsi="Cambria Math"/>
          </w:rPr>
          <m:t>γ</m:t>
        </m:r>
      </m:oMath>
      <w:r>
        <w:rPr>
          <w:rFonts w:ascii="ACaslon" w:hAnsi="ACaslon" w:hint="eastAsia"/>
        </w:rPr>
        <w:t xml:space="preserve"> can be seen from the graph. </w:t>
      </w:r>
    </w:p>
    <w:tbl>
      <w:tblPr>
        <w:tblStyle w:val="a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70"/>
      </w:tblGrid>
      <w:tr w:rsidR="00F15378" w14:paraId="62B5B943" w14:textId="77777777" w:rsidTr="00BF4FA3">
        <w:tc>
          <w:tcPr>
            <w:tcW w:w="10070" w:type="dxa"/>
          </w:tcPr>
          <w:p w14:paraId="25EBD0CB" w14:textId="24C3C7E7" w:rsidR="00F15378" w:rsidRDefault="00F15378" w:rsidP="00BF4FA3">
            <w:pPr>
              <w:jc w:val="center"/>
              <w:rPr>
                <w:rFonts w:ascii="ACaslon" w:hAnsi="ACaslon" w:hint="eastAsia"/>
              </w:rPr>
            </w:pPr>
            <w:r>
              <w:rPr>
                <w:rFonts w:ascii="ACaslon" w:hAnsi="ACaslon" w:hint="eastAsia"/>
                <w:noProof/>
              </w:rPr>
              <w:drawing>
                <wp:inline distT="0" distB="0" distL="0" distR="0" wp14:anchorId="23FBE68D" wp14:editId="53FB4CD9">
                  <wp:extent cx="4675296" cy="3506820"/>
                  <wp:effectExtent l="0" t="0" r="0" b="0"/>
                  <wp:docPr id="1" name="图片 1" descr="../II%20Chris%20PS%202/hw_gamma_consu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I%20Chris%20PS%202/hw_gamma_consumption.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219" cy="3517263"/>
                          </a:xfrm>
                          <a:prstGeom prst="rect">
                            <a:avLst/>
                          </a:prstGeom>
                          <a:noFill/>
                          <a:ln>
                            <a:noFill/>
                          </a:ln>
                        </pic:spPr>
                      </pic:pic>
                    </a:graphicData>
                  </a:graphic>
                </wp:inline>
              </w:drawing>
            </w:r>
          </w:p>
        </w:tc>
      </w:tr>
      <w:tr w:rsidR="00F15378" w14:paraId="0A3AA2FB" w14:textId="77777777" w:rsidTr="00BF4FA3">
        <w:tc>
          <w:tcPr>
            <w:tcW w:w="10070" w:type="dxa"/>
          </w:tcPr>
          <w:p w14:paraId="70911E0C" w14:textId="45667205" w:rsidR="00F15378" w:rsidRDefault="00F15378" w:rsidP="00BF4FA3">
            <w:pPr>
              <w:jc w:val="center"/>
              <w:rPr>
                <w:rFonts w:ascii="ACaslon" w:hAnsi="ACaslon" w:hint="eastAsia"/>
              </w:rPr>
            </w:pPr>
            <w:r>
              <w:rPr>
                <w:rFonts w:ascii="ACaslon" w:hAnsi="ACaslon" w:hint="eastAsia"/>
                <w:noProof/>
              </w:rPr>
              <w:drawing>
                <wp:inline distT="0" distB="0" distL="0" distR="0" wp14:anchorId="476D20E0" wp14:editId="15B9423C">
                  <wp:extent cx="4700344" cy="3525608"/>
                  <wp:effectExtent l="0" t="0" r="0" b="5080"/>
                  <wp:docPr id="2" name="图片 2" descr="../II%20Chris%20PS%202/hw_gamma_sa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20Chris%20PS%202/hw_gamma_saving.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9460" cy="3539946"/>
                          </a:xfrm>
                          <a:prstGeom prst="rect">
                            <a:avLst/>
                          </a:prstGeom>
                          <a:noFill/>
                          <a:ln>
                            <a:noFill/>
                          </a:ln>
                        </pic:spPr>
                      </pic:pic>
                    </a:graphicData>
                  </a:graphic>
                </wp:inline>
              </w:drawing>
            </w:r>
          </w:p>
        </w:tc>
      </w:tr>
    </w:tbl>
    <w:p w14:paraId="4E9D7352" w14:textId="6C7ED2F4" w:rsidR="00F15378" w:rsidRDefault="00BF4FA3" w:rsidP="00BF4FA3">
      <w:pPr>
        <w:pStyle w:val="a4"/>
        <w:numPr>
          <w:ilvl w:val="0"/>
          <w:numId w:val="1"/>
        </w:numPr>
        <w:ind w:firstLineChars="0"/>
        <w:rPr>
          <w:rFonts w:ascii="ACaslon" w:hAnsi="ACaslon" w:hint="eastAsia"/>
        </w:rPr>
      </w:pPr>
      <w:r w:rsidRPr="00BF4FA3">
        <w:rPr>
          <w:rFonts w:ascii="ACaslon" w:hAnsi="ACaslon" w:hint="eastAsia"/>
        </w:rPr>
        <w:t>As can be seen from the graph</w:t>
      </w:r>
      <w:r>
        <w:rPr>
          <w:rFonts w:ascii="ACaslon" w:hAnsi="ACaslon" w:hint="eastAsia"/>
        </w:rPr>
        <w:t xml:space="preserve">, as Gamma increases, the consumption becomes less and saving becomes more; this shows that as agents become more RA, they accumulate more savings. </w:t>
      </w:r>
    </w:p>
    <w:p w14:paraId="586FC32A" w14:textId="30A45DC1" w:rsidR="00BF4FA3" w:rsidRPr="0005218D" w:rsidRDefault="0005218D" w:rsidP="0005218D">
      <w:pPr>
        <w:pStyle w:val="a4"/>
        <w:numPr>
          <w:ilvl w:val="0"/>
          <w:numId w:val="1"/>
        </w:numPr>
        <w:ind w:firstLineChars="0"/>
        <w:rPr>
          <w:rFonts w:ascii="ACaslon" w:hAnsi="ACaslon" w:hint="eastAsia"/>
        </w:rPr>
      </w:pPr>
      <w:r>
        <w:rPr>
          <w:rFonts w:ascii="ACaslon" w:hAnsi="ACaslon" w:hint="eastAsia"/>
        </w:rPr>
        <w:t xml:space="preserve">Also from the following table, as Gamma increases, the standard deviation of the consumption process becomes less. This shows that as agents are more RA, they engage more in consumption smoothing. </w:t>
      </w:r>
    </w:p>
    <w:tbl>
      <w:tblPr>
        <w:tblStyle w:val="a9"/>
        <w:tblW w:w="0" w:type="auto"/>
        <w:tblLook w:val="04A0" w:firstRow="1" w:lastRow="0" w:firstColumn="1" w:lastColumn="0" w:noHBand="0" w:noVBand="1"/>
      </w:tblPr>
      <w:tblGrid>
        <w:gridCol w:w="10070"/>
      </w:tblGrid>
      <w:tr w:rsidR="0005218D" w14:paraId="1AC573E0" w14:textId="77777777" w:rsidTr="0005218D">
        <w:tc>
          <w:tcPr>
            <w:tcW w:w="10070" w:type="dxa"/>
            <w:tcBorders>
              <w:top w:val="nil"/>
              <w:left w:val="nil"/>
              <w:bottom w:val="nil"/>
              <w:right w:val="nil"/>
            </w:tcBorders>
          </w:tcPr>
          <w:p w14:paraId="6CE14FF6" w14:textId="659AB209" w:rsidR="0005218D" w:rsidRDefault="0005218D" w:rsidP="0005218D">
            <w:pPr>
              <w:jc w:val="center"/>
              <w:rPr>
                <w:rFonts w:ascii="ACaslon" w:hAnsi="ACaslon" w:hint="eastAsia"/>
              </w:rPr>
            </w:pPr>
            <w:r>
              <w:rPr>
                <w:rFonts w:ascii="ACaslon" w:hAnsi="ACaslon" w:hint="eastAsia"/>
                <w:noProof/>
              </w:rPr>
              <w:drawing>
                <wp:inline distT="0" distB="0" distL="0" distR="0" wp14:anchorId="72446D61" wp14:editId="08FDF7E9">
                  <wp:extent cx="1792936" cy="1105732"/>
                  <wp:effectExtent l="0" t="0" r="10795" b="12065"/>
                  <wp:docPr id="3" name="图片 3" descr="../../../../../Desktop/屏幕快照%202019-04-21%20下午11.04.46.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屏幕快照%202019-04-21%20下午11.04.46.p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18669" cy="1121602"/>
                          </a:xfrm>
                          <a:prstGeom prst="rect">
                            <a:avLst/>
                          </a:prstGeom>
                          <a:noFill/>
                          <a:ln>
                            <a:noFill/>
                          </a:ln>
                        </pic:spPr>
                      </pic:pic>
                    </a:graphicData>
                  </a:graphic>
                </wp:inline>
              </w:drawing>
            </w:r>
          </w:p>
        </w:tc>
      </w:tr>
    </w:tbl>
    <w:p w14:paraId="670F3CD4" w14:textId="3CFD6CA1" w:rsidR="00F15378" w:rsidRDefault="009951F0">
      <w:pPr>
        <w:rPr>
          <w:rFonts w:ascii="ACaslon" w:hAnsi="ACaslon" w:hint="eastAsia"/>
        </w:rPr>
      </w:pPr>
      <w:r>
        <w:rPr>
          <w:rFonts w:ascii="ACaslon" w:hAnsi="ACaslon" w:hint="eastAsia"/>
        </w:rPr>
        <w:t xml:space="preserve">Q3. </w:t>
      </w:r>
      <w:r w:rsidR="00807FA2">
        <w:rPr>
          <w:rFonts w:ascii="ACaslon" w:hAnsi="ACaslon" w:hint="eastAsia"/>
        </w:rPr>
        <w:t xml:space="preserve">The household saving under different </w:t>
      </w:r>
      <w:r w:rsidR="00807FA2">
        <w:rPr>
          <w:rFonts w:ascii="ACaslon" w:hAnsi="ACaslon"/>
        </w:rPr>
        <w:t>variance of</w:t>
      </w:r>
      <w:r w:rsidR="00807FA2">
        <w:rPr>
          <w:rFonts w:ascii="ACaslon" w:hAnsi="ACaslon" w:hint="eastAsia"/>
        </w:rPr>
        <w:t xml:space="preserve"> the income shocks</w:t>
      </w:r>
      <w:r w:rsidR="00AA6CCD">
        <w:rPr>
          <w:rFonts w:ascii="ACaslon" w:hAnsi="ACaslon" w:hint="eastAsia"/>
        </w:rPr>
        <w:t>.</w:t>
      </w:r>
    </w:p>
    <w:tbl>
      <w:tblPr>
        <w:tblStyle w:val="a9"/>
        <w:tblW w:w="0" w:type="auto"/>
        <w:tblLook w:val="04A0" w:firstRow="1" w:lastRow="0" w:firstColumn="1" w:lastColumn="0" w:noHBand="0" w:noVBand="1"/>
      </w:tblPr>
      <w:tblGrid>
        <w:gridCol w:w="10070"/>
      </w:tblGrid>
      <w:tr w:rsidR="00AA6CCD" w14:paraId="72DA9E08" w14:textId="77777777" w:rsidTr="00AA6CCD">
        <w:tc>
          <w:tcPr>
            <w:tcW w:w="10070" w:type="dxa"/>
            <w:tcBorders>
              <w:top w:val="nil"/>
              <w:left w:val="nil"/>
              <w:bottom w:val="nil"/>
              <w:right w:val="nil"/>
            </w:tcBorders>
          </w:tcPr>
          <w:p w14:paraId="05AA570F" w14:textId="38534762" w:rsidR="00AA6CCD" w:rsidRDefault="00AA6CCD" w:rsidP="00AA6CCD">
            <w:pPr>
              <w:jc w:val="center"/>
              <w:rPr>
                <w:rFonts w:ascii="ACaslon" w:hAnsi="ACaslon" w:hint="eastAsia"/>
              </w:rPr>
            </w:pPr>
            <w:r>
              <w:rPr>
                <w:rFonts w:ascii="ACaslon" w:hAnsi="ACaslon" w:hint="eastAsia"/>
                <w:noProof/>
              </w:rPr>
              <w:drawing>
                <wp:inline distT="0" distB="0" distL="0" distR="0" wp14:anchorId="002BE387" wp14:editId="629B9AE8">
                  <wp:extent cx="5333025" cy="4001626"/>
                  <wp:effectExtent l="0" t="0" r="1270" b="12065"/>
                  <wp:docPr id="4" name="图片 4" descr="hw_se_sav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w_se_saving.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72782" cy="4031458"/>
                          </a:xfrm>
                          <a:prstGeom prst="rect">
                            <a:avLst/>
                          </a:prstGeom>
                          <a:noFill/>
                          <a:ln>
                            <a:noFill/>
                          </a:ln>
                        </pic:spPr>
                      </pic:pic>
                    </a:graphicData>
                  </a:graphic>
                </wp:inline>
              </w:drawing>
            </w:r>
          </w:p>
        </w:tc>
      </w:tr>
    </w:tbl>
    <w:p w14:paraId="3685904B" w14:textId="77777777" w:rsidR="00AA6CCD" w:rsidRDefault="00AA6CCD">
      <w:pPr>
        <w:rPr>
          <w:rFonts w:ascii="ACaslon" w:hAnsi="ACaslon" w:hint="eastAsia"/>
        </w:rPr>
      </w:pPr>
    </w:p>
    <w:p w14:paraId="7E1C65CD" w14:textId="7EBE14C3" w:rsidR="009951F0" w:rsidRDefault="00AA6CCD" w:rsidP="00AA6CCD">
      <w:pPr>
        <w:pStyle w:val="a4"/>
        <w:numPr>
          <w:ilvl w:val="0"/>
          <w:numId w:val="1"/>
        </w:numPr>
        <w:ind w:firstLineChars="0"/>
        <w:rPr>
          <w:rFonts w:ascii="ACaslon" w:hAnsi="ACaslon" w:hint="eastAsia"/>
        </w:rPr>
      </w:pPr>
      <w:r w:rsidRPr="00AA6CCD">
        <w:rPr>
          <w:rFonts w:ascii="ACaslon" w:hAnsi="ACaslon" w:hint="eastAsia"/>
        </w:rPr>
        <w:t xml:space="preserve">As the variance of </w:t>
      </w:r>
      <w:r>
        <w:rPr>
          <w:rFonts w:ascii="ACaslon" w:hAnsi="ACaslon" w:hint="eastAsia"/>
        </w:rPr>
        <w:t xml:space="preserve">income shocks increases, agents tend to save more. This is because agents engage in more precautionary saving in face of greater income uncertainty. </w:t>
      </w:r>
    </w:p>
    <w:p w14:paraId="5C0D4280" w14:textId="77777777" w:rsidR="00983C55" w:rsidRDefault="00983C55" w:rsidP="00983C55">
      <w:pPr>
        <w:rPr>
          <w:rFonts w:ascii="ACaslon" w:hAnsi="ACaslon" w:hint="eastAsia"/>
        </w:rPr>
      </w:pPr>
    </w:p>
    <w:p w14:paraId="232918FD" w14:textId="77777777" w:rsidR="00983C55" w:rsidRDefault="00983C55" w:rsidP="00983C55">
      <w:pPr>
        <w:rPr>
          <w:rFonts w:ascii="ACaslon" w:hAnsi="ACaslon" w:hint="eastAsia"/>
        </w:rPr>
      </w:pPr>
    </w:p>
    <w:p w14:paraId="7AB05575" w14:textId="7A5D22C1" w:rsidR="00983C55" w:rsidRDefault="00265A43" w:rsidP="00983C55">
      <w:pPr>
        <w:rPr>
          <w:rFonts w:ascii="ACaslon" w:hAnsi="ACaslon" w:hint="eastAsia"/>
        </w:rPr>
      </w:pPr>
      <w:r>
        <w:rPr>
          <w:rFonts w:ascii="ACaslon" w:hAnsi="ACaslon" w:hint="eastAsia"/>
        </w:rPr>
        <w:t>Q4: The graph shows consumption under no borrowing constraint and natural borrowing constraint</w:t>
      </w:r>
    </w:p>
    <w:tbl>
      <w:tblPr>
        <w:tblStyle w:val="a9"/>
        <w:tblW w:w="0" w:type="auto"/>
        <w:tblLook w:val="04A0" w:firstRow="1" w:lastRow="0" w:firstColumn="1" w:lastColumn="0" w:noHBand="0" w:noVBand="1"/>
      </w:tblPr>
      <w:tblGrid>
        <w:gridCol w:w="10070"/>
      </w:tblGrid>
      <w:tr w:rsidR="00E86BDC" w14:paraId="7EDC9E2D" w14:textId="77777777" w:rsidTr="00E86BDC">
        <w:trPr>
          <w:trHeight w:val="5427"/>
        </w:trPr>
        <w:tc>
          <w:tcPr>
            <w:tcW w:w="10070" w:type="dxa"/>
            <w:tcBorders>
              <w:top w:val="nil"/>
              <w:left w:val="nil"/>
              <w:bottom w:val="nil"/>
              <w:right w:val="nil"/>
            </w:tcBorders>
          </w:tcPr>
          <w:p w14:paraId="1857E443" w14:textId="22F2B71F" w:rsidR="00E86BDC" w:rsidRDefault="00E86BDC" w:rsidP="00E86BDC">
            <w:pPr>
              <w:jc w:val="center"/>
              <w:rPr>
                <w:rFonts w:ascii="ACaslon" w:hAnsi="ACaslon" w:hint="eastAsia"/>
              </w:rPr>
            </w:pPr>
            <w:r>
              <w:rPr>
                <w:rFonts w:ascii="ACaslon" w:hAnsi="ACaslon" w:hint="eastAsia"/>
                <w:noProof/>
              </w:rPr>
              <w:drawing>
                <wp:inline distT="0" distB="0" distL="0" distR="0" wp14:anchorId="3BFB9702" wp14:editId="1660BB47">
                  <wp:extent cx="4737735" cy="3551301"/>
                  <wp:effectExtent l="0" t="0" r="12065" b="5080"/>
                  <wp:docPr id="5" name="图片 5" descr="hw_borrowing_constraint_consump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w_borrowing_constraint_consumptio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70899" cy="3576160"/>
                          </a:xfrm>
                          <a:prstGeom prst="rect">
                            <a:avLst/>
                          </a:prstGeom>
                          <a:noFill/>
                          <a:ln>
                            <a:noFill/>
                          </a:ln>
                        </pic:spPr>
                      </pic:pic>
                    </a:graphicData>
                  </a:graphic>
                </wp:inline>
              </w:drawing>
            </w:r>
          </w:p>
        </w:tc>
      </w:tr>
      <w:tr w:rsidR="003B4E1B" w14:paraId="6BCC90F1" w14:textId="77777777" w:rsidTr="003B4E1B">
        <w:trPr>
          <w:trHeight w:val="89"/>
        </w:trPr>
        <w:tc>
          <w:tcPr>
            <w:tcW w:w="10070" w:type="dxa"/>
            <w:tcBorders>
              <w:top w:val="nil"/>
              <w:left w:val="nil"/>
              <w:bottom w:val="nil"/>
              <w:right w:val="nil"/>
            </w:tcBorders>
          </w:tcPr>
          <w:p w14:paraId="1A453345" w14:textId="77777777" w:rsidR="003B4E1B" w:rsidRDefault="003B4E1B" w:rsidP="00E86BDC">
            <w:pPr>
              <w:jc w:val="center"/>
              <w:rPr>
                <w:rFonts w:ascii="ACaslon" w:hAnsi="ACaslon" w:hint="eastAsia"/>
                <w:noProof/>
              </w:rPr>
            </w:pPr>
          </w:p>
        </w:tc>
      </w:tr>
    </w:tbl>
    <w:p w14:paraId="66689A51" w14:textId="77777777" w:rsidR="003B4E1B" w:rsidRDefault="002720D0" w:rsidP="00E86BDC">
      <w:pPr>
        <w:pStyle w:val="a4"/>
        <w:numPr>
          <w:ilvl w:val="0"/>
          <w:numId w:val="1"/>
        </w:numPr>
        <w:ind w:firstLineChars="0"/>
        <w:rPr>
          <w:rFonts w:ascii="ACaslon" w:hAnsi="ACaslon" w:hint="eastAsia"/>
        </w:rPr>
      </w:pPr>
      <w:r>
        <w:rPr>
          <w:rFonts w:ascii="ACaslon" w:hAnsi="ACaslon" w:hint="eastAsia"/>
        </w:rPr>
        <w:t xml:space="preserve">The average consumption under </w:t>
      </w:r>
      <w:r>
        <w:rPr>
          <w:rFonts w:ascii="ACaslon" w:hAnsi="ACaslon"/>
        </w:rPr>
        <w:t>natural</w:t>
      </w:r>
      <w:r>
        <w:rPr>
          <w:rFonts w:ascii="ACaslon" w:hAnsi="ACaslon" w:hint="eastAsia"/>
        </w:rPr>
        <w:t xml:space="preserve"> borrowing constrain is higher than with </w:t>
      </w:r>
      <w:r w:rsidR="003B4E1B">
        <w:rPr>
          <w:rFonts w:ascii="ACaslon" w:hAnsi="ACaslon" w:hint="eastAsia"/>
        </w:rPr>
        <w:t xml:space="preserve">a </w:t>
      </w:r>
      <w:r>
        <w:rPr>
          <w:rFonts w:ascii="ACaslon" w:hAnsi="ACaslon" w:hint="eastAsia"/>
        </w:rPr>
        <w:t xml:space="preserve">0 borrowing constraint. </w:t>
      </w:r>
      <w:r w:rsidR="003B4E1B">
        <w:rPr>
          <w:rFonts w:ascii="ACaslon" w:hAnsi="ACaslon" w:hint="eastAsia"/>
        </w:rPr>
        <w:t>T</w:t>
      </w:r>
      <w:r w:rsidR="003B4E1B">
        <w:rPr>
          <w:rFonts w:ascii="ACaslon" w:hAnsi="ACaslon"/>
        </w:rPr>
        <w:t>h</w:t>
      </w:r>
      <w:r w:rsidR="003B4E1B">
        <w:rPr>
          <w:rFonts w:ascii="ACaslon" w:hAnsi="ACaslon" w:hint="eastAsia"/>
        </w:rPr>
        <w:t xml:space="preserve">is result shows </w:t>
      </w:r>
      <w:r w:rsidR="003B4E1B">
        <w:rPr>
          <w:rFonts w:ascii="ACaslon" w:hAnsi="ACaslon"/>
        </w:rPr>
        <w:t>that</w:t>
      </w:r>
      <w:r w:rsidR="003B4E1B">
        <w:rPr>
          <w:rFonts w:ascii="ACaslon" w:hAnsi="ACaslon" w:hint="eastAsia"/>
        </w:rPr>
        <w:t xml:space="preserve"> if we loose the borrowing constraint, people will consume more and borrow more. (The </w:t>
      </w:r>
      <w:r w:rsidR="003B4E1B">
        <w:rPr>
          <w:rFonts w:ascii="ACaslon" w:hAnsi="ACaslon"/>
        </w:rPr>
        <w:t>natural</w:t>
      </w:r>
      <w:r w:rsidR="003B4E1B">
        <w:rPr>
          <w:rFonts w:ascii="ACaslon" w:hAnsi="ACaslon" w:hint="eastAsia"/>
        </w:rPr>
        <w:t xml:space="preserve"> limit is the maximum that they can borrow.) </w:t>
      </w:r>
    </w:p>
    <w:p w14:paraId="14A789C6" w14:textId="3DDED4AC" w:rsidR="00265A43" w:rsidRDefault="003B4E1B" w:rsidP="00E86BDC">
      <w:pPr>
        <w:pStyle w:val="a4"/>
        <w:numPr>
          <w:ilvl w:val="0"/>
          <w:numId w:val="1"/>
        </w:numPr>
        <w:ind w:firstLineChars="0"/>
        <w:rPr>
          <w:rFonts w:ascii="ACaslon" w:hAnsi="ACaslon" w:hint="eastAsia"/>
        </w:rPr>
      </w:pPr>
      <w:r>
        <w:rPr>
          <w:rFonts w:ascii="ACaslon" w:hAnsi="ACaslon" w:hint="eastAsia"/>
        </w:rPr>
        <w:t xml:space="preserve">This result </w:t>
      </w:r>
      <w:r w:rsidR="0039670A">
        <w:rPr>
          <w:rFonts w:ascii="ACaslon" w:hAnsi="ACaslon" w:hint="eastAsia"/>
        </w:rPr>
        <w:t xml:space="preserve">also implies that under a 0 borrowing constraint, the constraint </w:t>
      </w:r>
      <w:r w:rsidR="0039670A">
        <w:rPr>
          <w:rFonts w:ascii="ACaslon" w:hAnsi="ACaslon"/>
        </w:rPr>
        <w:t xml:space="preserve">is binding. </w:t>
      </w:r>
    </w:p>
    <w:p w14:paraId="781F2565" w14:textId="77777777" w:rsidR="00782EA0" w:rsidRDefault="00782EA0" w:rsidP="00782EA0">
      <w:pPr>
        <w:rPr>
          <w:rFonts w:ascii="ACaslon" w:hAnsi="ACaslon" w:hint="eastAsia"/>
        </w:rPr>
      </w:pPr>
    </w:p>
    <w:p w14:paraId="65C76A52" w14:textId="0849286E" w:rsidR="00782EA0" w:rsidRDefault="00782EA0" w:rsidP="00782EA0">
      <w:pPr>
        <w:rPr>
          <w:rFonts w:ascii="ACaslon" w:hAnsi="ACaslon" w:hint="eastAsia"/>
        </w:rPr>
      </w:pPr>
      <w:r>
        <w:rPr>
          <w:rFonts w:ascii="ACaslon" w:hAnsi="ACaslon" w:hint="eastAsia"/>
        </w:rPr>
        <w:t xml:space="preserve">Q5: </w:t>
      </w:r>
      <w:r w:rsidR="001205A6">
        <w:rPr>
          <w:rFonts w:ascii="ACaslon" w:hAnsi="ACaslon" w:hint="eastAsia"/>
        </w:rPr>
        <w:t xml:space="preserve">The insurance coefficient under different debt limit is as follow: </w:t>
      </w:r>
    </w:p>
    <w:tbl>
      <w:tblPr>
        <w:tblStyle w:val="a9"/>
        <w:tblW w:w="0" w:type="auto"/>
        <w:tblLook w:val="04A0" w:firstRow="1" w:lastRow="0" w:firstColumn="1" w:lastColumn="0" w:noHBand="0" w:noVBand="1"/>
      </w:tblPr>
      <w:tblGrid>
        <w:gridCol w:w="10070"/>
      </w:tblGrid>
      <w:tr w:rsidR="00782EA0" w14:paraId="09EB4689" w14:textId="77777777" w:rsidTr="001205A6">
        <w:tc>
          <w:tcPr>
            <w:tcW w:w="10070" w:type="dxa"/>
            <w:tcBorders>
              <w:top w:val="nil"/>
              <w:left w:val="nil"/>
              <w:bottom w:val="nil"/>
              <w:right w:val="nil"/>
            </w:tcBorders>
          </w:tcPr>
          <w:p w14:paraId="11ABE134" w14:textId="508D96F2" w:rsidR="00782EA0" w:rsidRDefault="001205A6" w:rsidP="001205A6">
            <w:pPr>
              <w:jc w:val="center"/>
              <w:rPr>
                <w:rFonts w:ascii="ACaslon" w:hAnsi="ACaslon" w:hint="eastAsia"/>
              </w:rPr>
            </w:pPr>
            <w:r>
              <w:rPr>
                <w:rFonts w:ascii="ACaslon" w:hAnsi="ACaslon" w:hint="eastAsia"/>
                <w:noProof/>
              </w:rPr>
              <w:drawing>
                <wp:inline distT="0" distB="0" distL="0" distR="0" wp14:anchorId="64A2C7D9" wp14:editId="4D09B3F2">
                  <wp:extent cx="2849668" cy="989180"/>
                  <wp:effectExtent l="0" t="0" r="0" b="1905"/>
                  <wp:docPr id="7" name="图片 7" descr="../../../../../Desktop/屏幕快照%202019-04-21%20下午11.37.32.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屏幕快照%202019-04-21%20下午11.37.32.p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7970" cy="1023303"/>
                          </a:xfrm>
                          <a:prstGeom prst="rect">
                            <a:avLst/>
                          </a:prstGeom>
                          <a:noFill/>
                          <a:ln>
                            <a:noFill/>
                          </a:ln>
                        </pic:spPr>
                      </pic:pic>
                    </a:graphicData>
                  </a:graphic>
                </wp:inline>
              </w:drawing>
            </w:r>
          </w:p>
        </w:tc>
      </w:tr>
    </w:tbl>
    <w:p w14:paraId="11A8F6E7" w14:textId="6C268C6A" w:rsidR="00886FDF" w:rsidRPr="00204287" w:rsidRDefault="0093606F" w:rsidP="00886FDF">
      <w:pPr>
        <w:pStyle w:val="a4"/>
        <w:numPr>
          <w:ilvl w:val="0"/>
          <w:numId w:val="1"/>
        </w:numPr>
        <w:ind w:firstLineChars="0"/>
        <w:rPr>
          <w:rFonts w:ascii="ACaslon" w:hAnsi="ACaslon" w:hint="eastAsia"/>
        </w:rPr>
      </w:pPr>
      <w:r>
        <w:rPr>
          <w:rFonts w:ascii="ACaslon" w:hAnsi="ACaslon" w:hint="eastAsia"/>
        </w:rPr>
        <w:t xml:space="preserve">Thus under the </w:t>
      </w:r>
      <w:r>
        <w:rPr>
          <w:rFonts w:ascii="ACaslon" w:hAnsi="ACaslon"/>
        </w:rPr>
        <w:t>natural</w:t>
      </w:r>
      <w:r>
        <w:rPr>
          <w:rFonts w:ascii="ACaslon" w:hAnsi="ACaslon" w:hint="eastAsia"/>
        </w:rPr>
        <w:t xml:space="preserve"> borrowing limit (which is looser), the agents will seek more consumption insurance. </w:t>
      </w:r>
      <w:r w:rsidR="00886FDF">
        <w:rPr>
          <w:rFonts w:ascii="ACaslon" w:hAnsi="ACaslon" w:hint="eastAsia"/>
        </w:rPr>
        <w:t xml:space="preserve">From the formula of the insurance </w:t>
      </w:r>
      <w:r w:rsidR="00886FDF">
        <w:rPr>
          <w:rFonts w:ascii="ACaslon" w:hAnsi="ACaslon"/>
        </w:rPr>
        <w:t>coefficient</w:t>
      </w:r>
      <w:r w:rsidR="00886FDF">
        <w:rPr>
          <w:rFonts w:ascii="ACaslon" w:hAnsi="ACaslon" w:hint="eastAsia"/>
        </w:rPr>
        <w:t xml:space="preserve">, higher correlation between consumption and income shock will increase </w:t>
      </w:r>
      <w:r w:rsidR="00886FDF">
        <w:rPr>
          <w:rFonts w:ascii="ACaslon" w:hAnsi="ACaslon" w:hint="eastAsia"/>
        </w:rPr>
        <w:t xml:space="preserve">insurance </w:t>
      </w:r>
      <w:r w:rsidR="00886FDF">
        <w:rPr>
          <w:rFonts w:ascii="ACaslon" w:hAnsi="ACaslon"/>
        </w:rPr>
        <w:t>coefficient</w:t>
      </w:r>
      <w:r w:rsidR="00886FDF">
        <w:rPr>
          <w:rFonts w:ascii="ACaslon" w:hAnsi="ACaslon" w:hint="eastAsia"/>
        </w:rPr>
        <w:t xml:space="preserve">. Under looser borrowing limit, the correlation between consumption and income shock increase, lifting the insurance coeff. </w:t>
      </w:r>
      <w:bookmarkStart w:id="0" w:name="_GoBack"/>
      <w:bookmarkEnd w:id="0"/>
    </w:p>
    <w:sectPr w:rsidR="00886FDF" w:rsidRPr="00204287" w:rsidSect="00BA01D5">
      <w:headerReference w:type="default" r:id="rId13"/>
      <w:pgSz w:w="12240" w:h="15840"/>
      <w:pgMar w:top="1440" w:right="1080" w:bottom="1440" w:left="1080" w:header="720" w:footer="720" w:gutter="0"/>
      <w:cols w:space="720"/>
      <w:docGrid w:type="lines" w:linePitch="423"/>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0FAD191" w14:textId="77777777" w:rsidR="007605DF" w:rsidRDefault="007605DF" w:rsidP="006E1308">
      <w:r>
        <w:separator/>
      </w:r>
    </w:p>
  </w:endnote>
  <w:endnote w:type="continuationSeparator" w:id="0">
    <w:p w14:paraId="5A36A75D" w14:textId="77777777" w:rsidR="007605DF" w:rsidRDefault="007605DF" w:rsidP="006E13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Caslon">
    <w:panose1 w:val="02000500000000000000"/>
    <w:charset w:val="00"/>
    <w:family w:val="auto"/>
    <w:pitch w:val="variable"/>
    <w:sig w:usb0="00000003" w:usb1="00000000" w:usb2="00000000" w:usb3="00000000" w:csb0="00000001" w:csb1="00000000"/>
  </w:font>
  <w:font w:name="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1FAC10A" w14:textId="77777777" w:rsidR="007605DF" w:rsidRDefault="007605DF" w:rsidP="006E1308">
      <w:r>
        <w:separator/>
      </w:r>
    </w:p>
  </w:footnote>
  <w:footnote w:type="continuationSeparator" w:id="0">
    <w:p w14:paraId="1F8D7EC0" w14:textId="77777777" w:rsidR="007605DF" w:rsidRDefault="007605DF" w:rsidP="006E130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763FA9" w14:textId="1BFC2125" w:rsidR="006E1308" w:rsidRPr="006E1308" w:rsidRDefault="006E1308" w:rsidP="006E1308">
    <w:pPr>
      <w:pStyle w:val="a5"/>
      <w:jc w:val="left"/>
      <w:rPr>
        <w:rFonts w:hint="eastAsia"/>
        <w:sz w:val="22"/>
      </w:rPr>
    </w:pPr>
    <w:r w:rsidRPr="006E1308">
      <w:rPr>
        <w:rFonts w:hint="eastAsia"/>
        <w:sz w:val="22"/>
      </w:rPr>
      <w:t>Elmer Zongyang Li (zl685)</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43C499F"/>
    <w:multiLevelType w:val="hybridMultilevel"/>
    <w:tmpl w:val="3E584440"/>
    <w:lvl w:ilvl="0" w:tplc="23D048B8">
      <w:numFmt w:val="bullet"/>
      <w:lvlText w:val="-"/>
      <w:lvlJc w:val="left"/>
      <w:pPr>
        <w:ind w:left="360" w:hanging="360"/>
      </w:pPr>
      <w:rPr>
        <w:rFonts w:ascii="ACaslon" w:eastAsiaTheme="minorEastAsia" w:hAnsi="ACaslon" w:cstheme="minorBidi"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2"/>
  <w:bordersDoNotSurroundHeader/>
  <w:bordersDoNotSurroundFooter/>
  <w:defaultTabStop w:val="420"/>
  <w:drawingGridHorizontalSpacing w:val="120"/>
  <w:drawingGridVerticalSpacing w:val="423"/>
  <w:displayHorizontalDrawingGridEvery w:val="0"/>
  <w:characterSpacingControl w:val="compressPunctuation"/>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01D5"/>
    <w:rsid w:val="0005218D"/>
    <w:rsid w:val="00052B05"/>
    <w:rsid w:val="001205A6"/>
    <w:rsid w:val="0016673D"/>
    <w:rsid w:val="00204287"/>
    <w:rsid w:val="00265A43"/>
    <w:rsid w:val="002720D0"/>
    <w:rsid w:val="0028694F"/>
    <w:rsid w:val="002F038E"/>
    <w:rsid w:val="00305FA4"/>
    <w:rsid w:val="00392B49"/>
    <w:rsid w:val="0039670A"/>
    <w:rsid w:val="003B465E"/>
    <w:rsid w:val="003B4E1B"/>
    <w:rsid w:val="003D3977"/>
    <w:rsid w:val="003D68CF"/>
    <w:rsid w:val="004875CA"/>
    <w:rsid w:val="00537C9B"/>
    <w:rsid w:val="00571764"/>
    <w:rsid w:val="005D7EBD"/>
    <w:rsid w:val="005F6549"/>
    <w:rsid w:val="006E1308"/>
    <w:rsid w:val="00700FBD"/>
    <w:rsid w:val="00746F2F"/>
    <w:rsid w:val="007605DF"/>
    <w:rsid w:val="00760A7C"/>
    <w:rsid w:val="00763650"/>
    <w:rsid w:val="00782EA0"/>
    <w:rsid w:val="007944CF"/>
    <w:rsid w:val="007B7D7E"/>
    <w:rsid w:val="00807FA2"/>
    <w:rsid w:val="00810A78"/>
    <w:rsid w:val="00886FDF"/>
    <w:rsid w:val="008F18E6"/>
    <w:rsid w:val="00907E93"/>
    <w:rsid w:val="0093606F"/>
    <w:rsid w:val="00983C55"/>
    <w:rsid w:val="009951F0"/>
    <w:rsid w:val="009B303D"/>
    <w:rsid w:val="00A82B21"/>
    <w:rsid w:val="00A91CD4"/>
    <w:rsid w:val="00AA6CCD"/>
    <w:rsid w:val="00AD44DC"/>
    <w:rsid w:val="00AF426C"/>
    <w:rsid w:val="00B577A8"/>
    <w:rsid w:val="00B73682"/>
    <w:rsid w:val="00BA01D5"/>
    <w:rsid w:val="00BA7FFE"/>
    <w:rsid w:val="00BF4FA3"/>
    <w:rsid w:val="00C970DF"/>
    <w:rsid w:val="00E45CEA"/>
    <w:rsid w:val="00E64850"/>
    <w:rsid w:val="00E83D7A"/>
    <w:rsid w:val="00E86BDC"/>
    <w:rsid w:val="00F15378"/>
    <w:rsid w:val="00FB5539"/>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B21EED6"/>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AF426C"/>
    <w:rPr>
      <w:color w:val="808080"/>
    </w:rPr>
  </w:style>
  <w:style w:type="paragraph" w:styleId="a4">
    <w:name w:val="List Paragraph"/>
    <w:basedOn w:val="a"/>
    <w:uiPriority w:val="34"/>
    <w:qFormat/>
    <w:rsid w:val="00537C9B"/>
    <w:pPr>
      <w:ind w:firstLineChars="200" w:firstLine="420"/>
    </w:pPr>
  </w:style>
  <w:style w:type="paragraph" w:styleId="a5">
    <w:name w:val="header"/>
    <w:basedOn w:val="a"/>
    <w:link w:val="a6"/>
    <w:uiPriority w:val="99"/>
    <w:unhideWhenUsed/>
    <w:rsid w:val="006E1308"/>
    <w:pPr>
      <w:pBdr>
        <w:bottom w:val="single" w:sz="6" w:space="1" w:color="auto"/>
      </w:pBdr>
      <w:tabs>
        <w:tab w:val="center" w:pos="4153"/>
        <w:tab w:val="right" w:pos="8306"/>
      </w:tabs>
      <w:snapToGrid w:val="0"/>
      <w:jc w:val="center"/>
    </w:pPr>
    <w:rPr>
      <w:sz w:val="18"/>
      <w:szCs w:val="18"/>
    </w:rPr>
  </w:style>
  <w:style w:type="character" w:customStyle="1" w:styleId="a6">
    <w:name w:val="页眉字符"/>
    <w:basedOn w:val="a0"/>
    <w:link w:val="a5"/>
    <w:uiPriority w:val="99"/>
    <w:rsid w:val="006E1308"/>
    <w:rPr>
      <w:sz w:val="18"/>
      <w:szCs w:val="18"/>
    </w:rPr>
  </w:style>
  <w:style w:type="paragraph" w:styleId="a7">
    <w:name w:val="footer"/>
    <w:basedOn w:val="a"/>
    <w:link w:val="a8"/>
    <w:uiPriority w:val="99"/>
    <w:unhideWhenUsed/>
    <w:rsid w:val="006E1308"/>
    <w:pPr>
      <w:tabs>
        <w:tab w:val="center" w:pos="4153"/>
        <w:tab w:val="right" w:pos="8306"/>
      </w:tabs>
      <w:snapToGrid w:val="0"/>
      <w:jc w:val="left"/>
    </w:pPr>
    <w:rPr>
      <w:sz w:val="18"/>
      <w:szCs w:val="18"/>
    </w:rPr>
  </w:style>
  <w:style w:type="character" w:customStyle="1" w:styleId="a8">
    <w:name w:val="页脚字符"/>
    <w:basedOn w:val="a0"/>
    <w:link w:val="a7"/>
    <w:uiPriority w:val="99"/>
    <w:rsid w:val="006E1308"/>
    <w:rPr>
      <w:sz w:val="18"/>
      <w:szCs w:val="18"/>
    </w:rPr>
  </w:style>
  <w:style w:type="table" w:styleId="a9">
    <w:name w:val="Table Grid"/>
    <w:basedOn w:val="a1"/>
    <w:uiPriority w:val="39"/>
    <w:rsid w:val="00F1537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798787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header" Target="header1.xml"/><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eg"/><Relationship Id="rId8" Type="http://schemas.openxmlformats.org/officeDocument/2006/relationships/image" Target="media/image2.jpeg"/><Relationship Id="rId9" Type="http://schemas.openxmlformats.org/officeDocument/2006/relationships/image" Target="media/image3.png"/><Relationship Id="rId10"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4</Pages>
  <Words>487</Words>
  <Characters>2779</Characters>
  <Application>Microsoft Macintosh Word</Application>
  <DocSecurity>0</DocSecurity>
  <Lines>23</Lines>
  <Paragraphs>6</Paragraphs>
  <ScaleCrop>false</ScaleCrop>
  <HeadingPairs>
    <vt:vector size="2" baseType="variant">
      <vt:variant>
        <vt:lpstr>标题</vt:lpstr>
      </vt:variant>
      <vt:variant>
        <vt:i4>1</vt:i4>
      </vt:variant>
    </vt:vector>
  </HeadingPairs>
  <TitlesOfParts>
    <vt:vector size="1" baseType="lpstr">
      <vt:lpstr/>
    </vt:vector>
  </TitlesOfParts>
  <LinksUpToDate>false</LinksUpToDate>
  <CharactersWithSpaces>3260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Elmer</dc:creator>
  <cp:keywords/>
  <dc:description/>
  <cp:lastModifiedBy>Elmer</cp:lastModifiedBy>
  <cp:revision>17</cp:revision>
  <dcterms:created xsi:type="dcterms:W3CDTF">2019-04-22T03:00:00Z</dcterms:created>
  <dcterms:modified xsi:type="dcterms:W3CDTF">2019-04-22T03:44:00Z</dcterms:modified>
</cp:coreProperties>
</file>