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10B" w:rsidRDefault="0088610B" w:rsidP="0088610B">
      <w:pPr>
        <w:pStyle w:val="ListParagraph"/>
        <w:spacing w:before="120" w:after="120"/>
        <w:ind w:left="360"/>
        <w:contextualSpacing w:val="0"/>
        <w:jc w:val="both"/>
      </w:pPr>
      <w:r>
        <w:t>Supplemental Table 1 compa</w:t>
      </w:r>
      <w:r w:rsidR="009D1072">
        <w:t xml:space="preserve">res non-targeted moments in a version of our model with an exogenously fixed labor supply </w:t>
      </w:r>
      <w:r>
        <w:t>to the data, while Supplemental Table 2 lists our main results concerning changes in the goods sector’s employment share</w:t>
      </w:r>
      <w:r w:rsidR="00B376F6">
        <w:t xml:space="preserve"> in this model</w:t>
      </w:r>
      <w:r>
        <w:t xml:space="preserve">.  We have found that none of our results </w:t>
      </w:r>
      <w:bookmarkStart w:id="0" w:name="_GoBack"/>
      <w:bookmarkEnd w:id="0"/>
      <w:r>
        <w:t>have changed significantly.  In the baseline version of this model, the saving glut is responsible for 14.3 percent of the decline in the goods sector’s employment share, compared to the 15.1 percent figure we reported in the previous manuscript.  The results of our sensitivity analyses all change by similar amounts and the model’s performance on non-targeted expenditure shares is virtually unchanged.</w:t>
      </w:r>
    </w:p>
    <w:p w:rsidR="0088610B" w:rsidRDefault="0088610B" w:rsidP="0088610B">
      <w:pPr>
        <w:pStyle w:val="ListParagraph"/>
        <w:spacing w:after="120" w:line="360" w:lineRule="auto"/>
        <w:ind w:left="0"/>
        <w:contextualSpacing w:val="0"/>
        <w:jc w:val="center"/>
        <w:rPr>
          <w:b/>
        </w:rPr>
      </w:pPr>
    </w:p>
    <w:p w:rsidR="0088610B" w:rsidRDefault="0088610B" w:rsidP="0088610B">
      <w:pPr>
        <w:pStyle w:val="ListParagraph"/>
        <w:spacing w:after="120" w:line="360" w:lineRule="auto"/>
        <w:ind w:left="0"/>
        <w:contextualSpacing w:val="0"/>
        <w:jc w:val="center"/>
        <w:rPr>
          <w:b/>
        </w:rPr>
      </w:pPr>
      <w:r>
        <w:rPr>
          <w:b/>
        </w:rPr>
        <w:t>Supplemental Table 1: Non-targeted moments in model with fixed labor supply</w:t>
      </w:r>
    </w:p>
    <w:tbl>
      <w:tblPr>
        <w:tblW w:w="0" w:type="auto"/>
        <w:jc w:val="center"/>
        <w:tblLayout w:type="fixed"/>
        <w:tblLook w:val="0000" w:firstRow="0" w:lastRow="0" w:firstColumn="0" w:lastColumn="0" w:noHBand="0" w:noVBand="0"/>
      </w:tblPr>
      <w:tblGrid>
        <w:gridCol w:w="5443"/>
        <w:gridCol w:w="1608"/>
        <w:gridCol w:w="1608"/>
      </w:tblGrid>
      <w:tr w:rsidR="0088610B" w:rsidTr="00FC17B9">
        <w:trPr>
          <w:trHeight w:val="624"/>
          <w:jc w:val="center"/>
        </w:trPr>
        <w:tc>
          <w:tcPr>
            <w:tcW w:w="5443" w:type="dxa"/>
            <w:tcBorders>
              <w:top w:val="nil"/>
              <w:left w:val="nil"/>
              <w:bottom w:val="single" w:sz="12" w:space="0" w:color="auto"/>
              <w:right w:val="nil"/>
            </w:tcBorders>
          </w:tcPr>
          <w:p w:rsidR="0088610B" w:rsidRDefault="0088610B" w:rsidP="00302E28">
            <w:pPr>
              <w:autoSpaceDE w:val="0"/>
              <w:autoSpaceDN w:val="0"/>
              <w:adjustRightInd w:val="0"/>
              <w:jc w:val="center"/>
              <w:rPr>
                <w:b/>
                <w:bCs/>
                <w:color w:val="000000"/>
              </w:rPr>
            </w:pPr>
            <w:r>
              <w:rPr>
                <w:b/>
                <w:bCs/>
                <w:color w:val="000000"/>
              </w:rPr>
              <w:t>Statistic</w:t>
            </w:r>
          </w:p>
        </w:tc>
        <w:tc>
          <w:tcPr>
            <w:tcW w:w="1608" w:type="dxa"/>
            <w:tcBorders>
              <w:top w:val="nil"/>
              <w:left w:val="nil"/>
              <w:bottom w:val="single" w:sz="12" w:space="0" w:color="auto"/>
              <w:right w:val="nil"/>
            </w:tcBorders>
          </w:tcPr>
          <w:p w:rsidR="0088610B" w:rsidRDefault="0088610B" w:rsidP="00302E28">
            <w:pPr>
              <w:autoSpaceDE w:val="0"/>
              <w:autoSpaceDN w:val="0"/>
              <w:adjustRightInd w:val="0"/>
              <w:jc w:val="center"/>
              <w:rPr>
                <w:b/>
                <w:bCs/>
                <w:color w:val="000000"/>
              </w:rPr>
            </w:pPr>
            <w:r>
              <w:rPr>
                <w:b/>
                <w:bCs/>
                <w:color w:val="000000"/>
              </w:rPr>
              <w:t>Data</w:t>
            </w:r>
          </w:p>
        </w:tc>
        <w:tc>
          <w:tcPr>
            <w:tcW w:w="1608" w:type="dxa"/>
            <w:tcBorders>
              <w:top w:val="nil"/>
              <w:left w:val="nil"/>
              <w:bottom w:val="single" w:sz="12" w:space="0" w:color="auto"/>
              <w:right w:val="nil"/>
            </w:tcBorders>
          </w:tcPr>
          <w:p w:rsidR="0088610B" w:rsidRDefault="0088610B" w:rsidP="00302E28">
            <w:pPr>
              <w:autoSpaceDE w:val="0"/>
              <w:autoSpaceDN w:val="0"/>
              <w:adjustRightInd w:val="0"/>
              <w:jc w:val="center"/>
              <w:rPr>
                <w:b/>
                <w:bCs/>
                <w:color w:val="000000"/>
              </w:rPr>
            </w:pPr>
            <w:r>
              <w:rPr>
                <w:b/>
                <w:bCs/>
                <w:color w:val="000000"/>
              </w:rPr>
              <w:t>Model</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Intermediate share of U.S. gross output, 1995</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44.71</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48.35</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Intermediate share of U.S. gross output, 2011</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43.68</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46.71</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i/>
                <w:iCs/>
                <w:color w:val="000000"/>
              </w:rPr>
            </w:pPr>
            <w:r>
              <w:rPr>
                <w:i/>
                <w:iCs/>
                <w:color w:val="000000"/>
              </w:rPr>
              <w:t>Change</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-1.04</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-1.64</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b/>
                <w:bCs/>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b/>
                <w:bCs/>
                <w:color w:val="000000"/>
              </w:rPr>
            </w:pP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Goods share of U.S. intermediates, 1995</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43.21</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40.19</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Goods share of U.S. intermediates, 2011</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36.40</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34.59</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i/>
                <w:iCs/>
                <w:color w:val="000000"/>
              </w:rPr>
            </w:pPr>
            <w:r>
              <w:rPr>
                <w:i/>
                <w:iCs/>
                <w:color w:val="000000"/>
              </w:rPr>
              <w:t>Change</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-6.81</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-5.60</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b/>
                <w:bCs/>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b/>
                <w:bCs/>
                <w:color w:val="000000"/>
              </w:rPr>
            </w:pP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Goods share of U.S. consumption, 1995</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15.30</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13.76</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Goods share of U.S. consumption, 2011</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13.63</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11.17</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i/>
                <w:iCs/>
                <w:color w:val="000000"/>
              </w:rPr>
            </w:pPr>
            <w:r>
              <w:rPr>
                <w:i/>
                <w:iCs/>
                <w:color w:val="000000"/>
              </w:rPr>
              <w:t>Change</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-1.66</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-2.59</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b/>
                <w:bCs/>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b/>
                <w:bCs/>
                <w:color w:val="000000"/>
              </w:rPr>
            </w:pP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Goods share of U.S. investment, 1995</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40.46</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34.66</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Goods share of U.S. investment, 2011</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40.26</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34.66</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i/>
                <w:iCs/>
                <w:color w:val="000000"/>
              </w:rPr>
            </w:pPr>
            <w:r>
              <w:rPr>
                <w:i/>
                <w:iCs/>
                <w:color w:val="000000"/>
              </w:rPr>
              <w:t>Change</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-0.19</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0.00</w:t>
            </w: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jc w:val="right"/>
              <w:rPr>
                <w:i/>
                <w:iCs/>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p>
        </w:tc>
      </w:tr>
      <w:tr w:rsidR="0088610B" w:rsidTr="00FC17B9">
        <w:trPr>
          <w:trHeight w:val="290"/>
          <w:jc w:val="center"/>
        </w:trPr>
        <w:tc>
          <w:tcPr>
            <w:tcW w:w="5443" w:type="dxa"/>
            <w:tcBorders>
              <w:top w:val="nil"/>
              <w:left w:val="nil"/>
              <w:bottom w:val="nil"/>
              <w:right w:val="nil"/>
            </w:tcBorders>
          </w:tcPr>
          <w:p w:rsidR="0088610B" w:rsidRDefault="0088610B" w:rsidP="00302E28">
            <w:pPr>
              <w:autoSpaceDE w:val="0"/>
              <w:autoSpaceDN w:val="0"/>
              <w:adjustRightInd w:val="0"/>
              <w:jc w:val="right"/>
              <w:rPr>
                <w:rFonts w:ascii="Calibri" w:hAnsi="Calibri" w:cs="Calibri"/>
                <w:color w:val="000000"/>
                <w:sz w:val="22"/>
                <w:szCs w:val="22"/>
              </w:rPr>
            </w:pPr>
          </w:p>
        </w:tc>
        <w:tc>
          <w:tcPr>
            <w:tcW w:w="1608" w:type="dxa"/>
            <w:tcBorders>
              <w:top w:val="nil"/>
              <w:left w:val="nil"/>
              <w:bottom w:val="nil"/>
              <w:right w:val="nil"/>
            </w:tcBorders>
          </w:tcPr>
          <w:p w:rsidR="0088610B" w:rsidRDefault="0088610B" w:rsidP="00302E28">
            <w:pPr>
              <w:autoSpaceDE w:val="0"/>
              <w:autoSpaceDN w:val="0"/>
              <w:adjustRightInd w:val="0"/>
              <w:jc w:val="right"/>
              <w:rPr>
                <w:rFonts w:ascii="Calibri" w:hAnsi="Calibri" w:cs="Calibri"/>
                <w:color w:val="000000"/>
                <w:sz w:val="22"/>
                <w:szCs w:val="22"/>
              </w:rPr>
            </w:pPr>
          </w:p>
        </w:tc>
        <w:tc>
          <w:tcPr>
            <w:tcW w:w="1608" w:type="dxa"/>
            <w:tcBorders>
              <w:top w:val="nil"/>
              <w:left w:val="nil"/>
              <w:bottom w:val="nil"/>
              <w:right w:val="nil"/>
            </w:tcBorders>
          </w:tcPr>
          <w:p w:rsidR="0088610B" w:rsidRDefault="0088610B" w:rsidP="00302E28">
            <w:pPr>
              <w:autoSpaceDE w:val="0"/>
              <w:autoSpaceDN w:val="0"/>
              <w:adjustRightInd w:val="0"/>
              <w:jc w:val="right"/>
              <w:rPr>
                <w:rFonts w:ascii="Calibri" w:hAnsi="Calibri" w:cs="Calibri"/>
                <w:color w:val="000000"/>
                <w:sz w:val="22"/>
                <w:szCs w:val="22"/>
              </w:rPr>
            </w:pPr>
          </w:p>
        </w:tc>
      </w:tr>
      <w:tr w:rsidR="0088610B" w:rsidTr="00FC17B9">
        <w:trPr>
          <w:trHeight w:val="305"/>
          <w:jc w:val="center"/>
        </w:trPr>
        <w:tc>
          <w:tcPr>
            <w:tcW w:w="5443"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Std. dev. of U.S. goods trade balance, 1992-2012</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1.54</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1.45</w:t>
            </w:r>
          </w:p>
        </w:tc>
      </w:tr>
      <w:tr w:rsidR="0088610B" w:rsidTr="00FC17B9">
        <w:trPr>
          <w:trHeight w:val="305"/>
          <w:jc w:val="center"/>
        </w:trPr>
        <w:tc>
          <w:tcPr>
            <w:tcW w:w="5443" w:type="dxa"/>
            <w:tcBorders>
              <w:top w:val="nil"/>
              <w:left w:val="nil"/>
              <w:bottom w:val="single" w:sz="6" w:space="0" w:color="auto"/>
              <w:right w:val="nil"/>
            </w:tcBorders>
          </w:tcPr>
          <w:p w:rsidR="0088610B" w:rsidRDefault="0088610B" w:rsidP="00302E28">
            <w:pPr>
              <w:autoSpaceDE w:val="0"/>
              <w:autoSpaceDN w:val="0"/>
              <w:adjustRightInd w:val="0"/>
              <w:rPr>
                <w:color w:val="000000"/>
              </w:rPr>
            </w:pPr>
            <w:r>
              <w:rPr>
                <w:color w:val="000000"/>
              </w:rPr>
              <w:t>Std. dev. of U.S. services trade balance, 1992-2012</w:t>
            </w:r>
          </w:p>
        </w:tc>
        <w:tc>
          <w:tcPr>
            <w:tcW w:w="1608" w:type="dxa"/>
            <w:tcBorders>
              <w:top w:val="nil"/>
              <w:left w:val="nil"/>
              <w:bottom w:val="single" w:sz="6" w:space="0" w:color="auto"/>
              <w:right w:val="nil"/>
            </w:tcBorders>
          </w:tcPr>
          <w:p w:rsidR="0088610B" w:rsidRDefault="0088610B" w:rsidP="00302E28">
            <w:pPr>
              <w:autoSpaceDE w:val="0"/>
              <w:autoSpaceDN w:val="0"/>
              <w:adjustRightInd w:val="0"/>
              <w:jc w:val="right"/>
              <w:rPr>
                <w:color w:val="000000"/>
              </w:rPr>
            </w:pPr>
            <w:r>
              <w:rPr>
                <w:color w:val="000000"/>
              </w:rPr>
              <w:t>0.24</w:t>
            </w:r>
          </w:p>
        </w:tc>
        <w:tc>
          <w:tcPr>
            <w:tcW w:w="1608" w:type="dxa"/>
            <w:tcBorders>
              <w:top w:val="nil"/>
              <w:left w:val="nil"/>
              <w:bottom w:val="single" w:sz="6" w:space="0" w:color="auto"/>
              <w:right w:val="nil"/>
            </w:tcBorders>
          </w:tcPr>
          <w:p w:rsidR="0088610B" w:rsidRDefault="0088610B" w:rsidP="00302E28">
            <w:pPr>
              <w:autoSpaceDE w:val="0"/>
              <w:autoSpaceDN w:val="0"/>
              <w:adjustRightInd w:val="0"/>
              <w:jc w:val="right"/>
              <w:rPr>
                <w:color w:val="000000"/>
              </w:rPr>
            </w:pPr>
            <w:r>
              <w:rPr>
                <w:color w:val="000000"/>
              </w:rPr>
              <w:t>0.19</w:t>
            </w:r>
          </w:p>
        </w:tc>
      </w:tr>
    </w:tbl>
    <w:p w:rsidR="0088610B" w:rsidRDefault="0088610B" w:rsidP="0088610B">
      <w:pPr>
        <w:pStyle w:val="ListParagraph"/>
        <w:spacing w:after="120" w:line="360" w:lineRule="auto"/>
        <w:ind w:left="0"/>
        <w:contextualSpacing w:val="0"/>
        <w:jc w:val="center"/>
        <w:rPr>
          <w:b/>
        </w:rPr>
      </w:pPr>
    </w:p>
    <w:p w:rsidR="0064573C" w:rsidRDefault="0064573C" w:rsidP="0088610B">
      <w:pPr>
        <w:pStyle w:val="ListParagraph"/>
        <w:spacing w:after="120" w:line="360" w:lineRule="auto"/>
        <w:ind w:left="0"/>
        <w:contextualSpacing w:val="0"/>
        <w:jc w:val="center"/>
        <w:rPr>
          <w:b/>
        </w:rPr>
      </w:pPr>
    </w:p>
    <w:p w:rsidR="0064573C" w:rsidRDefault="0064573C" w:rsidP="0088610B">
      <w:pPr>
        <w:pStyle w:val="ListParagraph"/>
        <w:spacing w:after="120" w:line="360" w:lineRule="auto"/>
        <w:ind w:left="0"/>
        <w:contextualSpacing w:val="0"/>
        <w:jc w:val="center"/>
        <w:rPr>
          <w:b/>
        </w:rPr>
      </w:pPr>
    </w:p>
    <w:p w:rsidR="0064573C" w:rsidRDefault="0064573C" w:rsidP="0088610B">
      <w:pPr>
        <w:pStyle w:val="ListParagraph"/>
        <w:spacing w:after="120" w:line="360" w:lineRule="auto"/>
        <w:ind w:left="0"/>
        <w:contextualSpacing w:val="0"/>
        <w:jc w:val="center"/>
        <w:rPr>
          <w:b/>
        </w:rPr>
      </w:pPr>
    </w:p>
    <w:p w:rsidR="0064573C" w:rsidRDefault="0064573C" w:rsidP="0088610B">
      <w:pPr>
        <w:pStyle w:val="ListParagraph"/>
        <w:spacing w:after="120" w:line="360" w:lineRule="auto"/>
        <w:ind w:left="0"/>
        <w:contextualSpacing w:val="0"/>
        <w:jc w:val="center"/>
        <w:rPr>
          <w:b/>
        </w:rPr>
      </w:pPr>
    </w:p>
    <w:p w:rsidR="0064573C" w:rsidRDefault="0064573C" w:rsidP="0088610B">
      <w:pPr>
        <w:pStyle w:val="ListParagraph"/>
        <w:spacing w:after="120" w:line="360" w:lineRule="auto"/>
        <w:ind w:left="0"/>
        <w:contextualSpacing w:val="0"/>
        <w:jc w:val="center"/>
        <w:rPr>
          <w:b/>
        </w:rPr>
      </w:pPr>
    </w:p>
    <w:p w:rsidR="0088610B" w:rsidRDefault="0088610B" w:rsidP="0088610B">
      <w:pPr>
        <w:pStyle w:val="ListParagraph"/>
        <w:spacing w:after="120" w:line="360" w:lineRule="auto"/>
        <w:ind w:left="0"/>
        <w:contextualSpacing w:val="0"/>
        <w:jc w:val="center"/>
        <w:rPr>
          <w:b/>
        </w:rPr>
      </w:pPr>
      <w:r>
        <w:rPr>
          <w:b/>
        </w:rPr>
        <w:lastRenderedPageBreak/>
        <w:t>Supplemental Table 2: Main results on model with fixed labor supply</w:t>
      </w:r>
    </w:p>
    <w:tbl>
      <w:tblPr>
        <w:tblW w:w="0" w:type="auto"/>
        <w:jc w:val="center"/>
        <w:tblLayout w:type="fixed"/>
        <w:tblLook w:val="0000" w:firstRow="0" w:lastRow="0" w:firstColumn="0" w:lastColumn="0" w:noHBand="0" w:noVBand="0"/>
      </w:tblPr>
      <w:tblGrid>
        <w:gridCol w:w="4582"/>
        <w:gridCol w:w="1608"/>
        <w:gridCol w:w="1760"/>
        <w:gridCol w:w="1456"/>
      </w:tblGrid>
      <w:tr w:rsidR="0088610B" w:rsidTr="00FC17B9">
        <w:trPr>
          <w:trHeight w:val="624"/>
          <w:jc w:val="center"/>
        </w:trPr>
        <w:tc>
          <w:tcPr>
            <w:tcW w:w="4582" w:type="dxa"/>
            <w:tcBorders>
              <w:top w:val="nil"/>
              <w:left w:val="nil"/>
              <w:bottom w:val="single" w:sz="12" w:space="0" w:color="auto"/>
              <w:right w:val="nil"/>
            </w:tcBorders>
          </w:tcPr>
          <w:p w:rsidR="0088610B" w:rsidRDefault="0088610B" w:rsidP="00302E28">
            <w:pPr>
              <w:autoSpaceDE w:val="0"/>
              <w:autoSpaceDN w:val="0"/>
              <w:adjustRightInd w:val="0"/>
              <w:jc w:val="center"/>
              <w:rPr>
                <w:b/>
                <w:bCs/>
                <w:color w:val="000000"/>
              </w:rPr>
            </w:pPr>
            <w:r>
              <w:rPr>
                <w:b/>
                <w:bCs/>
                <w:color w:val="000000"/>
              </w:rPr>
              <w:t>Model</w:t>
            </w:r>
          </w:p>
        </w:tc>
        <w:tc>
          <w:tcPr>
            <w:tcW w:w="1608" w:type="dxa"/>
            <w:tcBorders>
              <w:top w:val="nil"/>
              <w:left w:val="nil"/>
              <w:bottom w:val="single" w:sz="12" w:space="0" w:color="auto"/>
              <w:right w:val="nil"/>
            </w:tcBorders>
          </w:tcPr>
          <w:p w:rsidR="0088610B" w:rsidRDefault="0088610B" w:rsidP="00302E28">
            <w:pPr>
              <w:autoSpaceDE w:val="0"/>
              <w:autoSpaceDN w:val="0"/>
              <w:adjustRightInd w:val="0"/>
              <w:jc w:val="center"/>
              <w:rPr>
                <w:b/>
                <w:bCs/>
                <w:color w:val="000000"/>
              </w:rPr>
            </w:pPr>
            <w:r>
              <w:rPr>
                <w:b/>
                <w:bCs/>
                <w:color w:val="000000"/>
              </w:rPr>
              <w:t>Benchmark</w:t>
            </w:r>
          </w:p>
        </w:tc>
        <w:tc>
          <w:tcPr>
            <w:tcW w:w="1760" w:type="dxa"/>
            <w:tcBorders>
              <w:top w:val="nil"/>
              <w:left w:val="nil"/>
              <w:bottom w:val="single" w:sz="12" w:space="0" w:color="auto"/>
              <w:right w:val="nil"/>
            </w:tcBorders>
          </w:tcPr>
          <w:p w:rsidR="0088610B" w:rsidRDefault="0088610B" w:rsidP="00302E28">
            <w:pPr>
              <w:autoSpaceDE w:val="0"/>
              <w:autoSpaceDN w:val="0"/>
              <w:adjustRightInd w:val="0"/>
              <w:jc w:val="center"/>
              <w:rPr>
                <w:b/>
                <w:bCs/>
                <w:color w:val="000000"/>
              </w:rPr>
            </w:pPr>
            <w:r>
              <w:rPr>
                <w:b/>
                <w:bCs/>
                <w:color w:val="000000"/>
              </w:rPr>
              <w:t>No-saving-glut counterfactual</w:t>
            </w:r>
          </w:p>
        </w:tc>
        <w:tc>
          <w:tcPr>
            <w:tcW w:w="1456" w:type="dxa"/>
            <w:tcBorders>
              <w:top w:val="nil"/>
              <w:left w:val="nil"/>
              <w:bottom w:val="single" w:sz="12" w:space="0" w:color="auto"/>
              <w:right w:val="nil"/>
            </w:tcBorders>
          </w:tcPr>
          <w:p w:rsidR="0088610B" w:rsidRDefault="0088610B" w:rsidP="00302E28">
            <w:pPr>
              <w:autoSpaceDE w:val="0"/>
              <w:autoSpaceDN w:val="0"/>
              <w:adjustRightInd w:val="0"/>
              <w:jc w:val="center"/>
              <w:rPr>
                <w:b/>
                <w:bCs/>
                <w:color w:val="000000"/>
              </w:rPr>
            </w:pPr>
            <w:r>
              <w:rPr>
                <w:b/>
                <w:bCs/>
                <w:color w:val="000000"/>
              </w:rPr>
              <w:t>Difference</w:t>
            </w:r>
          </w:p>
        </w:tc>
      </w:tr>
      <w:tr w:rsidR="0088610B" w:rsidTr="00FC17B9">
        <w:trPr>
          <w:trHeight w:val="305"/>
          <w:jc w:val="center"/>
        </w:trPr>
        <w:tc>
          <w:tcPr>
            <w:tcW w:w="4582"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Baseline</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99.27</w:t>
            </w:r>
          </w:p>
        </w:tc>
        <w:tc>
          <w:tcPr>
            <w:tcW w:w="1760"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85.01</w:t>
            </w:r>
          </w:p>
        </w:tc>
        <w:tc>
          <w:tcPr>
            <w:tcW w:w="1456"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14.26</w:t>
            </w:r>
          </w:p>
        </w:tc>
      </w:tr>
      <w:tr w:rsidR="0088610B" w:rsidTr="00FC17B9">
        <w:trPr>
          <w:trHeight w:val="305"/>
          <w:jc w:val="center"/>
        </w:trPr>
        <w:tc>
          <w:tcPr>
            <w:tcW w:w="4582"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760"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456" w:type="dxa"/>
            <w:tcBorders>
              <w:top w:val="nil"/>
              <w:left w:val="nil"/>
              <w:bottom w:val="nil"/>
              <w:right w:val="nil"/>
            </w:tcBorders>
          </w:tcPr>
          <w:p w:rsidR="0088610B" w:rsidRDefault="0088610B" w:rsidP="00302E28">
            <w:pPr>
              <w:autoSpaceDE w:val="0"/>
              <w:autoSpaceDN w:val="0"/>
              <w:adjustRightInd w:val="0"/>
              <w:jc w:val="right"/>
              <w:rPr>
                <w:color w:val="000000"/>
              </w:rPr>
            </w:pPr>
          </w:p>
        </w:tc>
      </w:tr>
      <w:tr w:rsidR="0088610B" w:rsidTr="00FC17B9">
        <w:trPr>
          <w:trHeight w:val="305"/>
          <w:jc w:val="center"/>
        </w:trPr>
        <w:tc>
          <w:tcPr>
            <w:tcW w:w="4582" w:type="dxa"/>
            <w:tcBorders>
              <w:top w:val="nil"/>
              <w:left w:val="nil"/>
              <w:bottom w:val="nil"/>
              <w:right w:val="nil"/>
            </w:tcBorders>
          </w:tcPr>
          <w:p w:rsidR="0088610B" w:rsidRDefault="0088610B" w:rsidP="00302E28">
            <w:pPr>
              <w:autoSpaceDE w:val="0"/>
              <w:autoSpaceDN w:val="0"/>
              <w:adjustRightInd w:val="0"/>
              <w:rPr>
                <w:i/>
                <w:iCs/>
                <w:color w:val="000000"/>
              </w:rPr>
            </w:pPr>
            <w:r>
              <w:rPr>
                <w:i/>
                <w:iCs/>
                <w:color w:val="000000"/>
              </w:rPr>
              <w:t>Sensitivity analyses</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760" w:type="dxa"/>
            <w:tcBorders>
              <w:top w:val="nil"/>
              <w:left w:val="nil"/>
              <w:bottom w:val="nil"/>
              <w:right w:val="nil"/>
            </w:tcBorders>
          </w:tcPr>
          <w:p w:rsidR="0088610B" w:rsidRDefault="0088610B" w:rsidP="00302E28">
            <w:pPr>
              <w:autoSpaceDE w:val="0"/>
              <w:autoSpaceDN w:val="0"/>
              <w:adjustRightInd w:val="0"/>
              <w:jc w:val="right"/>
              <w:rPr>
                <w:color w:val="000000"/>
              </w:rPr>
            </w:pPr>
          </w:p>
        </w:tc>
        <w:tc>
          <w:tcPr>
            <w:tcW w:w="1456" w:type="dxa"/>
            <w:tcBorders>
              <w:top w:val="nil"/>
              <w:left w:val="nil"/>
              <w:bottom w:val="nil"/>
              <w:right w:val="nil"/>
            </w:tcBorders>
          </w:tcPr>
          <w:p w:rsidR="0088610B" w:rsidRDefault="0088610B" w:rsidP="00302E28">
            <w:pPr>
              <w:autoSpaceDE w:val="0"/>
              <w:autoSpaceDN w:val="0"/>
              <w:adjustRightInd w:val="0"/>
              <w:jc w:val="right"/>
              <w:rPr>
                <w:color w:val="000000"/>
              </w:rPr>
            </w:pPr>
          </w:p>
        </w:tc>
      </w:tr>
      <w:tr w:rsidR="0088610B" w:rsidTr="00FC17B9">
        <w:trPr>
          <w:trHeight w:val="305"/>
          <w:jc w:val="center"/>
        </w:trPr>
        <w:tc>
          <w:tcPr>
            <w:tcW w:w="4582"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Trade wedges</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94.21</w:t>
            </w:r>
          </w:p>
        </w:tc>
        <w:tc>
          <w:tcPr>
            <w:tcW w:w="1760"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85.01</w:t>
            </w:r>
          </w:p>
        </w:tc>
        <w:tc>
          <w:tcPr>
            <w:tcW w:w="1456"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9.20</w:t>
            </w:r>
          </w:p>
        </w:tc>
      </w:tr>
      <w:tr w:rsidR="0088610B" w:rsidTr="00FC17B9">
        <w:trPr>
          <w:trHeight w:val="305"/>
          <w:jc w:val="center"/>
        </w:trPr>
        <w:tc>
          <w:tcPr>
            <w:tcW w:w="4582"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Homothetic preferences</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94.06</w:t>
            </w:r>
          </w:p>
        </w:tc>
        <w:tc>
          <w:tcPr>
            <w:tcW w:w="1760"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80.93</w:t>
            </w:r>
          </w:p>
        </w:tc>
        <w:tc>
          <w:tcPr>
            <w:tcW w:w="1456"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13.13</w:t>
            </w:r>
          </w:p>
        </w:tc>
      </w:tr>
      <w:tr w:rsidR="0088610B" w:rsidTr="00FC17B9">
        <w:trPr>
          <w:trHeight w:val="305"/>
          <w:jc w:val="center"/>
        </w:trPr>
        <w:tc>
          <w:tcPr>
            <w:tcW w:w="4582" w:type="dxa"/>
            <w:tcBorders>
              <w:top w:val="nil"/>
              <w:left w:val="nil"/>
              <w:bottom w:val="nil"/>
              <w:right w:val="nil"/>
            </w:tcBorders>
          </w:tcPr>
          <w:p w:rsidR="0088610B" w:rsidRDefault="0088610B" w:rsidP="00302E28">
            <w:pPr>
              <w:autoSpaceDE w:val="0"/>
              <w:autoSpaceDN w:val="0"/>
              <w:adjustRightInd w:val="0"/>
              <w:rPr>
                <w:color w:val="000000"/>
              </w:rPr>
            </w:pPr>
            <w:r>
              <w:rPr>
                <w:color w:val="000000"/>
              </w:rPr>
              <w:t>No intermediates</w:t>
            </w:r>
          </w:p>
        </w:tc>
        <w:tc>
          <w:tcPr>
            <w:tcW w:w="1608"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66.24</w:t>
            </w:r>
          </w:p>
        </w:tc>
        <w:tc>
          <w:tcPr>
            <w:tcW w:w="1760"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53.56</w:t>
            </w:r>
          </w:p>
        </w:tc>
        <w:tc>
          <w:tcPr>
            <w:tcW w:w="1456" w:type="dxa"/>
            <w:tcBorders>
              <w:top w:val="nil"/>
              <w:left w:val="nil"/>
              <w:bottom w:val="nil"/>
              <w:right w:val="nil"/>
            </w:tcBorders>
          </w:tcPr>
          <w:p w:rsidR="0088610B" w:rsidRDefault="0088610B" w:rsidP="00302E28">
            <w:pPr>
              <w:autoSpaceDE w:val="0"/>
              <w:autoSpaceDN w:val="0"/>
              <w:adjustRightInd w:val="0"/>
              <w:jc w:val="right"/>
              <w:rPr>
                <w:color w:val="000000"/>
              </w:rPr>
            </w:pPr>
            <w:r>
              <w:rPr>
                <w:color w:val="000000"/>
              </w:rPr>
              <w:t>12.68</w:t>
            </w:r>
          </w:p>
        </w:tc>
      </w:tr>
      <w:tr w:rsidR="0088610B" w:rsidTr="00FC17B9">
        <w:trPr>
          <w:trHeight w:val="305"/>
          <w:jc w:val="center"/>
        </w:trPr>
        <w:tc>
          <w:tcPr>
            <w:tcW w:w="4582" w:type="dxa"/>
            <w:tcBorders>
              <w:top w:val="nil"/>
              <w:left w:val="nil"/>
              <w:bottom w:val="single" w:sz="6" w:space="0" w:color="auto"/>
              <w:right w:val="nil"/>
            </w:tcBorders>
          </w:tcPr>
          <w:p w:rsidR="0088610B" w:rsidRDefault="0088610B" w:rsidP="00302E28">
            <w:pPr>
              <w:autoSpaceDE w:val="0"/>
              <w:autoSpaceDN w:val="0"/>
              <w:adjustRightInd w:val="0"/>
              <w:rPr>
                <w:color w:val="000000"/>
              </w:rPr>
            </w:pPr>
            <w:r>
              <w:rPr>
                <w:color w:val="000000"/>
              </w:rPr>
              <w:t>Same GO/GDP in all US sectors</w:t>
            </w:r>
          </w:p>
        </w:tc>
        <w:tc>
          <w:tcPr>
            <w:tcW w:w="1608" w:type="dxa"/>
            <w:tcBorders>
              <w:top w:val="nil"/>
              <w:left w:val="nil"/>
              <w:bottom w:val="single" w:sz="6" w:space="0" w:color="auto"/>
              <w:right w:val="nil"/>
            </w:tcBorders>
          </w:tcPr>
          <w:p w:rsidR="0088610B" w:rsidRDefault="0088610B" w:rsidP="00302E28">
            <w:pPr>
              <w:autoSpaceDE w:val="0"/>
              <w:autoSpaceDN w:val="0"/>
              <w:adjustRightInd w:val="0"/>
              <w:jc w:val="right"/>
              <w:rPr>
                <w:color w:val="000000"/>
              </w:rPr>
            </w:pPr>
            <w:r>
              <w:rPr>
                <w:color w:val="000000"/>
              </w:rPr>
              <w:t>86.30</w:t>
            </w:r>
          </w:p>
        </w:tc>
        <w:tc>
          <w:tcPr>
            <w:tcW w:w="1760" w:type="dxa"/>
            <w:tcBorders>
              <w:top w:val="nil"/>
              <w:left w:val="nil"/>
              <w:bottom w:val="single" w:sz="6" w:space="0" w:color="auto"/>
              <w:right w:val="nil"/>
            </w:tcBorders>
          </w:tcPr>
          <w:p w:rsidR="0088610B" w:rsidRDefault="0088610B" w:rsidP="00302E28">
            <w:pPr>
              <w:autoSpaceDE w:val="0"/>
              <w:autoSpaceDN w:val="0"/>
              <w:adjustRightInd w:val="0"/>
              <w:jc w:val="right"/>
              <w:rPr>
                <w:color w:val="000000"/>
              </w:rPr>
            </w:pPr>
            <w:r>
              <w:rPr>
                <w:color w:val="000000"/>
              </w:rPr>
              <w:t>75.62</w:t>
            </w:r>
          </w:p>
        </w:tc>
        <w:tc>
          <w:tcPr>
            <w:tcW w:w="1456" w:type="dxa"/>
            <w:tcBorders>
              <w:top w:val="nil"/>
              <w:left w:val="nil"/>
              <w:bottom w:val="single" w:sz="6" w:space="0" w:color="auto"/>
              <w:right w:val="nil"/>
            </w:tcBorders>
          </w:tcPr>
          <w:p w:rsidR="0088610B" w:rsidRDefault="0088610B" w:rsidP="00302E28">
            <w:pPr>
              <w:autoSpaceDE w:val="0"/>
              <w:autoSpaceDN w:val="0"/>
              <w:adjustRightInd w:val="0"/>
              <w:jc w:val="right"/>
              <w:rPr>
                <w:color w:val="000000"/>
              </w:rPr>
            </w:pPr>
            <w:r>
              <w:rPr>
                <w:color w:val="000000"/>
              </w:rPr>
              <w:t>10.68</w:t>
            </w:r>
          </w:p>
        </w:tc>
      </w:tr>
    </w:tbl>
    <w:p w:rsidR="0088610B" w:rsidRDefault="0088610B" w:rsidP="0088610B">
      <w:pPr>
        <w:pStyle w:val="ListParagraph"/>
        <w:spacing w:after="120" w:line="360" w:lineRule="auto"/>
        <w:ind w:left="0"/>
        <w:contextualSpacing w:val="0"/>
        <w:jc w:val="center"/>
        <w:rPr>
          <w:b/>
        </w:rPr>
      </w:pPr>
    </w:p>
    <w:p w:rsidR="00240E93" w:rsidRDefault="00240E93"/>
    <w:sectPr w:rsidR="0024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CA6"/>
    <w:rsid w:val="00240E93"/>
    <w:rsid w:val="00394B61"/>
    <w:rsid w:val="003C2B45"/>
    <w:rsid w:val="0064573C"/>
    <w:rsid w:val="00740B89"/>
    <w:rsid w:val="0088610B"/>
    <w:rsid w:val="009D1072"/>
    <w:rsid w:val="00B376F6"/>
    <w:rsid w:val="00C01CA6"/>
    <w:rsid w:val="00D61DFF"/>
    <w:rsid w:val="00FC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0BBDD9-3EDA-44AE-A881-C38BDFD8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10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610B"/>
    <w:pPr>
      <w:ind w:left="720"/>
      <w:contextualSpacing/>
    </w:pPr>
  </w:style>
  <w:style w:type="character" w:customStyle="1" w:styleId="ListParagraphChar">
    <w:name w:val="List Paragraph Char"/>
    <w:basedOn w:val="DefaultParagraphFont"/>
    <w:link w:val="ListParagraph"/>
    <w:uiPriority w:val="34"/>
    <w:rsid w:val="008861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Liberal Arts</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 Ruhl</dc:creator>
  <cp:keywords/>
  <dc:description/>
  <cp:lastModifiedBy>Kim J. Ruhl</cp:lastModifiedBy>
  <cp:revision>9</cp:revision>
  <dcterms:created xsi:type="dcterms:W3CDTF">2016-10-05T17:25:00Z</dcterms:created>
  <dcterms:modified xsi:type="dcterms:W3CDTF">2016-10-11T14:56:00Z</dcterms:modified>
</cp:coreProperties>
</file>