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7B" w:rsidRPr="0020047B" w:rsidRDefault="0020047B" w:rsidP="0020047B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1765163"/>
      <w:bookmarkStart w:id="1" w:name="_GoBack"/>
      <w:bookmarkEnd w:id="1"/>
      <w:r w:rsidRPr="0020047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轨道</w:t>
      </w:r>
      <w:r w:rsidRPr="0020047B">
        <w:rPr>
          <w:rFonts w:ascii="Times New Roman" w:eastAsia="宋体" w:hAnsi="Times New Roman" w:cs="Times New Roman"/>
          <w:b/>
          <w:bCs/>
          <w:sz w:val="32"/>
          <w:szCs w:val="32"/>
        </w:rPr>
        <w:t>角动量升降算符归一化</w:t>
      </w:r>
      <w:bookmarkEnd w:id="0"/>
    </w:p>
    <w:p w:rsidR="0020047B" w:rsidRPr="0020047B" w:rsidRDefault="0020047B" w:rsidP="0020047B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20047B">
        <w:rPr>
          <w:rFonts w:ascii="Times New Roman" w:eastAsia="宋体" w:hAnsi="Times New Roman" w:cs="Times New Roman"/>
          <w:sz w:val="16"/>
          <w:szCs w:val="16"/>
        </w:rPr>
        <w:t>2014/11/21</w:t>
      </w:r>
    </w:p>
    <w:p w:rsidR="0020047B" w:rsidRPr="0020047B" w:rsidRDefault="0020047B" w:rsidP="0020047B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预备知识</w:t>
      </w:r>
      <w:r w:rsidRPr="0020047B">
        <w:rPr>
          <w:rFonts w:ascii="Times New Roman" w:eastAsia="宋体" w:hAnsi="Times New Roman" w:cs="Times New Roman" w:hint="eastAsia"/>
          <w:sz w:val="24"/>
        </w:rPr>
        <w:t>：</w:t>
      </w:r>
      <w:r w:rsidRPr="0020047B">
        <w:rPr>
          <w:rFonts w:ascii="Times New Roman" w:eastAsia="宋体" w:hAnsi="Times New Roman" w:cs="Times New Roman" w:hint="eastAsia"/>
          <w:sz w:val="24"/>
        </w:rPr>
        <w:t xml:space="preserve"> </w:t>
      </w:r>
      <w:hyperlink w:anchor="_轨道角动量_1" w:history="1">
        <w:r w:rsidRPr="0020047B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轨道角动量</w:t>
        </w:r>
      </w:hyperlink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首先要提醒，</w:t>
      </w:r>
      <w:r w:rsidRPr="0020047B">
        <w:rPr>
          <w:rFonts w:ascii="Times New Roman" w:eastAsia="宋体" w:hAnsi="Times New Roman" w:cs="Times New Roman" w:hint="eastAsia"/>
          <w:sz w:val="24"/>
        </w:rPr>
        <w:t>一般来说，算符满足的一个条件是</w:t>
      </w:r>
      <w:r w:rsidR="00D52D1C" w:rsidRPr="00D52D1C">
        <w:rPr>
          <w:rFonts w:ascii="Times New Roman" w:eastAsia="宋体" w:hAnsi="Times New Roman" w:cs="Times New Roman"/>
          <w:position w:val="-18"/>
          <w:sz w:val="24"/>
        </w:rPr>
        <w:object w:dxaOrig="18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3.05pt;height:23.75pt" o:ole="">
            <v:imagedata r:id="rId6" o:title=""/>
          </v:shape>
          <o:OLEObject Type="Embed" ProgID="Equation.DSMT4" ShapeID="_x0000_i1035" DrawAspect="Content" ObjectID="_1491007507" r:id="rId7"/>
        </w:object>
      </w:r>
      <w:r w:rsidRPr="0020047B">
        <w:rPr>
          <w:rFonts w:ascii="Times New Roman" w:eastAsia="宋体" w:hAnsi="Times New Roman" w:cs="Times New Roman"/>
          <w:sz w:val="24"/>
        </w:rPr>
        <w:t>．但是对于厄米算符</w:t>
      </w:r>
      <w:r w:rsidRPr="0020047B">
        <w:rPr>
          <w:rFonts w:ascii="Times New Roman" w:eastAsia="宋体" w:hAnsi="Times New Roman" w:cs="Times New Roman" w:hint="eastAsia"/>
          <w:sz w:val="24"/>
        </w:rPr>
        <w:t>，</w:t>
      </w:r>
      <w:r w:rsidR="00D52D1C" w:rsidRPr="00D52D1C">
        <w:rPr>
          <w:rFonts w:ascii="Times New Roman" w:eastAsia="宋体" w:hAnsi="Times New Roman" w:cs="Times New Roman"/>
          <w:position w:val="-10"/>
          <w:sz w:val="24"/>
        </w:rPr>
        <w:object w:dxaOrig="740" w:dyaOrig="380">
          <v:shape id="_x0000_i1038" type="#_x0000_t75" style="width:36.7pt;height:19pt" o:ole="">
            <v:imagedata r:id="rId8" o:title=""/>
          </v:shape>
          <o:OLEObject Type="Embed" ProgID="Equation.DSMT4" ShapeID="_x0000_i1038" DrawAspect="Content" ObjectID="_1491007508" r:id="rId9"/>
        </w:object>
      </w:r>
      <w:r w:rsidRPr="0020047B">
        <w:rPr>
          <w:rFonts w:ascii="Times New Roman" w:eastAsia="宋体" w:hAnsi="Times New Roman" w:cs="Times New Roman"/>
          <w:sz w:val="24"/>
        </w:rPr>
        <w:t>，所以有</w:t>
      </w:r>
      <w:r w:rsidR="00D52D1C" w:rsidRPr="00D52D1C">
        <w:rPr>
          <w:rFonts w:ascii="Times New Roman" w:eastAsia="宋体" w:hAnsi="Times New Roman" w:cs="Times New Roman"/>
          <w:position w:val="-18"/>
          <w:sz w:val="24"/>
        </w:rPr>
        <w:object w:dxaOrig="1780" w:dyaOrig="480">
          <v:shape id="_x0000_i1041" type="#_x0000_t75" style="width:89pt;height:23.75pt" o:ole="">
            <v:imagedata r:id="rId10" o:title=""/>
          </v:shape>
          <o:OLEObject Type="Embed" ProgID="Equation.DSMT4" ShapeID="_x0000_i1041" DrawAspect="Content" ObjectID="_1491007509" r:id="rId11"/>
        </w:object>
      </w:r>
      <w:r w:rsidRPr="0020047B">
        <w:rPr>
          <w:rFonts w:ascii="Times New Roman" w:eastAsia="宋体" w:hAnsi="Times New Roman" w:cs="Times New Roman"/>
          <w:sz w:val="24"/>
        </w:rPr>
        <w:t>．</w: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对于角动量升算符</w:t>
      </w:r>
    </w:p>
    <w:p w:rsidR="0020047B" w:rsidRPr="0020047B" w:rsidRDefault="00D52D1C" w:rsidP="0020047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D52D1C">
        <w:rPr>
          <w:rFonts w:ascii="Times New Roman" w:eastAsia="宋体" w:hAnsi="Times New Roman" w:cs="Times New Roman"/>
          <w:position w:val="-18"/>
          <w:sz w:val="24"/>
        </w:rPr>
        <w:object w:dxaOrig="5840" w:dyaOrig="480">
          <v:shape id="_x0000_i1044" type="#_x0000_t75" style="width:292.1pt;height:23.75pt" o:ole="">
            <v:imagedata r:id="rId12" o:title=""/>
          </v:shape>
          <o:OLEObject Type="Embed" ProgID="Equation.DSMT4" ShapeID="_x0000_i1044" DrawAspect="Content" ObjectID="_1491007510" r:id="rId13"/>
        </w:objec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所以</w:t>
      </w:r>
    </w:p>
    <w:p w:rsidR="0020047B" w:rsidRPr="0020047B" w:rsidRDefault="00D52D1C" w:rsidP="0020047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D52D1C">
        <w:rPr>
          <w:rFonts w:ascii="Times New Roman" w:eastAsia="宋体" w:hAnsi="Times New Roman" w:cs="Times New Roman"/>
          <w:position w:val="-16"/>
          <w:sz w:val="24"/>
        </w:rPr>
        <w:object w:dxaOrig="6979" w:dyaOrig="440">
          <v:shape id="_x0000_i1047" type="#_x0000_t75" style="width:349.15pt;height:21.75pt" o:ole="">
            <v:imagedata r:id="rId14" o:title=""/>
          </v:shape>
          <o:OLEObject Type="Embed" ProgID="Equation.DSMT4" ShapeID="_x0000_i1047" DrawAspect="Content" ObjectID="_1491007511" r:id="rId15"/>
        </w:objec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所以</w:t>
      </w:r>
    </w:p>
    <w:p w:rsidR="0020047B" w:rsidRPr="0020047B" w:rsidRDefault="00D52D1C" w:rsidP="0020047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D52D1C">
        <w:rPr>
          <w:rFonts w:ascii="Times New Roman" w:eastAsia="宋体" w:hAnsi="Times New Roman" w:cs="Times New Roman"/>
          <w:position w:val="-18"/>
          <w:sz w:val="24"/>
        </w:rPr>
        <w:object w:dxaOrig="5460" w:dyaOrig="480">
          <v:shape id="_x0000_i1050" type="#_x0000_t75" style="width:273.05pt;height:23.75pt" o:ole="">
            <v:imagedata r:id="rId16" o:title=""/>
          </v:shape>
          <o:OLEObject Type="Embed" ProgID="Equation.DSMT4" ShapeID="_x0000_i1050" DrawAspect="Content" ObjectID="_1491007512" r:id="rId17"/>
        </w:object>
      </w:r>
      <w:r w:rsidR="0020047B" w:rsidRPr="0020047B">
        <w:rPr>
          <w:rFonts w:ascii="Times New Roman" w:eastAsia="宋体" w:hAnsi="Times New Roman" w:cs="Times New Roman"/>
          <w:sz w:val="24"/>
        </w:rPr>
        <w:t xml:space="preserve"> (1)</w: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所以</w:t>
      </w:r>
    </w:p>
    <w:p w:rsidR="0020047B" w:rsidRPr="0020047B" w:rsidRDefault="00D52D1C" w:rsidP="0020047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D52D1C">
        <w:rPr>
          <w:rFonts w:ascii="Times New Roman" w:eastAsia="宋体" w:hAnsi="Times New Roman" w:cs="Times New Roman"/>
          <w:position w:val="-16"/>
          <w:sz w:val="24"/>
        </w:rPr>
        <w:object w:dxaOrig="3300" w:dyaOrig="460">
          <v:shape id="_x0000_i1053" type="#_x0000_t75" style="width:165.05pt;height:23.1pt" o:ole="">
            <v:imagedata r:id="rId18" o:title=""/>
          </v:shape>
          <o:OLEObject Type="Embed" ProgID="Equation.DSMT4" ShapeID="_x0000_i1053" DrawAspect="Content" ObjectID="_1491007513" r:id="rId19"/>
        </w:objec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同理可证</w:t>
      </w:r>
    </w:p>
    <w:p w:rsidR="0020047B" w:rsidRPr="0020047B" w:rsidRDefault="00D52D1C" w:rsidP="0020047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D52D1C">
        <w:rPr>
          <w:rFonts w:ascii="Times New Roman" w:eastAsia="宋体" w:hAnsi="Times New Roman" w:cs="Times New Roman"/>
          <w:position w:val="-16"/>
          <w:sz w:val="24"/>
        </w:rPr>
        <w:object w:dxaOrig="3300" w:dyaOrig="460">
          <v:shape id="_x0000_i1056" type="#_x0000_t75" style="width:165.05pt;height:23.1pt" o:ole="">
            <v:imagedata r:id="rId20" o:title=""/>
          </v:shape>
          <o:OLEObject Type="Embed" ProgID="Equation.DSMT4" ShapeID="_x0000_i1056" DrawAspect="Content" ObjectID="_1491007514" r:id="rId21"/>
        </w:objec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  <w:r w:rsidRPr="0020047B">
        <w:rPr>
          <w:rFonts w:ascii="Times New Roman" w:eastAsia="宋体" w:hAnsi="Times New Roman" w:cs="Times New Roman"/>
          <w:sz w:val="24"/>
        </w:rPr>
        <w:t>严格来说</w:t>
      </w:r>
      <w:r w:rsidRPr="0020047B">
        <w:rPr>
          <w:rFonts w:ascii="Times New Roman" w:eastAsia="宋体" w:hAnsi="Times New Roman" w:cs="Times New Roman" w:hint="eastAsia"/>
          <w:sz w:val="24"/>
        </w:rPr>
        <w:t>，归一化系数后面加上任意相位因子</w:t>
      </w:r>
      <w:r w:rsidR="00D52D1C" w:rsidRPr="00D52D1C">
        <w:rPr>
          <w:rFonts w:ascii="Times New Roman" w:eastAsia="宋体" w:hAnsi="Times New Roman" w:cs="Times New Roman"/>
          <w:position w:val="-6"/>
          <w:sz w:val="24"/>
        </w:rPr>
        <w:object w:dxaOrig="300" w:dyaOrig="300">
          <v:shape id="_x0000_i1059" type="#_x0000_t75" style="width:14.95pt;height:14.95pt" o:ole="">
            <v:imagedata r:id="rId22" o:title=""/>
          </v:shape>
          <o:OLEObject Type="Embed" ProgID="Equation.DSMT4" ShapeID="_x0000_i1059" DrawAspect="Content" ObjectID="_1491007515" r:id="rId23"/>
        </w:object>
      </w:r>
      <w:r w:rsidRPr="0020047B">
        <w:rPr>
          <w:rFonts w:ascii="Times New Roman" w:eastAsia="宋体" w:hAnsi="Times New Roman" w:cs="Times New Roman"/>
          <w:sz w:val="24"/>
        </w:rPr>
        <w:t>后仍能满足</w:t>
      </w:r>
      <w:r w:rsidRPr="0020047B">
        <w:rPr>
          <w:rFonts w:ascii="Times New Roman" w:eastAsia="宋体" w:hAnsi="Times New Roman" w:cs="Times New Roman" w:hint="eastAsia"/>
          <w:sz w:val="24"/>
        </w:rPr>
        <w:t>(1)</w:t>
      </w:r>
      <w:r w:rsidRPr="0020047B">
        <w:rPr>
          <w:rFonts w:ascii="Times New Roman" w:eastAsia="宋体" w:hAnsi="Times New Roman" w:cs="Times New Roman" w:hint="eastAsia"/>
          <w:sz w:val="24"/>
        </w:rPr>
        <w:t>式，但一般省略．</w:t>
      </w: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</w:p>
    <w:p w:rsidR="0020047B" w:rsidRPr="0020047B" w:rsidRDefault="0020047B" w:rsidP="0020047B">
      <w:pPr>
        <w:snapToGrid w:val="0"/>
        <w:rPr>
          <w:rFonts w:ascii="Times New Roman" w:eastAsia="宋体" w:hAnsi="Times New Roman" w:cs="Times New Roman"/>
          <w:sz w:val="24"/>
        </w:rPr>
      </w:pPr>
    </w:p>
    <w:p w:rsidR="00AF4CDA" w:rsidRPr="0020047B" w:rsidRDefault="00AF4CDA" w:rsidP="0020047B"/>
    <w:sectPr w:rsidR="00AF4CDA" w:rsidRPr="002004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369" w:rsidRDefault="005B3369" w:rsidP="00A67C3E">
      <w:r>
        <w:separator/>
      </w:r>
    </w:p>
  </w:endnote>
  <w:endnote w:type="continuationSeparator" w:id="0">
    <w:p w:rsidR="005B3369" w:rsidRDefault="005B3369" w:rsidP="00A6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369" w:rsidRDefault="005B3369" w:rsidP="00A67C3E">
      <w:r>
        <w:separator/>
      </w:r>
    </w:p>
  </w:footnote>
  <w:footnote w:type="continuationSeparator" w:id="0">
    <w:p w:rsidR="005B3369" w:rsidRDefault="005B3369" w:rsidP="00A6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20047B"/>
    <w:rsid w:val="004F35F2"/>
    <w:rsid w:val="005B3369"/>
    <w:rsid w:val="00A67C3E"/>
    <w:rsid w:val="00AF4CDA"/>
    <w:rsid w:val="00BC17B9"/>
    <w:rsid w:val="00D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10AAB58-4087-4E20-AAFB-12E92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67C3E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C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7C3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7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2014-10-19T10:07:00Z</dcterms:created>
  <dcterms:modified xsi:type="dcterms:W3CDTF">2015-04-19T14:49:00Z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