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381CB" w14:textId="77777777" w:rsidR="00D67193" w:rsidRPr="00D67193" w:rsidRDefault="00D67193" w:rsidP="00D67193">
      <w:pPr>
        <w:widowControl/>
        <w:spacing w:before="100" w:beforeAutospacing="1" w:after="100" w:afterAutospacing="1"/>
        <w:jc w:val="left"/>
        <w:outlineLvl w:val="1"/>
        <w:rPr>
          <w:rFonts w:ascii="Arial" w:eastAsia="宋体" w:hAnsi="Arial" w:cs="Arial"/>
          <w:b/>
          <w:bCs/>
          <w:kern w:val="0"/>
        </w:rPr>
      </w:pPr>
      <w:r w:rsidRPr="00D67193">
        <w:rPr>
          <w:rFonts w:ascii="Arial" w:eastAsia="宋体" w:hAnsi="Arial" w:cs="Arial"/>
          <w:b/>
          <w:bCs/>
          <w:kern w:val="0"/>
        </w:rPr>
        <w:t>About</w:t>
      </w:r>
    </w:p>
    <w:p w14:paraId="5B273876" w14:textId="77777777" w:rsidR="00D67193" w:rsidRPr="005B282B" w:rsidRDefault="00D67193" w:rsidP="00D67193">
      <w:pPr>
        <w:widowControl/>
        <w:spacing w:before="100" w:beforeAutospacing="1" w:after="100" w:afterAutospacing="1"/>
        <w:jc w:val="left"/>
        <w:rPr>
          <w:rFonts w:ascii="Arial" w:eastAsia="宋体" w:hAnsi="Arial" w:cs="Arial"/>
          <w:kern w:val="0"/>
        </w:rPr>
      </w:pPr>
      <w:r w:rsidRPr="00D67193">
        <w:rPr>
          <w:rFonts w:ascii="Arial" w:eastAsia="宋体" w:hAnsi="Arial" w:cs="Arial"/>
          <w:kern w:val="0"/>
        </w:rPr>
        <w:t>Macrocycles, defined as rings of at least 12 heavy atoms, have garnered significant attention across various scientific fields, including drug discovery [1]. Their appeal lies in their capacity to provide functional diversity and stereochemical complexity. This distinctive structural attribute empowers macrocycles to bind with high affinity and selectivity to ‘difficult to drug’ targets that are challenging to modulate with traditional small-molecule drugs or adhere to the Rule of Five (Ro5) [2-4]. Despite their size, macrocycles may still possess sufficient cell permeability and bioavailability, rendering them promising candidates for oral administration. While macrocyclic drugs were historically derived from natural sources, there is a growing inclination towards the de novo design of macrocycles as approved pharmaceuticals.[1] The rational design of potent, cell-permeable, orally available macrocyclic drugs poses numerous challenges, particularly concerning synthesis and conformational prediction [5-7].</w:t>
      </w:r>
    </w:p>
    <w:p w14:paraId="0AAE0068" w14:textId="77777777" w:rsidR="00D67193" w:rsidRPr="00D67193" w:rsidRDefault="00D67193" w:rsidP="00D67193">
      <w:pPr>
        <w:widowControl/>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The process of passive cell permeability involves several complex steps, including </w:t>
      </w:r>
      <w:proofErr w:type="spellStart"/>
      <w:r w:rsidRPr="00D67193">
        <w:rPr>
          <w:rFonts w:ascii="Arial" w:eastAsia="宋体" w:hAnsi="Arial" w:cs="Arial"/>
          <w:kern w:val="0"/>
        </w:rPr>
        <w:t>desolvation</w:t>
      </w:r>
      <w:proofErr w:type="spellEnd"/>
      <w:r w:rsidRPr="00D67193">
        <w:rPr>
          <w:rFonts w:ascii="Arial" w:eastAsia="宋体" w:hAnsi="Arial" w:cs="Arial"/>
          <w:kern w:val="0"/>
        </w:rPr>
        <w:t xml:space="preserve"> when the drug transitions from the extracellular aqueous environment to interacting with the negatively charged phospholipid head groups before penetrating the hydrophobic membrane interior. These steps are then reversed as the drug moves into the cytosol. Each of these processes is influenced to varying degrees by the molecular properties of the drug. For example, the compound's polarity, represented by its 3D polar surface area (PSA), significantly impacts the </w:t>
      </w:r>
      <w:proofErr w:type="spellStart"/>
      <w:r w:rsidRPr="00D67193">
        <w:rPr>
          <w:rFonts w:ascii="Arial" w:eastAsia="宋体" w:hAnsi="Arial" w:cs="Arial"/>
          <w:kern w:val="0"/>
        </w:rPr>
        <w:t>desolvation</w:t>
      </w:r>
      <w:proofErr w:type="spellEnd"/>
      <w:r w:rsidRPr="00D67193">
        <w:rPr>
          <w:rFonts w:ascii="Arial" w:eastAsia="宋体" w:hAnsi="Arial" w:cs="Arial"/>
          <w:kern w:val="0"/>
        </w:rPr>
        <w:t xml:space="preserve"> kinetics. The compound's size, approximated by the radius of gyration (</w:t>
      </w:r>
      <w:proofErr w:type="spellStart"/>
      <w:r w:rsidRPr="00D67193">
        <w:rPr>
          <w:rFonts w:ascii="Arial" w:eastAsia="宋体" w:hAnsi="Arial" w:cs="Arial"/>
          <w:kern w:val="0"/>
        </w:rPr>
        <w:t>R</w:t>
      </w:r>
      <w:r w:rsidRPr="00D67193">
        <w:rPr>
          <w:rFonts w:ascii="Arial" w:eastAsia="宋体" w:hAnsi="Arial" w:cs="Arial"/>
          <w:kern w:val="0"/>
          <w:vertAlign w:val="subscript"/>
        </w:rPr>
        <w:t>gyr</w:t>
      </w:r>
      <w:proofErr w:type="spellEnd"/>
      <w:r w:rsidRPr="00D67193">
        <w:rPr>
          <w:rFonts w:ascii="Arial" w:eastAsia="宋体" w:hAnsi="Arial" w:cs="Arial"/>
          <w:kern w:val="0"/>
        </w:rPr>
        <w:t>), affects the rate of diffusion across the membrane, while its lipophilicity (</w:t>
      </w:r>
      <w:proofErr w:type="spellStart"/>
      <w:r w:rsidRPr="00D67193">
        <w:rPr>
          <w:rFonts w:ascii="Arial" w:eastAsia="宋体" w:hAnsi="Arial" w:cs="Arial"/>
          <w:kern w:val="0"/>
        </w:rPr>
        <w:t>cLogP</w:t>
      </w:r>
      <w:proofErr w:type="spellEnd"/>
      <w:r w:rsidRPr="00D67193">
        <w:rPr>
          <w:rFonts w:ascii="Arial" w:eastAsia="宋体" w:hAnsi="Arial" w:cs="Arial"/>
          <w:kern w:val="0"/>
        </w:rPr>
        <w:t xml:space="preserve"> or </w:t>
      </w:r>
      <w:proofErr w:type="spellStart"/>
      <w:r w:rsidRPr="00D67193">
        <w:rPr>
          <w:rFonts w:ascii="Arial" w:eastAsia="宋体" w:hAnsi="Arial" w:cs="Arial"/>
          <w:kern w:val="0"/>
        </w:rPr>
        <w:t>cLogD</w:t>
      </w:r>
      <w:proofErr w:type="spellEnd"/>
      <w:r w:rsidRPr="00D67193">
        <w:rPr>
          <w:rFonts w:ascii="Arial" w:eastAsia="宋体" w:hAnsi="Arial" w:cs="Arial"/>
          <w:kern w:val="0"/>
        </w:rPr>
        <w:t>) is crucial for the thermodynamics of permeation [6]. </w:t>
      </w:r>
    </w:p>
    <w:p w14:paraId="50523AB8" w14:textId="77777777" w:rsidR="00D67193" w:rsidRPr="00D67193" w:rsidRDefault="00D67193" w:rsidP="00D67193">
      <w:pPr>
        <w:widowControl/>
        <w:jc w:val="center"/>
        <w:rPr>
          <w:rFonts w:ascii="Arial" w:eastAsia="宋体" w:hAnsi="Arial" w:cs="Arial"/>
          <w:kern w:val="0"/>
        </w:rPr>
      </w:pPr>
      <w:r w:rsidRPr="00D67193">
        <w:rPr>
          <w:rFonts w:ascii="Arial" w:eastAsia="宋体" w:hAnsi="Arial" w:cs="Arial"/>
          <w:kern w:val="0"/>
        </w:rPr>
        <w:fldChar w:fldCharType="begin"/>
      </w:r>
      <w:r w:rsidRPr="00D67193">
        <w:rPr>
          <w:rFonts w:ascii="Arial" w:eastAsia="宋体" w:hAnsi="Arial" w:cs="Arial"/>
          <w:kern w:val="0"/>
        </w:rPr>
        <w:instrText xml:space="preserve"> INCLUDEPICTURE "/Users/qiushifeng/Library/Group Containers/UBF8T346G9.ms/WebArchiveCopyPasteTempFiles/com.microsoft.Word/about1_3.png" \* MERGEFORMATINET </w:instrText>
      </w:r>
      <w:r w:rsidRPr="00D67193">
        <w:rPr>
          <w:rFonts w:ascii="Arial" w:eastAsia="宋体" w:hAnsi="Arial" w:cs="Arial"/>
          <w:kern w:val="0"/>
        </w:rPr>
        <w:fldChar w:fldCharType="separate"/>
      </w:r>
      <w:r w:rsidRPr="00D67193">
        <w:rPr>
          <w:rFonts w:ascii="Arial" w:eastAsia="宋体" w:hAnsi="Arial" w:cs="Arial"/>
          <w:noProof/>
          <w:kern w:val="0"/>
        </w:rPr>
        <w:drawing>
          <wp:inline distT="0" distB="0" distL="0" distR="0" wp14:anchorId="53F86A82" wp14:editId="37C37EDF">
            <wp:extent cx="5274310" cy="2426970"/>
            <wp:effectExtent l="0" t="0" r="0" b="0"/>
            <wp:docPr id="248968393" name="图片 3" descr="Macrocyclic Compound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rocyclic Compounds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426970"/>
                    </a:xfrm>
                    <a:prstGeom prst="rect">
                      <a:avLst/>
                    </a:prstGeom>
                    <a:noFill/>
                    <a:ln>
                      <a:noFill/>
                    </a:ln>
                  </pic:spPr>
                </pic:pic>
              </a:graphicData>
            </a:graphic>
          </wp:inline>
        </w:drawing>
      </w:r>
      <w:r w:rsidRPr="00D67193">
        <w:rPr>
          <w:rFonts w:ascii="Arial" w:eastAsia="宋体" w:hAnsi="Arial" w:cs="Arial"/>
          <w:kern w:val="0"/>
        </w:rPr>
        <w:fldChar w:fldCharType="end"/>
      </w:r>
    </w:p>
    <w:p w14:paraId="7DA393BC" w14:textId="77777777" w:rsidR="00D67193" w:rsidRPr="00D67193" w:rsidRDefault="00D67193" w:rsidP="00D67193">
      <w:pPr>
        <w:widowControl/>
        <w:spacing w:before="100" w:beforeAutospacing="1" w:after="100" w:afterAutospacing="1"/>
        <w:jc w:val="left"/>
        <w:rPr>
          <w:rFonts w:ascii="Arial" w:eastAsia="宋体" w:hAnsi="Arial" w:cs="Arial"/>
          <w:kern w:val="0"/>
        </w:rPr>
      </w:pPr>
      <w:r w:rsidRPr="00D67193">
        <w:rPr>
          <w:rFonts w:ascii="Arial" w:eastAsia="宋体" w:hAnsi="Arial" w:cs="Arial"/>
          <w:b/>
          <w:bCs/>
          <w:kern w:val="0"/>
        </w:rPr>
        <w:t>Figure 1.</w:t>
      </w:r>
      <w:r w:rsidRPr="00D67193">
        <w:rPr>
          <w:rFonts w:ascii="Arial" w:eastAsia="宋体" w:hAnsi="Arial" w:cs="Arial"/>
          <w:kern w:val="0"/>
        </w:rPr>
        <w:t xml:space="preserve"> Schematic representation of passive permeability of </w:t>
      </w:r>
      <w:proofErr w:type="spellStart"/>
      <w:r w:rsidRPr="00D67193">
        <w:rPr>
          <w:rFonts w:ascii="Arial" w:eastAsia="宋体" w:hAnsi="Arial" w:cs="Arial"/>
          <w:kern w:val="0"/>
        </w:rPr>
        <w:t>telithrothromycin</w:t>
      </w:r>
      <w:proofErr w:type="spellEnd"/>
      <w:r w:rsidRPr="00D67193">
        <w:rPr>
          <w:rFonts w:ascii="Arial" w:eastAsia="宋体" w:hAnsi="Arial" w:cs="Arial"/>
          <w:kern w:val="0"/>
        </w:rPr>
        <w:t xml:space="preserve"> is shown[8].</w:t>
      </w:r>
    </w:p>
    <w:p w14:paraId="07678CE9" w14:textId="77777777" w:rsidR="00D67193" w:rsidRPr="00D67193" w:rsidRDefault="00D67193" w:rsidP="00D67193">
      <w:pPr>
        <w:widowControl/>
        <w:spacing w:before="100" w:beforeAutospacing="1" w:after="100" w:afterAutospacing="1"/>
        <w:jc w:val="left"/>
        <w:outlineLvl w:val="1"/>
        <w:rPr>
          <w:rFonts w:ascii="Arial" w:eastAsia="宋体" w:hAnsi="Arial" w:cs="Arial"/>
          <w:b/>
          <w:bCs/>
          <w:kern w:val="0"/>
        </w:rPr>
      </w:pPr>
      <w:r w:rsidRPr="00D67193">
        <w:rPr>
          <w:rFonts w:ascii="Arial" w:eastAsia="宋体" w:hAnsi="Arial" w:cs="Arial"/>
          <w:b/>
          <w:bCs/>
          <w:kern w:val="0"/>
        </w:rPr>
        <w:lastRenderedPageBreak/>
        <w:t>Curation of Cell Permeability Data for Predictive Modeling</w:t>
      </w:r>
    </w:p>
    <w:p w14:paraId="2A9572A1" w14:textId="77777777" w:rsidR="00D67193" w:rsidRPr="00D67193" w:rsidRDefault="00D67193" w:rsidP="00D67193">
      <w:pPr>
        <w:widowControl/>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Quantitative structure-permeability relationship (QSPR) methods are commonly used to model permeability in drug discovery. These methods rely on statistical relationships derived from experimental permeability data and physicochemical descriptors, such as PSA, </w:t>
      </w:r>
      <w:proofErr w:type="spellStart"/>
      <w:r w:rsidRPr="00D67193">
        <w:rPr>
          <w:rFonts w:ascii="Arial" w:eastAsia="宋体" w:hAnsi="Arial" w:cs="Arial"/>
          <w:kern w:val="0"/>
        </w:rPr>
        <w:t>R</w:t>
      </w:r>
      <w:r w:rsidRPr="00D67193">
        <w:rPr>
          <w:rFonts w:ascii="Arial" w:eastAsia="宋体" w:hAnsi="Arial" w:cs="Arial"/>
          <w:kern w:val="0"/>
          <w:vertAlign w:val="subscript"/>
        </w:rPr>
        <w:t>gyr</w:t>
      </w:r>
      <w:proofErr w:type="spellEnd"/>
      <w:r w:rsidRPr="00D67193">
        <w:rPr>
          <w:rFonts w:ascii="Arial" w:eastAsia="宋体" w:hAnsi="Arial" w:cs="Arial"/>
          <w:kern w:val="0"/>
        </w:rPr>
        <w:t xml:space="preserve">, and </w:t>
      </w:r>
      <w:proofErr w:type="spellStart"/>
      <w:r w:rsidRPr="00D67193">
        <w:rPr>
          <w:rFonts w:ascii="Arial" w:eastAsia="宋体" w:hAnsi="Arial" w:cs="Arial"/>
          <w:kern w:val="0"/>
        </w:rPr>
        <w:t>cLogP</w:t>
      </w:r>
      <w:proofErr w:type="spellEnd"/>
      <w:r w:rsidRPr="00D67193">
        <w:rPr>
          <w:rFonts w:ascii="Arial" w:eastAsia="宋体" w:hAnsi="Arial" w:cs="Arial"/>
          <w:kern w:val="0"/>
        </w:rPr>
        <w:t>/D, calculated for a set of compounds used for training [6-9]. Alternatively, some models are developed based directly on the physical processes involved. Physics-based models have provided a deeper understanding of how macrocycles can cross cell membranes.[10]</w:t>
      </w:r>
    </w:p>
    <w:p w14:paraId="425B55DE" w14:textId="77777777" w:rsidR="00D67193" w:rsidRPr="00D67193" w:rsidRDefault="00D67193" w:rsidP="00D67193">
      <w:pPr>
        <w:widowControl/>
        <w:spacing w:before="100" w:beforeAutospacing="1" w:after="100" w:afterAutospacing="1"/>
        <w:jc w:val="left"/>
        <w:rPr>
          <w:rFonts w:ascii="Arial" w:eastAsia="宋体" w:hAnsi="Arial" w:cs="Arial"/>
          <w:kern w:val="0"/>
        </w:rPr>
      </w:pPr>
      <w:r w:rsidRPr="00D67193">
        <w:rPr>
          <w:rFonts w:ascii="Arial" w:eastAsia="宋体" w:hAnsi="Arial" w:cs="Arial"/>
          <w:kern w:val="0"/>
        </w:rPr>
        <w:t>To facilitate the accurate and efficient computational prediction of permeability, it is crucial to collect and curate experimental data with structural information, making it accessible to the scientific community. Our initiative draws inspiration from the recent work of Li J et al., [11] who created </w:t>
      </w:r>
      <w:hyperlink r:id="rId6" w:history="1">
        <w:r w:rsidRPr="00D67193">
          <w:rPr>
            <w:rFonts w:ascii="Arial" w:eastAsia="宋体" w:hAnsi="Arial" w:cs="Arial"/>
            <w:color w:val="0000FF"/>
            <w:kern w:val="0"/>
            <w:u w:val="single"/>
          </w:rPr>
          <w:t>CycPeptMPDB</w:t>
        </w:r>
      </w:hyperlink>
      <w:r w:rsidRPr="00D67193">
        <w:rPr>
          <w:rFonts w:ascii="Arial" w:eastAsia="宋体" w:hAnsi="Arial" w:cs="Arial"/>
          <w:kern w:val="0"/>
        </w:rPr>
        <w:t xml:space="preserve">, a comprehensive database focusing on membrane permeability for cyclic peptides, comprising over 7000 cyclic peptides from various publications. However, Li J's database is confined to cyclic peptides and does not include any nonpeptidic macrocycles. In our web server, we have established a cell permeability database specifically for nonpeptidic macrocycles, serving as a comprehensive online resource for macrocycles with cell permeability. This database contains curated macrocycles (both semi-peptide and non-peptide) sourced from scientific literature, patents, and various bioactivity data repositories. It includes structures and cell permeability data obtained from different assays, endpoints, and molecular features for 4602 unique macrocycles. These data are readily accessible and downloadable through the web server </w:t>
      </w:r>
      <w:r w:rsidRPr="005B282B">
        <w:rPr>
          <w:rFonts w:ascii="Arial" w:eastAsia="宋体" w:hAnsi="Arial" w:cs="Arial"/>
          <w:kern w:val="0"/>
          <w:highlight w:val="yellow"/>
        </w:rPr>
        <w:t>(http://swemacrocycle.com)</w:t>
      </w:r>
      <w:r w:rsidRPr="00D67193">
        <w:rPr>
          <w:rFonts w:ascii="Arial" w:eastAsia="宋体" w:hAnsi="Arial" w:cs="Arial"/>
          <w:kern w:val="0"/>
        </w:rPr>
        <w:t xml:space="preserve"> for further modeling purposes. The diversity of the dataset based on fingerprinting is showcased using the TMAP, with various assays and features highlighted.</w:t>
      </w:r>
    </w:p>
    <w:p w14:paraId="44F9F526" w14:textId="439DB3BB" w:rsidR="00D67193" w:rsidRPr="00D67193" w:rsidRDefault="00D67193" w:rsidP="00D67193">
      <w:pPr>
        <w:widowControl/>
        <w:jc w:val="center"/>
        <w:rPr>
          <w:rFonts w:ascii="Arial" w:eastAsia="宋体" w:hAnsi="Arial" w:cs="Arial"/>
          <w:kern w:val="0"/>
        </w:rPr>
      </w:pPr>
      <w:r w:rsidRPr="00D67193">
        <w:rPr>
          <w:rFonts w:ascii="Arial" w:eastAsia="宋体" w:hAnsi="Arial" w:cs="Arial"/>
          <w:noProof/>
          <w:kern w:val="0"/>
        </w:rPr>
        <w:drawing>
          <wp:anchor distT="0" distB="0" distL="114300" distR="114300" simplePos="0" relativeHeight="251658240" behindDoc="1" locked="0" layoutInCell="1" allowOverlap="1" wp14:anchorId="2EAAC27A" wp14:editId="346B09C7">
            <wp:simplePos x="0" y="0"/>
            <wp:positionH relativeFrom="column">
              <wp:posOffset>-362223</wp:posOffset>
            </wp:positionH>
            <wp:positionV relativeFrom="paragraph">
              <wp:posOffset>540603</wp:posOffset>
            </wp:positionV>
            <wp:extent cx="2999105" cy="1301115"/>
            <wp:effectExtent l="0" t="0" r="0" b="0"/>
            <wp:wrapTight wrapText="bothSides">
              <wp:wrapPolygon edited="0">
                <wp:start x="0" y="0"/>
                <wp:lineTo x="0" y="21294"/>
                <wp:lineTo x="21495" y="21294"/>
                <wp:lineTo x="21495" y="0"/>
                <wp:lineTo x="0" y="0"/>
              </wp:wrapPolygon>
            </wp:wrapTight>
            <wp:docPr id="2078331960" name="图片 2" descr="Macrocyclic Compound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rocyclic Compounds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9105" cy="1301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7193">
        <w:rPr>
          <w:rFonts w:ascii="Arial" w:eastAsia="宋体" w:hAnsi="Arial" w:cs="Arial"/>
          <w:kern w:val="0"/>
        </w:rPr>
        <w:fldChar w:fldCharType="begin"/>
      </w:r>
      <w:r w:rsidRPr="00D67193">
        <w:rPr>
          <w:rFonts w:ascii="Arial" w:eastAsia="宋体" w:hAnsi="Arial" w:cs="Arial"/>
          <w:kern w:val="0"/>
        </w:rPr>
        <w:instrText xml:space="preserve"> INCLUDEPICTURE "/Users/qiushifeng/Library/Group Containers/UBF8T346G9.ms/WebArchiveCopyPasteTempFiles/com.microsoft.Word/About_4.tiff" \* MERGEFORMATINET </w:instrText>
      </w:r>
      <w:r w:rsidR="005B282B">
        <w:rPr>
          <w:rFonts w:ascii="Arial" w:eastAsia="宋体" w:hAnsi="Arial" w:cs="Arial"/>
          <w:kern w:val="0"/>
        </w:rPr>
        <w:fldChar w:fldCharType="separate"/>
      </w:r>
      <w:r w:rsidRPr="00D67193">
        <w:rPr>
          <w:rFonts w:ascii="Arial" w:eastAsia="宋体" w:hAnsi="Arial" w:cs="Arial"/>
          <w:kern w:val="0"/>
        </w:rPr>
        <w:fldChar w:fldCharType="end"/>
      </w:r>
      <w:r w:rsidRPr="00D67193">
        <w:rPr>
          <w:rFonts w:ascii="Arial" w:eastAsia="宋体" w:hAnsi="Arial" w:cs="Arial"/>
          <w:kern w:val="0"/>
        </w:rPr>
        <w:t> </w:t>
      </w:r>
      <w:r w:rsidRPr="00D67193">
        <w:rPr>
          <w:rFonts w:ascii="Arial" w:eastAsia="宋体" w:hAnsi="Arial" w:cs="Arial"/>
          <w:kern w:val="0"/>
        </w:rPr>
        <w:fldChar w:fldCharType="begin"/>
      </w:r>
      <w:r w:rsidRPr="00D67193">
        <w:rPr>
          <w:rFonts w:ascii="Arial" w:eastAsia="宋体" w:hAnsi="Arial" w:cs="Arial"/>
          <w:kern w:val="0"/>
        </w:rPr>
        <w:instrText xml:space="preserve"> INCLUDEPICTURE "/Users/qiushifeng/Library/Group Containers/UBF8T346G9.ms/WebArchiveCopyPasteTempFiles/com.microsoft.Word/about2.png" \* MERGEFORMATINET </w:instrText>
      </w:r>
      <w:r w:rsidRPr="00D67193">
        <w:rPr>
          <w:rFonts w:ascii="Arial" w:eastAsia="宋体" w:hAnsi="Arial" w:cs="Arial"/>
          <w:kern w:val="0"/>
        </w:rPr>
        <w:fldChar w:fldCharType="separate"/>
      </w:r>
      <w:r w:rsidRPr="00D67193">
        <w:rPr>
          <w:rFonts w:ascii="Arial" w:eastAsia="宋体" w:hAnsi="Arial" w:cs="Arial"/>
          <w:noProof/>
          <w:kern w:val="0"/>
        </w:rPr>
        <w:drawing>
          <wp:inline distT="0" distB="0" distL="0" distR="0" wp14:anchorId="0450C9E3" wp14:editId="5266B9C0">
            <wp:extent cx="2224804" cy="1875521"/>
            <wp:effectExtent l="0" t="0" r="0" b="4445"/>
            <wp:docPr id="1119569218" name="图片 1" descr="Macrocyclic Compound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rocyclic Compounds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4191" cy="1917154"/>
                    </a:xfrm>
                    <a:prstGeom prst="rect">
                      <a:avLst/>
                    </a:prstGeom>
                    <a:noFill/>
                    <a:ln>
                      <a:noFill/>
                    </a:ln>
                  </pic:spPr>
                </pic:pic>
              </a:graphicData>
            </a:graphic>
          </wp:inline>
        </w:drawing>
      </w:r>
      <w:r w:rsidRPr="00D67193">
        <w:rPr>
          <w:rFonts w:ascii="Arial" w:eastAsia="宋体" w:hAnsi="Arial" w:cs="Arial"/>
          <w:kern w:val="0"/>
        </w:rPr>
        <w:fldChar w:fldCharType="end"/>
      </w:r>
    </w:p>
    <w:p w14:paraId="443E81EE" w14:textId="77777777" w:rsidR="00D67193" w:rsidRPr="00D67193" w:rsidRDefault="00D67193" w:rsidP="00D67193">
      <w:pPr>
        <w:widowControl/>
        <w:spacing w:before="100" w:beforeAutospacing="1" w:after="100" w:afterAutospacing="1"/>
        <w:jc w:val="left"/>
        <w:rPr>
          <w:rFonts w:ascii="Arial" w:eastAsia="宋体" w:hAnsi="Arial" w:cs="Arial"/>
          <w:kern w:val="0"/>
        </w:rPr>
      </w:pPr>
      <w:r w:rsidRPr="00D67193">
        <w:rPr>
          <w:rFonts w:ascii="Arial" w:eastAsia="宋体" w:hAnsi="Arial" w:cs="Arial"/>
          <w:b/>
          <w:bCs/>
          <w:kern w:val="0"/>
        </w:rPr>
        <w:t>Figure 2.</w:t>
      </w:r>
      <w:r w:rsidRPr="00D67193">
        <w:rPr>
          <w:rFonts w:ascii="Arial" w:eastAsia="宋体" w:hAnsi="Arial" w:cs="Arial"/>
          <w:kern w:val="0"/>
        </w:rPr>
        <w:t xml:space="preserve"> Left </w:t>
      </w:r>
      <w:proofErr w:type="spellStart"/>
      <w:r w:rsidRPr="00D67193">
        <w:rPr>
          <w:rFonts w:ascii="Arial" w:eastAsia="宋体" w:hAnsi="Arial" w:cs="Arial"/>
          <w:kern w:val="0"/>
        </w:rPr>
        <w:t>Panel:The</w:t>
      </w:r>
      <w:proofErr w:type="spellEnd"/>
      <w:r w:rsidRPr="00D67193">
        <w:rPr>
          <w:rFonts w:ascii="Arial" w:eastAsia="宋体" w:hAnsi="Arial" w:cs="Arial"/>
          <w:kern w:val="0"/>
        </w:rPr>
        <w:t xml:space="preserve"> workflow of the cell permeability database for nonpeptidic macrocycles. Structures and permeability data were retrieved from the literature, patents, and scientific databases, followed by manual curation. The webserver provides readily downloadable datasets for various </w:t>
      </w:r>
      <w:r w:rsidRPr="00D67193">
        <w:rPr>
          <w:rFonts w:ascii="Arial" w:eastAsia="宋体" w:hAnsi="Arial" w:cs="Arial"/>
          <w:kern w:val="0"/>
        </w:rPr>
        <w:lastRenderedPageBreak/>
        <w:t>cell permeability assays and endpoints. Additionally, the webserver incorporates analyses based on various physicochemical descriptors. Right Panel: Diversity of non-peptidic macrocyclic dataset(n=5646) is visualized using TMAP tool. Various assays and features are highlighted.</w:t>
      </w:r>
    </w:p>
    <w:p w14:paraId="2D0B5A1C" w14:textId="77777777" w:rsidR="00D67193" w:rsidRPr="00D67193" w:rsidRDefault="00D67193" w:rsidP="00D67193">
      <w:pPr>
        <w:widowControl/>
        <w:spacing w:before="100" w:beforeAutospacing="1" w:after="100" w:afterAutospacing="1"/>
        <w:jc w:val="left"/>
        <w:outlineLvl w:val="1"/>
        <w:rPr>
          <w:rFonts w:ascii="Arial" w:eastAsia="宋体" w:hAnsi="Arial" w:cs="Arial"/>
          <w:b/>
          <w:bCs/>
          <w:kern w:val="0"/>
        </w:rPr>
      </w:pPr>
      <w:r w:rsidRPr="00D67193">
        <w:rPr>
          <w:rFonts w:ascii="Arial" w:eastAsia="宋体" w:hAnsi="Arial" w:cs="Arial"/>
          <w:b/>
          <w:bCs/>
          <w:kern w:val="0"/>
        </w:rPr>
        <w:t>Reference</w:t>
      </w:r>
    </w:p>
    <w:p w14:paraId="278CA510"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Garcia Jimenez, D.; </w:t>
      </w:r>
      <w:proofErr w:type="spellStart"/>
      <w:r w:rsidRPr="00D67193">
        <w:rPr>
          <w:rFonts w:ascii="Arial" w:eastAsia="宋体" w:hAnsi="Arial" w:cs="Arial"/>
          <w:kern w:val="0"/>
        </w:rPr>
        <w:t>Poongavanam</w:t>
      </w:r>
      <w:proofErr w:type="spellEnd"/>
      <w:r w:rsidRPr="00D67193">
        <w:rPr>
          <w:rFonts w:ascii="Arial" w:eastAsia="宋体" w:hAnsi="Arial" w:cs="Arial"/>
          <w:kern w:val="0"/>
        </w:rPr>
        <w:t xml:space="preserve">, V.; </w:t>
      </w:r>
      <w:proofErr w:type="spellStart"/>
      <w:r w:rsidRPr="00D67193">
        <w:rPr>
          <w:rFonts w:ascii="Arial" w:eastAsia="宋体" w:hAnsi="Arial" w:cs="Arial"/>
          <w:kern w:val="0"/>
        </w:rPr>
        <w:t>Kihlberg</w:t>
      </w:r>
      <w:proofErr w:type="spellEnd"/>
      <w:r w:rsidRPr="00D67193">
        <w:rPr>
          <w:rFonts w:ascii="Arial" w:eastAsia="宋体" w:hAnsi="Arial" w:cs="Arial"/>
          <w:kern w:val="0"/>
        </w:rPr>
        <w:t>, J. Macrocycles in drug discovery─ learning from the past for the future. </w:t>
      </w:r>
      <w:r w:rsidRPr="00D67193">
        <w:rPr>
          <w:rFonts w:ascii="Arial" w:eastAsia="宋体" w:hAnsi="Arial" w:cs="Arial"/>
          <w:i/>
          <w:iCs/>
          <w:kern w:val="0"/>
        </w:rPr>
        <w:t>Journal of Medicinal Chemistry</w:t>
      </w:r>
      <w:r w:rsidRPr="00D67193">
        <w:rPr>
          <w:rFonts w:ascii="Arial" w:eastAsia="宋体" w:hAnsi="Arial" w:cs="Arial"/>
          <w:kern w:val="0"/>
        </w:rPr>
        <w:t> </w:t>
      </w:r>
      <w:r w:rsidRPr="00D67193">
        <w:rPr>
          <w:rFonts w:ascii="Arial" w:eastAsia="宋体" w:hAnsi="Arial" w:cs="Arial"/>
          <w:b/>
          <w:bCs/>
          <w:kern w:val="0"/>
        </w:rPr>
        <w:t>2023</w:t>
      </w:r>
      <w:r w:rsidRPr="00D67193">
        <w:rPr>
          <w:rFonts w:ascii="Arial" w:eastAsia="宋体" w:hAnsi="Arial" w:cs="Arial"/>
          <w:kern w:val="0"/>
        </w:rPr>
        <w:t>, 66 (8), 5377-5396.</w:t>
      </w:r>
    </w:p>
    <w:p w14:paraId="59A515D3"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proofErr w:type="spellStart"/>
      <w:r w:rsidRPr="00D67193">
        <w:rPr>
          <w:rFonts w:ascii="Arial" w:eastAsia="宋体" w:hAnsi="Arial" w:cs="Arial"/>
          <w:kern w:val="0"/>
        </w:rPr>
        <w:t>Giordanetto</w:t>
      </w:r>
      <w:proofErr w:type="spellEnd"/>
      <w:r w:rsidRPr="00D67193">
        <w:rPr>
          <w:rFonts w:ascii="Arial" w:eastAsia="宋体" w:hAnsi="Arial" w:cs="Arial"/>
          <w:kern w:val="0"/>
        </w:rPr>
        <w:t xml:space="preserve">, F.; </w:t>
      </w:r>
      <w:proofErr w:type="spellStart"/>
      <w:r w:rsidRPr="00D67193">
        <w:rPr>
          <w:rFonts w:ascii="Arial" w:eastAsia="宋体" w:hAnsi="Arial" w:cs="Arial"/>
          <w:kern w:val="0"/>
        </w:rPr>
        <w:t>Kihlberg</w:t>
      </w:r>
      <w:proofErr w:type="spellEnd"/>
      <w:r w:rsidRPr="00D67193">
        <w:rPr>
          <w:rFonts w:ascii="Arial" w:eastAsia="宋体" w:hAnsi="Arial" w:cs="Arial"/>
          <w:kern w:val="0"/>
        </w:rPr>
        <w:t>, J. Macrocyclic drugs and clinical candidates: what can medicinal chemists learn from their properties? </w:t>
      </w:r>
      <w:r w:rsidRPr="00D67193">
        <w:rPr>
          <w:rFonts w:ascii="Arial" w:eastAsia="宋体" w:hAnsi="Arial" w:cs="Arial"/>
          <w:i/>
          <w:iCs/>
          <w:kern w:val="0"/>
        </w:rPr>
        <w:t>Journal of medicinal chemistry</w:t>
      </w:r>
      <w:r w:rsidRPr="00D67193">
        <w:rPr>
          <w:rFonts w:ascii="Arial" w:eastAsia="宋体" w:hAnsi="Arial" w:cs="Arial"/>
          <w:kern w:val="0"/>
        </w:rPr>
        <w:t> </w:t>
      </w:r>
      <w:r w:rsidRPr="00D67193">
        <w:rPr>
          <w:rFonts w:ascii="Arial" w:eastAsia="宋体" w:hAnsi="Arial" w:cs="Arial"/>
          <w:b/>
          <w:bCs/>
          <w:kern w:val="0"/>
        </w:rPr>
        <w:t>2014</w:t>
      </w:r>
      <w:r w:rsidRPr="00D67193">
        <w:rPr>
          <w:rFonts w:ascii="Arial" w:eastAsia="宋体" w:hAnsi="Arial" w:cs="Arial"/>
          <w:kern w:val="0"/>
        </w:rPr>
        <w:t>, 57 (2), 278-295.</w:t>
      </w:r>
    </w:p>
    <w:p w14:paraId="2D4336A4"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Lipinski, C. A.; Lombardo, F.; </w:t>
      </w:r>
      <w:proofErr w:type="spellStart"/>
      <w:r w:rsidRPr="00D67193">
        <w:rPr>
          <w:rFonts w:ascii="Arial" w:eastAsia="宋体" w:hAnsi="Arial" w:cs="Arial"/>
          <w:kern w:val="0"/>
        </w:rPr>
        <w:t>Dominy</w:t>
      </w:r>
      <w:proofErr w:type="spellEnd"/>
      <w:r w:rsidRPr="00D67193">
        <w:rPr>
          <w:rFonts w:ascii="Arial" w:eastAsia="宋体" w:hAnsi="Arial" w:cs="Arial"/>
          <w:kern w:val="0"/>
        </w:rPr>
        <w:t>, B. W.; Feeney, P. J. Experimental and computational approaches to estimate solubility and permeability in drug discovery and development settings. </w:t>
      </w:r>
      <w:r w:rsidRPr="00D67193">
        <w:rPr>
          <w:rFonts w:ascii="Arial" w:eastAsia="宋体" w:hAnsi="Arial" w:cs="Arial"/>
          <w:i/>
          <w:iCs/>
          <w:kern w:val="0"/>
        </w:rPr>
        <w:t>Advanced drug delivery reviews</w:t>
      </w:r>
      <w:r w:rsidRPr="00D67193">
        <w:rPr>
          <w:rFonts w:ascii="Arial" w:eastAsia="宋体" w:hAnsi="Arial" w:cs="Arial"/>
          <w:kern w:val="0"/>
        </w:rPr>
        <w:t> </w:t>
      </w:r>
      <w:r w:rsidRPr="00D67193">
        <w:rPr>
          <w:rFonts w:ascii="Arial" w:eastAsia="宋体" w:hAnsi="Arial" w:cs="Arial"/>
          <w:b/>
          <w:bCs/>
          <w:kern w:val="0"/>
        </w:rPr>
        <w:t>2012</w:t>
      </w:r>
      <w:r w:rsidRPr="00D67193">
        <w:rPr>
          <w:rFonts w:ascii="Arial" w:eastAsia="宋体" w:hAnsi="Arial" w:cs="Arial"/>
          <w:kern w:val="0"/>
        </w:rPr>
        <w:t>, 64, 4-17.</w:t>
      </w:r>
    </w:p>
    <w:p w14:paraId="0693F624"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proofErr w:type="spellStart"/>
      <w:r w:rsidRPr="00D67193">
        <w:rPr>
          <w:rFonts w:ascii="Arial" w:eastAsia="宋体" w:hAnsi="Arial" w:cs="Arial"/>
          <w:kern w:val="0"/>
        </w:rPr>
        <w:t>Veber</w:t>
      </w:r>
      <w:proofErr w:type="spellEnd"/>
      <w:r w:rsidRPr="00D67193">
        <w:rPr>
          <w:rFonts w:ascii="Arial" w:eastAsia="宋体" w:hAnsi="Arial" w:cs="Arial"/>
          <w:kern w:val="0"/>
        </w:rPr>
        <w:t>, D. F.; Johnson, S. R.; Cheng, H.-Y.; Smith, B. R.; Ward, K. W.; Kopple, K. D. Molecular properties that influence the oral bioavailability of drug candidates. </w:t>
      </w:r>
      <w:r w:rsidRPr="00D67193">
        <w:rPr>
          <w:rFonts w:ascii="Arial" w:eastAsia="宋体" w:hAnsi="Arial" w:cs="Arial"/>
          <w:i/>
          <w:iCs/>
          <w:kern w:val="0"/>
        </w:rPr>
        <w:t>Journal of medicinal chemistry</w:t>
      </w:r>
      <w:r w:rsidRPr="00D67193">
        <w:rPr>
          <w:rFonts w:ascii="Arial" w:eastAsia="宋体" w:hAnsi="Arial" w:cs="Arial"/>
          <w:kern w:val="0"/>
        </w:rPr>
        <w:t> </w:t>
      </w:r>
      <w:r w:rsidRPr="00D67193">
        <w:rPr>
          <w:rFonts w:ascii="Arial" w:eastAsia="宋体" w:hAnsi="Arial" w:cs="Arial"/>
          <w:b/>
          <w:bCs/>
          <w:kern w:val="0"/>
        </w:rPr>
        <w:t>2002</w:t>
      </w:r>
      <w:r w:rsidRPr="00D67193">
        <w:rPr>
          <w:rFonts w:ascii="Arial" w:eastAsia="宋体" w:hAnsi="Arial" w:cs="Arial"/>
          <w:kern w:val="0"/>
        </w:rPr>
        <w:t>, 45 (12), 2615-2623.</w:t>
      </w:r>
    </w:p>
    <w:p w14:paraId="75567E45"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proofErr w:type="spellStart"/>
      <w:r w:rsidRPr="00D67193">
        <w:rPr>
          <w:rFonts w:ascii="Arial" w:eastAsia="宋体" w:hAnsi="Arial" w:cs="Arial"/>
          <w:kern w:val="0"/>
        </w:rPr>
        <w:t>Sethio</w:t>
      </w:r>
      <w:proofErr w:type="spellEnd"/>
      <w:r w:rsidRPr="00D67193">
        <w:rPr>
          <w:rFonts w:ascii="Arial" w:eastAsia="宋体" w:hAnsi="Arial" w:cs="Arial"/>
          <w:kern w:val="0"/>
        </w:rPr>
        <w:t xml:space="preserve">, D.; </w:t>
      </w:r>
      <w:proofErr w:type="spellStart"/>
      <w:r w:rsidRPr="00D67193">
        <w:rPr>
          <w:rFonts w:ascii="Arial" w:eastAsia="宋体" w:hAnsi="Arial" w:cs="Arial"/>
          <w:kern w:val="0"/>
        </w:rPr>
        <w:t>Poongavanam</w:t>
      </w:r>
      <w:proofErr w:type="spellEnd"/>
      <w:r w:rsidRPr="00D67193">
        <w:rPr>
          <w:rFonts w:ascii="Arial" w:eastAsia="宋体" w:hAnsi="Arial" w:cs="Arial"/>
          <w:kern w:val="0"/>
        </w:rPr>
        <w:t xml:space="preserve">, V.; </w:t>
      </w:r>
      <w:proofErr w:type="spellStart"/>
      <w:r w:rsidRPr="00D67193">
        <w:rPr>
          <w:rFonts w:ascii="Arial" w:eastAsia="宋体" w:hAnsi="Arial" w:cs="Arial"/>
          <w:kern w:val="0"/>
        </w:rPr>
        <w:t>Xiong</w:t>
      </w:r>
      <w:proofErr w:type="spellEnd"/>
      <w:r w:rsidRPr="00D67193">
        <w:rPr>
          <w:rFonts w:ascii="Arial" w:eastAsia="宋体" w:hAnsi="Arial" w:cs="Arial"/>
          <w:kern w:val="0"/>
        </w:rPr>
        <w:t xml:space="preserve">, R.; Tyagi, M.; </w:t>
      </w:r>
      <w:proofErr w:type="spellStart"/>
      <w:r w:rsidRPr="00D67193">
        <w:rPr>
          <w:rFonts w:ascii="Arial" w:eastAsia="宋体" w:hAnsi="Arial" w:cs="Arial"/>
          <w:kern w:val="0"/>
        </w:rPr>
        <w:t>Duy</w:t>
      </w:r>
      <w:proofErr w:type="spellEnd"/>
      <w:r w:rsidRPr="00D67193">
        <w:rPr>
          <w:rFonts w:ascii="Arial" w:eastAsia="宋体" w:hAnsi="Arial" w:cs="Arial"/>
          <w:kern w:val="0"/>
        </w:rPr>
        <w:t xml:space="preserve"> Vo, D.; Lindh, R.; </w:t>
      </w:r>
      <w:proofErr w:type="spellStart"/>
      <w:r w:rsidRPr="00D67193">
        <w:rPr>
          <w:rFonts w:ascii="Arial" w:eastAsia="宋体" w:hAnsi="Arial" w:cs="Arial"/>
          <w:kern w:val="0"/>
        </w:rPr>
        <w:t>Kihlberg</w:t>
      </w:r>
      <w:proofErr w:type="spellEnd"/>
      <w:r w:rsidRPr="00D67193">
        <w:rPr>
          <w:rFonts w:ascii="Arial" w:eastAsia="宋体" w:hAnsi="Arial" w:cs="Arial"/>
          <w:kern w:val="0"/>
        </w:rPr>
        <w:t>, J. Simulation reveals the chameleonic behavior of macrocycles. </w:t>
      </w:r>
      <w:r w:rsidRPr="00D67193">
        <w:rPr>
          <w:rFonts w:ascii="Arial" w:eastAsia="宋体" w:hAnsi="Arial" w:cs="Arial"/>
          <w:i/>
          <w:iCs/>
          <w:kern w:val="0"/>
        </w:rPr>
        <w:t>Journal of Chemical Information and Modeling</w:t>
      </w:r>
      <w:r w:rsidRPr="00D67193">
        <w:rPr>
          <w:rFonts w:ascii="Arial" w:eastAsia="宋体" w:hAnsi="Arial" w:cs="Arial"/>
          <w:kern w:val="0"/>
        </w:rPr>
        <w:t> </w:t>
      </w:r>
      <w:r w:rsidRPr="00D67193">
        <w:rPr>
          <w:rFonts w:ascii="Arial" w:eastAsia="宋体" w:hAnsi="Arial" w:cs="Arial"/>
          <w:b/>
          <w:bCs/>
          <w:kern w:val="0"/>
        </w:rPr>
        <w:t>2022</w:t>
      </w:r>
      <w:r w:rsidRPr="00D67193">
        <w:rPr>
          <w:rFonts w:ascii="Arial" w:eastAsia="宋体" w:hAnsi="Arial" w:cs="Arial"/>
          <w:kern w:val="0"/>
        </w:rPr>
        <w:t>, 63 (1), 138-146.</w:t>
      </w:r>
    </w:p>
    <w:p w14:paraId="123709F1"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Over, B.; </w:t>
      </w:r>
      <w:proofErr w:type="spellStart"/>
      <w:r w:rsidRPr="00D67193">
        <w:rPr>
          <w:rFonts w:ascii="Arial" w:eastAsia="宋体" w:hAnsi="Arial" w:cs="Arial"/>
          <w:kern w:val="0"/>
        </w:rPr>
        <w:t>Matsson</w:t>
      </w:r>
      <w:proofErr w:type="spellEnd"/>
      <w:r w:rsidRPr="00D67193">
        <w:rPr>
          <w:rFonts w:ascii="Arial" w:eastAsia="宋体" w:hAnsi="Arial" w:cs="Arial"/>
          <w:kern w:val="0"/>
        </w:rPr>
        <w:t xml:space="preserve">, P.; </w:t>
      </w:r>
      <w:proofErr w:type="spellStart"/>
      <w:r w:rsidRPr="00D67193">
        <w:rPr>
          <w:rFonts w:ascii="Arial" w:eastAsia="宋体" w:hAnsi="Arial" w:cs="Arial"/>
          <w:kern w:val="0"/>
        </w:rPr>
        <w:t>Tyrchan</w:t>
      </w:r>
      <w:proofErr w:type="spellEnd"/>
      <w:r w:rsidRPr="00D67193">
        <w:rPr>
          <w:rFonts w:ascii="Arial" w:eastAsia="宋体" w:hAnsi="Arial" w:cs="Arial"/>
          <w:kern w:val="0"/>
        </w:rPr>
        <w:t xml:space="preserve">, C.; </w:t>
      </w:r>
      <w:proofErr w:type="spellStart"/>
      <w:r w:rsidRPr="00D67193">
        <w:rPr>
          <w:rFonts w:ascii="Arial" w:eastAsia="宋体" w:hAnsi="Arial" w:cs="Arial"/>
          <w:kern w:val="0"/>
        </w:rPr>
        <w:t>Artursson</w:t>
      </w:r>
      <w:proofErr w:type="spellEnd"/>
      <w:r w:rsidRPr="00D67193">
        <w:rPr>
          <w:rFonts w:ascii="Arial" w:eastAsia="宋体" w:hAnsi="Arial" w:cs="Arial"/>
          <w:kern w:val="0"/>
        </w:rPr>
        <w:t xml:space="preserve">, P.; </w:t>
      </w:r>
      <w:proofErr w:type="spellStart"/>
      <w:r w:rsidRPr="00D67193">
        <w:rPr>
          <w:rFonts w:ascii="Arial" w:eastAsia="宋体" w:hAnsi="Arial" w:cs="Arial"/>
          <w:kern w:val="0"/>
        </w:rPr>
        <w:t>Doak</w:t>
      </w:r>
      <w:proofErr w:type="spellEnd"/>
      <w:r w:rsidRPr="00D67193">
        <w:rPr>
          <w:rFonts w:ascii="Arial" w:eastAsia="宋体" w:hAnsi="Arial" w:cs="Arial"/>
          <w:kern w:val="0"/>
        </w:rPr>
        <w:t xml:space="preserve">, B. C.; Foley, M. A.; </w:t>
      </w:r>
      <w:proofErr w:type="spellStart"/>
      <w:r w:rsidRPr="00D67193">
        <w:rPr>
          <w:rFonts w:ascii="Arial" w:eastAsia="宋体" w:hAnsi="Arial" w:cs="Arial"/>
          <w:kern w:val="0"/>
        </w:rPr>
        <w:t>Hilgendorf</w:t>
      </w:r>
      <w:proofErr w:type="spellEnd"/>
      <w:r w:rsidRPr="00D67193">
        <w:rPr>
          <w:rFonts w:ascii="Arial" w:eastAsia="宋体" w:hAnsi="Arial" w:cs="Arial"/>
          <w:kern w:val="0"/>
        </w:rPr>
        <w:t>, C.; Johnston, S. E.; Lee IV, M. D.; Lewis, R. J. Structural and conformational determinants of macrocycle cell permeability. </w:t>
      </w:r>
      <w:r w:rsidRPr="00D67193">
        <w:rPr>
          <w:rFonts w:ascii="Arial" w:eastAsia="宋体" w:hAnsi="Arial" w:cs="Arial"/>
          <w:i/>
          <w:iCs/>
          <w:kern w:val="0"/>
        </w:rPr>
        <w:t>Nature Chemical Biology</w:t>
      </w:r>
      <w:r w:rsidRPr="00D67193">
        <w:rPr>
          <w:rFonts w:ascii="Arial" w:eastAsia="宋体" w:hAnsi="Arial" w:cs="Arial"/>
          <w:kern w:val="0"/>
        </w:rPr>
        <w:t> </w:t>
      </w:r>
      <w:r w:rsidRPr="00D67193">
        <w:rPr>
          <w:rFonts w:ascii="Arial" w:eastAsia="宋体" w:hAnsi="Arial" w:cs="Arial"/>
          <w:b/>
          <w:bCs/>
          <w:kern w:val="0"/>
        </w:rPr>
        <w:t>2016</w:t>
      </w:r>
      <w:r w:rsidRPr="00D67193">
        <w:rPr>
          <w:rFonts w:ascii="Arial" w:eastAsia="宋体" w:hAnsi="Arial" w:cs="Arial"/>
          <w:kern w:val="0"/>
        </w:rPr>
        <w:t>, 12 (12), 1065-1074.</w:t>
      </w:r>
    </w:p>
    <w:p w14:paraId="6485132D"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Rossi Sebastiano, M.; </w:t>
      </w:r>
      <w:proofErr w:type="spellStart"/>
      <w:r w:rsidRPr="00D67193">
        <w:rPr>
          <w:rFonts w:ascii="Arial" w:eastAsia="宋体" w:hAnsi="Arial" w:cs="Arial"/>
          <w:kern w:val="0"/>
        </w:rPr>
        <w:t>Doak</w:t>
      </w:r>
      <w:proofErr w:type="spellEnd"/>
      <w:r w:rsidRPr="00D67193">
        <w:rPr>
          <w:rFonts w:ascii="Arial" w:eastAsia="宋体" w:hAnsi="Arial" w:cs="Arial"/>
          <w:kern w:val="0"/>
        </w:rPr>
        <w:t xml:space="preserve">, B. C.; Backlund, M.; </w:t>
      </w:r>
      <w:proofErr w:type="spellStart"/>
      <w:r w:rsidRPr="00D67193">
        <w:rPr>
          <w:rFonts w:ascii="Arial" w:eastAsia="宋体" w:hAnsi="Arial" w:cs="Arial"/>
          <w:kern w:val="0"/>
        </w:rPr>
        <w:t>Poongavanam</w:t>
      </w:r>
      <w:proofErr w:type="spellEnd"/>
      <w:r w:rsidRPr="00D67193">
        <w:rPr>
          <w:rFonts w:ascii="Arial" w:eastAsia="宋体" w:hAnsi="Arial" w:cs="Arial"/>
          <w:kern w:val="0"/>
        </w:rPr>
        <w:t xml:space="preserve">, V.; Over, B. r.; </w:t>
      </w:r>
      <w:proofErr w:type="spellStart"/>
      <w:r w:rsidRPr="00D67193">
        <w:rPr>
          <w:rFonts w:ascii="Arial" w:eastAsia="宋体" w:hAnsi="Arial" w:cs="Arial"/>
          <w:kern w:val="0"/>
        </w:rPr>
        <w:t>Ermondi</w:t>
      </w:r>
      <w:proofErr w:type="spellEnd"/>
      <w:r w:rsidRPr="00D67193">
        <w:rPr>
          <w:rFonts w:ascii="Arial" w:eastAsia="宋体" w:hAnsi="Arial" w:cs="Arial"/>
          <w:kern w:val="0"/>
        </w:rPr>
        <w:t xml:space="preserve">, G.; Caron, G.; </w:t>
      </w:r>
      <w:proofErr w:type="spellStart"/>
      <w:r w:rsidRPr="00D67193">
        <w:rPr>
          <w:rFonts w:ascii="Arial" w:eastAsia="宋体" w:hAnsi="Arial" w:cs="Arial"/>
          <w:kern w:val="0"/>
        </w:rPr>
        <w:t>Matsson</w:t>
      </w:r>
      <w:proofErr w:type="spellEnd"/>
      <w:r w:rsidRPr="00D67193">
        <w:rPr>
          <w:rFonts w:ascii="Arial" w:eastAsia="宋体" w:hAnsi="Arial" w:cs="Arial"/>
          <w:kern w:val="0"/>
        </w:rPr>
        <w:t xml:space="preserve">, P. r.; </w:t>
      </w:r>
      <w:proofErr w:type="spellStart"/>
      <w:r w:rsidRPr="00D67193">
        <w:rPr>
          <w:rFonts w:ascii="Arial" w:eastAsia="宋体" w:hAnsi="Arial" w:cs="Arial"/>
          <w:kern w:val="0"/>
        </w:rPr>
        <w:t>Kihlberg</w:t>
      </w:r>
      <w:proofErr w:type="spellEnd"/>
      <w:r w:rsidRPr="00D67193">
        <w:rPr>
          <w:rFonts w:ascii="Arial" w:eastAsia="宋体" w:hAnsi="Arial" w:cs="Arial"/>
          <w:kern w:val="0"/>
        </w:rPr>
        <w:t>, J. Impact of dynamically exposed polarity on permeability and solubility of chameleonic drugs beyond the rule of 5. </w:t>
      </w:r>
      <w:r w:rsidRPr="00D67193">
        <w:rPr>
          <w:rFonts w:ascii="Arial" w:eastAsia="宋体" w:hAnsi="Arial" w:cs="Arial"/>
          <w:i/>
          <w:iCs/>
          <w:kern w:val="0"/>
        </w:rPr>
        <w:t>Journal of medicinal chemistry</w:t>
      </w:r>
      <w:r w:rsidRPr="00D67193">
        <w:rPr>
          <w:rFonts w:ascii="Arial" w:eastAsia="宋体" w:hAnsi="Arial" w:cs="Arial"/>
          <w:kern w:val="0"/>
        </w:rPr>
        <w:t> </w:t>
      </w:r>
      <w:r w:rsidRPr="00D67193">
        <w:rPr>
          <w:rFonts w:ascii="Arial" w:eastAsia="宋体" w:hAnsi="Arial" w:cs="Arial"/>
          <w:b/>
          <w:bCs/>
          <w:kern w:val="0"/>
        </w:rPr>
        <w:t>2018</w:t>
      </w:r>
      <w:r w:rsidRPr="00D67193">
        <w:rPr>
          <w:rFonts w:ascii="Arial" w:eastAsia="宋体" w:hAnsi="Arial" w:cs="Arial"/>
          <w:kern w:val="0"/>
        </w:rPr>
        <w:t>, 61 (9), 4189-4202.</w:t>
      </w:r>
    </w:p>
    <w:p w14:paraId="603DA121"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proofErr w:type="spellStart"/>
      <w:r w:rsidRPr="00D67193">
        <w:rPr>
          <w:rFonts w:ascii="Arial" w:eastAsia="宋体" w:hAnsi="Arial" w:cs="Arial"/>
          <w:kern w:val="0"/>
        </w:rPr>
        <w:t>Poongavanam</w:t>
      </w:r>
      <w:proofErr w:type="spellEnd"/>
      <w:r w:rsidRPr="00D67193">
        <w:rPr>
          <w:rFonts w:ascii="Arial" w:eastAsia="宋体" w:hAnsi="Arial" w:cs="Arial"/>
          <w:kern w:val="0"/>
        </w:rPr>
        <w:t xml:space="preserve">, V.; </w:t>
      </w:r>
      <w:proofErr w:type="spellStart"/>
      <w:r w:rsidRPr="00D67193">
        <w:rPr>
          <w:rFonts w:ascii="Arial" w:eastAsia="宋体" w:hAnsi="Arial" w:cs="Arial"/>
          <w:kern w:val="0"/>
        </w:rPr>
        <w:t>Wieske</w:t>
      </w:r>
      <w:proofErr w:type="spellEnd"/>
      <w:r w:rsidRPr="00D67193">
        <w:rPr>
          <w:rFonts w:ascii="Arial" w:eastAsia="宋体" w:hAnsi="Arial" w:cs="Arial"/>
          <w:kern w:val="0"/>
        </w:rPr>
        <w:t xml:space="preserve">, L. H.; </w:t>
      </w:r>
      <w:proofErr w:type="spellStart"/>
      <w:r w:rsidRPr="00D67193">
        <w:rPr>
          <w:rFonts w:ascii="Arial" w:eastAsia="宋体" w:hAnsi="Arial" w:cs="Arial"/>
          <w:kern w:val="0"/>
        </w:rPr>
        <w:t>Peintner</w:t>
      </w:r>
      <w:proofErr w:type="spellEnd"/>
      <w:r w:rsidRPr="00D67193">
        <w:rPr>
          <w:rFonts w:ascii="Arial" w:eastAsia="宋体" w:hAnsi="Arial" w:cs="Arial"/>
          <w:kern w:val="0"/>
        </w:rPr>
        <w:t xml:space="preserve">, S.; </w:t>
      </w:r>
      <w:proofErr w:type="spellStart"/>
      <w:r w:rsidRPr="00D67193">
        <w:rPr>
          <w:rFonts w:ascii="Arial" w:eastAsia="宋体" w:hAnsi="Arial" w:cs="Arial"/>
          <w:kern w:val="0"/>
        </w:rPr>
        <w:t>Erdélyi</w:t>
      </w:r>
      <w:proofErr w:type="spellEnd"/>
      <w:r w:rsidRPr="00D67193">
        <w:rPr>
          <w:rFonts w:ascii="Arial" w:eastAsia="宋体" w:hAnsi="Arial" w:cs="Arial"/>
          <w:kern w:val="0"/>
        </w:rPr>
        <w:t xml:space="preserve">, M.; </w:t>
      </w:r>
      <w:proofErr w:type="spellStart"/>
      <w:r w:rsidRPr="00D67193">
        <w:rPr>
          <w:rFonts w:ascii="Arial" w:eastAsia="宋体" w:hAnsi="Arial" w:cs="Arial"/>
          <w:kern w:val="0"/>
        </w:rPr>
        <w:t>Kihlberg</w:t>
      </w:r>
      <w:proofErr w:type="spellEnd"/>
      <w:r w:rsidRPr="00D67193">
        <w:rPr>
          <w:rFonts w:ascii="Arial" w:eastAsia="宋体" w:hAnsi="Arial" w:cs="Arial"/>
          <w:kern w:val="0"/>
        </w:rPr>
        <w:t>, J. Molecular chameleons in drug discovery. </w:t>
      </w:r>
      <w:r w:rsidRPr="00D67193">
        <w:rPr>
          <w:rFonts w:ascii="Arial" w:eastAsia="宋体" w:hAnsi="Arial" w:cs="Arial"/>
          <w:i/>
          <w:iCs/>
          <w:kern w:val="0"/>
        </w:rPr>
        <w:t>Nature Reviews Chemistry</w:t>
      </w:r>
      <w:r w:rsidRPr="00D67193">
        <w:rPr>
          <w:rFonts w:ascii="Arial" w:eastAsia="宋体" w:hAnsi="Arial" w:cs="Arial"/>
          <w:kern w:val="0"/>
        </w:rPr>
        <w:t> </w:t>
      </w:r>
      <w:r w:rsidRPr="00D67193">
        <w:rPr>
          <w:rFonts w:ascii="Arial" w:eastAsia="宋体" w:hAnsi="Arial" w:cs="Arial"/>
          <w:b/>
          <w:bCs/>
          <w:kern w:val="0"/>
        </w:rPr>
        <w:t>2024</w:t>
      </w:r>
      <w:r w:rsidRPr="00D67193">
        <w:rPr>
          <w:rFonts w:ascii="Arial" w:eastAsia="宋体" w:hAnsi="Arial" w:cs="Arial"/>
          <w:kern w:val="0"/>
        </w:rPr>
        <w:t>, 8 (1), 45-60.</w:t>
      </w:r>
    </w:p>
    <w:p w14:paraId="375B4B87"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proofErr w:type="spellStart"/>
      <w:r w:rsidRPr="00D67193">
        <w:rPr>
          <w:rFonts w:ascii="Arial" w:eastAsia="宋体" w:hAnsi="Arial" w:cs="Arial"/>
          <w:kern w:val="0"/>
        </w:rPr>
        <w:t>Poongavanam</w:t>
      </w:r>
      <w:proofErr w:type="spellEnd"/>
      <w:r w:rsidRPr="00D67193">
        <w:rPr>
          <w:rFonts w:ascii="Arial" w:eastAsia="宋体" w:hAnsi="Arial" w:cs="Arial"/>
          <w:kern w:val="0"/>
        </w:rPr>
        <w:t xml:space="preserve">, V.; </w:t>
      </w:r>
      <w:proofErr w:type="spellStart"/>
      <w:r w:rsidRPr="00D67193">
        <w:rPr>
          <w:rFonts w:ascii="Arial" w:eastAsia="宋体" w:hAnsi="Arial" w:cs="Arial"/>
          <w:kern w:val="0"/>
        </w:rPr>
        <w:t>Atilaw</w:t>
      </w:r>
      <w:proofErr w:type="spellEnd"/>
      <w:r w:rsidRPr="00D67193">
        <w:rPr>
          <w:rFonts w:ascii="Arial" w:eastAsia="宋体" w:hAnsi="Arial" w:cs="Arial"/>
          <w:kern w:val="0"/>
        </w:rPr>
        <w:t xml:space="preserve">, Y.; Ye, S.; </w:t>
      </w:r>
      <w:proofErr w:type="spellStart"/>
      <w:r w:rsidRPr="00D67193">
        <w:rPr>
          <w:rFonts w:ascii="Arial" w:eastAsia="宋体" w:hAnsi="Arial" w:cs="Arial"/>
          <w:kern w:val="0"/>
        </w:rPr>
        <w:t>Wieske</w:t>
      </w:r>
      <w:proofErr w:type="spellEnd"/>
      <w:r w:rsidRPr="00D67193">
        <w:rPr>
          <w:rFonts w:ascii="Arial" w:eastAsia="宋体" w:hAnsi="Arial" w:cs="Arial"/>
          <w:kern w:val="0"/>
        </w:rPr>
        <w:t xml:space="preserve">, L. H.; </w:t>
      </w:r>
      <w:proofErr w:type="spellStart"/>
      <w:r w:rsidRPr="00D67193">
        <w:rPr>
          <w:rFonts w:ascii="Arial" w:eastAsia="宋体" w:hAnsi="Arial" w:cs="Arial"/>
          <w:kern w:val="0"/>
        </w:rPr>
        <w:t>Erdelyi</w:t>
      </w:r>
      <w:proofErr w:type="spellEnd"/>
      <w:r w:rsidRPr="00D67193">
        <w:rPr>
          <w:rFonts w:ascii="Arial" w:eastAsia="宋体" w:hAnsi="Arial" w:cs="Arial"/>
          <w:kern w:val="0"/>
        </w:rPr>
        <w:t xml:space="preserve">, M.; </w:t>
      </w:r>
      <w:proofErr w:type="spellStart"/>
      <w:r w:rsidRPr="00D67193">
        <w:rPr>
          <w:rFonts w:ascii="Arial" w:eastAsia="宋体" w:hAnsi="Arial" w:cs="Arial"/>
          <w:kern w:val="0"/>
        </w:rPr>
        <w:t>Ermondi</w:t>
      </w:r>
      <w:proofErr w:type="spellEnd"/>
      <w:r w:rsidRPr="00D67193">
        <w:rPr>
          <w:rFonts w:ascii="Arial" w:eastAsia="宋体" w:hAnsi="Arial" w:cs="Arial"/>
          <w:kern w:val="0"/>
        </w:rPr>
        <w:t xml:space="preserve">, G.; Caron, G.; </w:t>
      </w:r>
      <w:proofErr w:type="spellStart"/>
      <w:r w:rsidRPr="00D67193">
        <w:rPr>
          <w:rFonts w:ascii="Arial" w:eastAsia="宋体" w:hAnsi="Arial" w:cs="Arial"/>
          <w:kern w:val="0"/>
        </w:rPr>
        <w:t>Kihlberg</w:t>
      </w:r>
      <w:proofErr w:type="spellEnd"/>
      <w:r w:rsidRPr="00D67193">
        <w:rPr>
          <w:rFonts w:ascii="Arial" w:eastAsia="宋体" w:hAnsi="Arial" w:cs="Arial"/>
          <w:kern w:val="0"/>
        </w:rPr>
        <w:t>, J. Predicting the permeability of macrocycles from conformational sampling–limitations of molecular flexibility. </w:t>
      </w:r>
      <w:r w:rsidRPr="00D67193">
        <w:rPr>
          <w:rFonts w:ascii="Arial" w:eastAsia="宋体" w:hAnsi="Arial" w:cs="Arial"/>
          <w:i/>
          <w:iCs/>
          <w:kern w:val="0"/>
        </w:rPr>
        <w:t>Journal of Pharmaceutical Sciences</w:t>
      </w:r>
      <w:r w:rsidRPr="00D67193">
        <w:rPr>
          <w:rFonts w:ascii="Arial" w:eastAsia="宋体" w:hAnsi="Arial" w:cs="Arial"/>
          <w:kern w:val="0"/>
        </w:rPr>
        <w:t> </w:t>
      </w:r>
      <w:r w:rsidRPr="00D67193">
        <w:rPr>
          <w:rFonts w:ascii="Arial" w:eastAsia="宋体" w:hAnsi="Arial" w:cs="Arial"/>
          <w:b/>
          <w:bCs/>
          <w:kern w:val="0"/>
        </w:rPr>
        <w:t>2021</w:t>
      </w:r>
      <w:r w:rsidRPr="00D67193">
        <w:rPr>
          <w:rFonts w:ascii="Arial" w:eastAsia="宋体" w:hAnsi="Arial" w:cs="Arial"/>
          <w:kern w:val="0"/>
        </w:rPr>
        <w:t>, 110 (1), 301-313.</w:t>
      </w:r>
    </w:p>
    <w:p w14:paraId="446D3A08"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proofErr w:type="spellStart"/>
      <w:r w:rsidRPr="00D67193">
        <w:rPr>
          <w:rFonts w:ascii="Arial" w:eastAsia="宋体" w:hAnsi="Arial" w:cs="Arial"/>
          <w:kern w:val="0"/>
        </w:rPr>
        <w:t>Rezai</w:t>
      </w:r>
      <w:proofErr w:type="spellEnd"/>
      <w:r w:rsidRPr="00D67193">
        <w:rPr>
          <w:rFonts w:ascii="Arial" w:eastAsia="宋体" w:hAnsi="Arial" w:cs="Arial"/>
          <w:kern w:val="0"/>
        </w:rPr>
        <w:t xml:space="preserve">, T.; Bock, J. E.; Zhou, M. V.; </w:t>
      </w:r>
      <w:proofErr w:type="spellStart"/>
      <w:r w:rsidRPr="00D67193">
        <w:rPr>
          <w:rFonts w:ascii="Arial" w:eastAsia="宋体" w:hAnsi="Arial" w:cs="Arial"/>
          <w:kern w:val="0"/>
        </w:rPr>
        <w:t>Kalyanaraman</w:t>
      </w:r>
      <w:proofErr w:type="spellEnd"/>
      <w:r w:rsidRPr="00D67193">
        <w:rPr>
          <w:rFonts w:ascii="Arial" w:eastAsia="宋体" w:hAnsi="Arial" w:cs="Arial"/>
          <w:kern w:val="0"/>
        </w:rPr>
        <w:t xml:space="preserve">, C.; Lokey, R. S.; Jacobson, M. P. Conformational flexibility, internal hydrogen bonding, and passive membrane permeability: successful in silico prediction of </w:t>
      </w:r>
      <w:r w:rsidRPr="00D67193">
        <w:rPr>
          <w:rFonts w:ascii="Arial" w:eastAsia="宋体" w:hAnsi="Arial" w:cs="Arial"/>
          <w:kern w:val="0"/>
        </w:rPr>
        <w:lastRenderedPageBreak/>
        <w:t>the relative permeabilities of cyclic peptides. </w:t>
      </w:r>
      <w:r w:rsidRPr="00D67193">
        <w:rPr>
          <w:rFonts w:ascii="Arial" w:eastAsia="宋体" w:hAnsi="Arial" w:cs="Arial"/>
          <w:i/>
          <w:iCs/>
          <w:kern w:val="0"/>
        </w:rPr>
        <w:t>Journal of the American Chemical Society</w:t>
      </w:r>
      <w:r w:rsidRPr="00D67193">
        <w:rPr>
          <w:rFonts w:ascii="Arial" w:eastAsia="宋体" w:hAnsi="Arial" w:cs="Arial"/>
          <w:kern w:val="0"/>
        </w:rPr>
        <w:t> </w:t>
      </w:r>
      <w:r w:rsidRPr="00D67193">
        <w:rPr>
          <w:rFonts w:ascii="Arial" w:eastAsia="宋体" w:hAnsi="Arial" w:cs="Arial"/>
          <w:b/>
          <w:bCs/>
          <w:kern w:val="0"/>
        </w:rPr>
        <w:t>2006</w:t>
      </w:r>
      <w:r w:rsidRPr="00D67193">
        <w:rPr>
          <w:rFonts w:ascii="Arial" w:eastAsia="宋体" w:hAnsi="Arial" w:cs="Arial"/>
          <w:kern w:val="0"/>
        </w:rPr>
        <w:t>, 128 (43), 14073-14080.</w:t>
      </w:r>
    </w:p>
    <w:p w14:paraId="2D582364" w14:textId="77777777" w:rsidR="00D67193" w:rsidRPr="00D67193" w:rsidRDefault="00D67193" w:rsidP="00D67193">
      <w:pPr>
        <w:widowControl/>
        <w:numPr>
          <w:ilvl w:val="0"/>
          <w:numId w:val="2"/>
        </w:numPr>
        <w:spacing w:before="100" w:beforeAutospacing="1" w:after="100" w:afterAutospacing="1"/>
        <w:jc w:val="left"/>
        <w:rPr>
          <w:rFonts w:ascii="Arial" w:eastAsia="宋体" w:hAnsi="Arial" w:cs="Arial"/>
          <w:kern w:val="0"/>
        </w:rPr>
      </w:pPr>
      <w:r w:rsidRPr="00D67193">
        <w:rPr>
          <w:rFonts w:ascii="Arial" w:eastAsia="宋体" w:hAnsi="Arial" w:cs="Arial"/>
          <w:kern w:val="0"/>
        </w:rPr>
        <w:t xml:space="preserve">Li, J.; Yanagisawa, K.; Sugita, M.; </w:t>
      </w:r>
      <w:proofErr w:type="spellStart"/>
      <w:r w:rsidRPr="00D67193">
        <w:rPr>
          <w:rFonts w:ascii="Arial" w:eastAsia="宋体" w:hAnsi="Arial" w:cs="Arial"/>
          <w:kern w:val="0"/>
        </w:rPr>
        <w:t>Fujie</w:t>
      </w:r>
      <w:proofErr w:type="spellEnd"/>
      <w:r w:rsidRPr="00D67193">
        <w:rPr>
          <w:rFonts w:ascii="Arial" w:eastAsia="宋体" w:hAnsi="Arial" w:cs="Arial"/>
          <w:kern w:val="0"/>
        </w:rPr>
        <w:t xml:space="preserve">, T.; </w:t>
      </w:r>
      <w:proofErr w:type="spellStart"/>
      <w:r w:rsidRPr="00D67193">
        <w:rPr>
          <w:rFonts w:ascii="Arial" w:eastAsia="宋体" w:hAnsi="Arial" w:cs="Arial"/>
          <w:kern w:val="0"/>
        </w:rPr>
        <w:t>Ohue</w:t>
      </w:r>
      <w:proofErr w:type="spellEnd"/>
      <w:r w:rsidRPr="00D67193">
        <w:rPr>
          <w:rFonts w:ascii="Arial" w:eastAsia="宋体" w:hAnsi="Arial" w:cs="Arial"/>
          <w:kern w:val="0"/>
        </w:rPr>
        <w:t xml:space="preserve">, M.; Akiyama, Y. </w:t>
      </w:r>
      <w:proofErr w:type="spellStart"/>
      <w:r w:rsidRPr="00D67193">
        <w:rPr>
          <w:rFonts w:ascii="Arial" w:eastAsia="宋体" w:hAnsi="Arial" w:cs="Arial"/>
          <w:kern w:val="0"/>
        </w:rPr>
        <w:t>CycPeptMPDB</w:t>
      </w:r>
      <w:proofErr w:type="spellEnd"/>
      <w:r w:rsidRPr="00D67193">
        <w:rPr>
          <w:rFonts w:ascii="Arial" w:eastAsia="宋体" w:hAnsi="Arial" w:cs="Arial"/>
          <w:kern w:val="0"/>
        </w:rPr>
        <w:t>: A comprehensive database of membrane permeability of cyclic peptides. </w:t>
      </w:r>
      <w:r w:rsidRPr="00D67193">
        <w:rPr>
          <w:rFonts w:ascii="Arial" w:eastAsia="宋体" w:hAnsi="Arial" w:cs="Arial"/>
          <w:i/>
          <w:iCs/>
          <w:kern w:val="0"/>
        </w:rPr>
        <w:t>Journal of Chemical Information and Modeling</w:t>
      </w:r>
      <w:r w:rsidRPr="00D67193">
        <w:rPr>
          <w:rFonts w:ascii="Arial" w:eastAsia="宋体" w:hAnsi="Arial" w:cs="Arial"/>
          <w:kern w:val="0"/>
        </w:rPr>
        <w:t> </w:t>
      </w:r>
      <w:r w:rsidRPr="00D67193">
        <w:rPr>
          <w:rFonts w:ascii="Arial" w:eastAsia="宋体" w:hAnsi="Arial" w:cs="Arial"/>
          <w:b/>
          <w:bCs/>
          <w:kern w:val="0"/>
        </w:rPr>
        <w:t>2023</w:t>
      </w:r>
      <w:r w:rsidRPr="00D67193">
        <w:rPr>
          <w:rFonts w:ascii="Arial" w:eastAsia="宋体" w:hAnsi="Arial" w:cs="Arial"/>
          <w:kern w:val="0"/>
        </w:rPr>
        <w:t>, 63 (7), 2240-2250.</w:t>
      </w:r>
    </w:p>
    <w:p w14:paraId="29528F0B" w14:textId="77777777" w:rsidR="00D67193" w:rsidRPr="00D67193" w:rsidRDefault="005B282B" w:rsidP="00D67193">
      <w:pPr>
        <w:widowControl/>
        <w:spacing w:before="75" w:after="150"/>
        <w:jc w:val="left"/>
        <w:rPr>
          <w:rFonts w:ascii="Arial" w:eastAsia="宋体" w:hAnsi="Arial" w:cs="Arial"/>
          <w:kern w:val="0"/>
        </w:rPr>
      </w:pPr>
      <w:r>
        <w:rPr>
          <w:rFonts w:ascii="Arial" w:eastAsia="宋体" w:hAnsi="Arial" w:cs="Arial"/>
          <w:noProof/>
          <w:kern w:val="0"/>
        </w:rPr>
      </w:r>
      <w:r w:rsidR="005B282B">
        <w:rPr>
          <w:rFonts w:ascii="Arial" w:eastAsia="宋体" w:hAnsi="Arial" w:cs="Arial"/>
          <w:noProof/>
          <w:kern w:val="0"/>
        </w:rPr>
        <w:pict w14:anchorId="671B12C2">
          <v:rect id="_x0000_i1025" alt="" style="width:415.3pt;height:.05pt;mso-width-percent:0;mso-height-percent:0;mso-width-percent:0;mso-height-percent:0" o:hralign="center" o:hrstd="t" o:hr="t" fillcolor="#a0a0a0" stroked="f"/>
        </w:pict>
      </w:r>
    </w:p>
    <w:p w14:paraId="5F46590F" w14:textId="77777777" w:rsidR="00D67193" w:rsidRPr="00D67193" w:rsidRDefault="00D67193" w:rsidP="00D67193">
      <w:pPr>
        <w:widowControl/>
        <w:jc w:val="left"/>
        <w:rPr>
          <w:rFonts w:ascii="Arial" w:eastAsia="宋体" w:hAnsi="Arial" w:cs="Arial"/>
          <w:kern w:val="0"/>
        </w:rPr>
      </w:pPr>
    </w:p>
    <w:p w14:paraId="28D379E7" w14:textId="77777777" w:rsidR="00B76B6F" w:rsidRPr="00D67193" w:rsidRDefault="00B76B6F">
      <w:pPr>
        <w:rPr>
          <w:rFonts w:ascii="Arial" w:hAnsi="Arial" w:cs="Arial"/>
        </w:rPr>
      </w:pPr>
    </w:p>
    <w:sectPr w:rsidR="00B76B6F" w:rsidRPr="00D671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52FB9"/>
    <w:multiLevelType w:val="multilevel"/>
    <w:tmpl w:val="13EC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8644E4"/>
    <w:multiLevelType w:val="multilevel"/>
    <w:tmpl w:val="07E07970"/>
    <w:lvl w:ilvl="0">
      <w:start w:val="1"/>
      <w:numFmt w:val="decimal"/>
      <w:pStyle w:val="1"/>
      <w:lvlText w:val="%1."/>
      <w:lvlJc w:val="left"/>
      <w:pPr>
        <w:ind w:left="720" w:hanging="360"/>
      </w:pPr>
    </w:lvl>
    <w:lvl w:ilvl="1">
      <w:start w:val="1"/>
      <w:numFmt w:val="decimal"/>
      <w:isLgl/>
      <w:lvlText w:val="%1.%2."/>
      <w:lvlJc w:val="left"/>
      <w:pPr>
        <w:ind w:left="720" w:hanging="360"/>
      </w:pPr>
      <w:rPr>
        <w:b/>
        <w:bCs/>
        <w:i w:val="0"/>
        <w:iCs w:val="0"/>
        <w:sz w:val="28"/>
        <w:szCs w:val="28"/>
      </w:rPr>
    </w:lvl>
    <w:lvl w:ilvl="2">
      <w:start w:val="1"/>
      <w:numFmt w:val="decimal"/>
      <w:pStyle w:val="10"/>
      <w:isLgl/>
      <w:lvlText w:val="%1.%2.%3."/>
      <w:lvlJc w:val="left"/>
      <w:pPr>
        <w:ind w:left="1080"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64538952">
    <w:abstractNumId w:val="1"/>
  </w:num>
  <w:num w:numId="2" w16cid:durableId="1684699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193"/>
    <w:rsid w:val="0001184A"/>
    <w:rsid w:val="0002159D"/>
    <w:rsid w:val="00021A7E"/>
    <w:rsid w:val="00027D9A"/>
    <w:rsid w:val="00037D5B"/>
    <w:rsid w:val="000514FB"/>
    <w:rsid w:val="00091C45"/>
    <w:rsid w:val="000B288F"/>
    <w:rsid w:val="000C777B"/>
    <w:rsid w:val="000D25B9"/>
    <w:rsid w:val="000F30B3"/>
    <w:rsid w:val="00112F00"/>
    <w:rsid w:val="00121F1C"/>
    <w:rsid w:val="00125DB7"/>
    <w:rsid w:val="0014168C"/>
    <w:rsid w:val="00143FD0"/>
    <w:rsid w:val="00144BB4"/>
    <w:rsid w:val="001534BB"/>
    <w:rsid w:val="00157AC9"/>
    <w:rsid w:val="0016246A"/>
    <w:rsid w:val="001673ED"/>
    <w:rsid w:val="001901E0"/>
    <w:rsid w:val="00195FD1"/>
    <w:rsid w:val="001C250E"/>
    <w:rsid w:val="001C458A"/>
    <w:rsid w:val="001E5A04"/>
    <w:rsid w:val="001E7567"/>
    <w:rsid w:val="001F0010"/>
    <w:rsid w:val="00205FA3"/>
    <w:rsid w:val="0022115B"/>
    <w:rsid w:val="002304B2"/>
    <w:rsid w:val="00235F97"/>
    <w:rsid w:val="00242D34"/>
    <w:rsid w:val="002519EA"/>
    <w:rsid w:val="0025202E"/>
    <w:rsid w:val="002774A3"/>
    <w:rsid w:val="00297160"/>
    <w:rsid w:val="002A0371"/>
    <w:rsid w:val="002A2D67"/>
    <w:rsid w:val="002D7ABE"/>
    <w:rsid w:val="002E6E7D"/>
    <w:rsid w:val="002F19DC"/>
    <w:rsid w:val="00306AF8"/>
    <w:rsid w:val="00307FBA"/>
    <w:rsid w:val="00334477"/>
    <w:rsid w:val="00337879"/>
    <w:rsid w:val="0036505B"/>
    <w:rsid w:val="00365D75"/>
    <w:rsid w:val="00366BE3"/>
    <w:rsid w:val="0037004F"/>
    <w:rsid w:val="00377B26"/>
    <w:rsid w:val="00386604"/>
    <w:rsid w:val="003927D6"/>
    <w:rsid w:val="003A1EE0"/>
    <w:rsid w:val="003B3761"/>
    <w:rsid w:val="003B6A9F"/>
    <w:rsid w:val="003C5FD9"/>
    <w:rsid w:val="003F1171"/>
    <w:rsid w:val="004035A1"/>
    <w:rsid w:val="00405B6B"/>
    <w:rsid w:val="0041086E"/>
    <w:rsid w:val="00426DC7"/>
    <w:rsid w:val="00444038"/>
    <w:rsid w:val="0044564F"/>
    <w:rsid w:val="00453BB9"/>
    <w:rsid w:val="0045771F"/>
    <w:rsid w:val="004672F5"/>
    <w:rsid w:val="00491265"/>
    <w:rsid w:val="004B1D28"/>
    <w:rsid w:val="004C2007"/>
    <w:rsid w:val="004C6324"/>
    <w:rsid w:val="004E368B"/>
    <w:rsid w:val="005105BC"/>
    <w:rsid w:val="00510E54"/>
    <w:rsid w:val="005155CD"/>
    <w:rsid w:val="00520423"/>
    <w:rsid w:val="00525C96"/>
    <w:rsid w:val="005309BE"/>
    <w:rsid w:val="00532C1F"/>
    <w:rsid w:val="005518AB"/>
    <w:rsid w:val="005538C3"/>
    <w:rsid w:val="005557D1"/>
    <w:rsid w:val="00563532"/>
    <w:rsid w:val="005A0F7C"/>
    <w:rsid w:val="005A27E1"/>
    <w:rsid w:val="005A7D85"/>
    <w:rsid w:val="005B282B"/>
    <w:rsid w:val="005C06E8"/>
    <w:rsid w:val="005D2F17"/>
    <w:rsid w:val="005D49B9"/>
    <w:rsid w:val="005D4F52"/>
    <w:rsid w:val="005D590A"/>
    <w:rsid w:val="005F1353"/>
    <w:rsid w:val="00636892"/>
    <w:rsid w:val="006561D2"/>
    <w:rsid w:val="00663B3F"/>
    <w:rsid w:val="00677993"/>
    <w:rsid w:val="006A0F6C"/>
    <w:rsid w:val="006A64BF"/>
    <w:rsid w:val="006B62C9"/>
    <w:rsid w:val="006E1642"/>
    <w:rsid w:val="006E2506"/>
    <w:rsid w:val="006E2FF2"/>
    <w:rsid w:val="006F3AE4"/>
    <w:rsid w:val="00712FA0"/>
    <w:rsid w:val="00713242"/>
    <w:rsid w:val="00753604"/>
    <w:rsid w:val="0075463B"/>
    <w:rsid w:val="007A5AE6"/>
    <w:rsid w:val="007B2DD1"/>
    <w:rsid w:val="007B6BBD"/>
    <w:rsid w:val="007C0F51"/>
    <w:rsid w:val="007C1B4C"/>
    <w:rsid w:val="007D2D7B"/>
    <w:rsid w:val="007D47F1"/>
    <w:rsid w:val="007D7F84"/>
    <w:rsid w:val="00806D41"/>
    <w:rsid w:val="00823BC0"/>
    <w:rsid w:val="00850033"/>
    <w:rsid w:val="00851E91"/>
    <w:rsid w:val="00862425"/>
    <w:rsid w:val="00874BA2"/>
    <w:rsid w:val="008805C0"/>
    <w:rsid w:val="008E08BA"/>
    <w:rsid w:val="008F60C8"/>
    <w:rsid w:val="008F62BF"/>
    <w:rsid w:val="0090665D"/>
    <w:rsid w:val="00912F05"/>
    <w:rsid w:val="00921DE2"/>
    <w:rsid w:val="00951D7F"/>
    <w:rsid w:val="00957E74"/>
    <w:rsid w:val="00987888"/>
    <w:rsid w:val="00993864"/>
    <w:rsid w:val="009A7960"/>
    <w:rsid w:val="00A229BB"/>
    <w:rsid w:val="00A258F6"/>
    <w:rsid w:val="00A80BEF"/>
    <w:rsid w:val="00A91424"/>
    <w:rsid w:val="00A93731"/>
    <w:rsid w:val="00AA7174"/>
    <w:rsid w:val="00AE725E"/>
    <w:rsid w:val="00B0030E"/>
    <w:rsid w:val="00B04896"/>
    <w:rsid w:val="00B35394"/>
    <w:rsid w:val="00B440E2"/>
    <w:rsid w:val="00B706DD"/>
    <w:rsid w:val="00B76B6F"/>
    <w:rsid w:val="00B81753"/>
    <w:rsid w:val="00B85459"/>
    <w:rsid w:val="00B9614B"/>
    <w:rsid w:val="00BA5C32"/>
    <w:rsid w:val="00BB33C7"/>
    <w:rsid w:val="00BC10D7"/>
    <w:rsid w:val="00BC78F7"/>
    <w:rsid w:val="00BE1743"/>
    <w:rsid w:val="00BE55EF"/>
    <w:rsid w:val="00C00C8A"/>
    <w:rsid w:val="00C10501"/>
    <w:rsid w:val="00C15BDE"/>
    <w:rsid w:val="00C342D1"/>
    <w:rsid w:val="00C46FD8"/>
    <w:rsid w:val="00C4732D"/>
    <w:rsid w:val="00C50919"/>
    <w:rsid w:val="00C52FFC"/>
    <w:rsid w:val="00C66A7A"/>
    <w:rsid w:val="00CA0AA9"/>
    <w:rsid w:val="00CA4A8C"/>
    <w:rsid w:val="00CE510D"/>
    <w:rsid w:val="00CF1B5B"/>
    <w:rsid w:val="00D1224E"/>
    <w:rsid w:val="00D2713B"/>
    <w:rsid w:val="00D32B03"/>
    <w:rsid w:val="00D67193"/>
    <w:rsid w:val="00D70F74"/>
    <w:rsid w:val="00D7413D"/>
    <w:rsid w:val="00D75C69"/>
    <w:rsid w:val="00DA2809"/>
    <w:rsid w:val="00DC0476"/>
    <w:rsid w:val="00DC2729"/>
    <w:rsid w:val="00DC3632"/>
    <w:rsid w:val="00DC62D1"/>
    <w:rsid w:val="00DF115E"/>
    <w:rsid w:val="00E100DA"/>
    <w:rsid w:val="00E3628F"/>
    <w:rsid w:val="00E400B3"/>
    <w:rsid w:val="00E47167"/>
    <w:rsid w:val="00E7636C"/>
    <w:rsid w:val="00E77FC1"/>
    <w:rsid w:val="00E85C90"/>
    <w:rsid w:val="00EA275F"/>
    <w:rsid w:val="00EB4934"/>
    <w:rsid w:val="00EB4992"/>
    <w:rsid w:val="00ED35C0"/>
    <w:rsid w:val="00ED45B0"/>
    <w:rsid w:val="00EF6079"/>
    <w:rsid w:val="00F36DC5"/>
    <w:rsid w:val="00F413F2"/>
    <w:rsid w:val="00FB6A46"/>
    <w:rsid w:val="00FF2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9A40EF"/>
  <w15:chartTrackingRefBased/>
  <w15:docId w15:val="{7D9841BC-4212-4E46-B653-5BE84297B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华文中宋" w:hAnsi="Cambria" w:cs="Times New Roman (正文 CS 字体)"/>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1"/>
    <w:uiPriority w:val="9"/>
    <w:qFormat/>
    <w:rsid w:val="00D75C69"/>
    <w:pPr>
      <w:keepNext/>
      <w:keepLines/>
      <w:numPr>
        <w:numId w:val="1"/>
      </w:numPr>
      <w:spacing w:before="340" w:after="330" w:line="578" w:lineRule="auto"/>
      <w:outlineLvl w:val="0"/>
    </w:pPr>
    <w:rPr>
      <w:rFonts w:ascii="Times New Roman" w:hAnsi="Times New Roman"/>
      <w:b/>
      <w:bCs/>
      <w:kern w:val="44"/>
      <w:sz w:val="32"/>
      <w:szCs w:val="44"/>
    </w:rPr>
  </w:style>
  <w:style w:type="paragraph" w:styleId="2">
    <w:name w:val="heading 2"/>
    <w:basedOn w:val="a"/>
    <w:next w:val="a"/>
    <w:link w:val="20"/>
    <w:uiPriority w:val="9"/>
    <w:unhideWhenUsed/>
    <w:qFormat/>
    <w:rsid w:val="00D6719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05B6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67193"/>
    <w:pPr>
      <w:keepNext/>
      <w:keepLines/>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basedOn w:val="a"/>
    <w:next w:val="a"/>
    <w:link w:val="50"/>
    <w:uiPriority w:val="9"/>
    <w:semiHidden/>
    <w:unhideWhenUsed/>
    <w:qFormat/>
    <w:rsid w:val="00D67193"/>
    <w:pPr>
      <w:keepNext/>
      <w:keepLines/>
      <w:spacing w:before="80" w:after="40"/>
      <w:outlineLvl w:val="4"/>
    </w:pPr>
    <w:rPr>
      <w:rFonts w:asciiTheme="minorHAnsi" w:eastAsiaTheme="minorEastAsia" w:hAnsiTheme="minorHAnsi" w:cstheme="majorBidi"/>
      <w:color w:val="2F5496" w:themeColor="accent1" w:themeShade="BF"/>
    </w:rPr>
  </w:style>
  <w:style w:type="paragraph" w:styleId="6">
    <w:name w:val="heading 6"/>
    <w:basedOn w:val="a"/>
    <w:next w:val="a"/>
    <w:link w:val="60"/>
    <w:uiPriority w:val="9"/>
    <w:semiHidden/>
    <w:unhideWhenUsed/>
    <w:qFormat/>
    <w:rsid w:val="00D67193"/>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semiHidden/>
    <w:unhideWhenUsed/>
    <w:qFormat/>
    <w:rsid w:val="00D6719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D6719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D67193"/>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
    <w:uiPriority w:val="9"/>
    <w:rsid w:val="00D75C69"/>
    <w:rPr>
      <w:rFonts w:ascii="Times New Roman" w:hAnsi="Times New Roman"/>
      <w:b/>
      <w:bCs/>
      <w:kern w:val="44"/>
      <w:sz w:val="32"/>
      <w:szCs w:val="44"/>
    </w:rPr>
  </w:style>
  <w:style w:type="paragraph" w:customStyle="1" w:styleId="10">
    <w:name w:val="样式1"/>
    <w:basedOn w:val="3"/>
    <w:qFormat/>
    <w:rsid w:val="00405B6B"/>
    <w:pPr>
      <w:widowControl/>
      <w:numPr>
        <w:ilvl w:val="2"/>
        <w:numId w:val="1"/>
      </w:numPr>
      <w:snapToGrid w:val="0"/>
      <w:spacing w:before="40" w:after="0" w:line="360" w:lineRule="auto"/>
      <w:jc w:val="left"/>
    </w:pPr>
    <w:rPr>
      <w:rFonts w:ascii="Arial" w:eastAsia="Times New Roman" w:hAnsi="Arial" w:cstheme="majorBidi"/>
      <w:bCs w:val="0"/>
      <w:kern w:val="0"/>
      <w:sz w:val="24"/>
      <w:szCs w:val="24"/>
      <w:lang w:eastAsia="en-US"/>
    </w:rPr>
  </w:style>
  <w:style w:type="character" w:customStyle="1" w:styleId="30">
    <w:name w:val="标题 3 字符"/>
    <w:basedOn w:val="a0"/>
    <w:link w:val="3"/>
    <w:uiPriority w:val="9"/>
    <w:semiHidden/>
    <w:rsid w:val="00405B6B"/>
    <w:rPr>
      <w:b/>
      <w:bCs/>
      <w:sz w:val="32"/>
      <w:szCs w:val="32"/>
    </w:rPr>
  </w:style>
  <w:style w:type="character" w:customStyle="1" w:styleId="20">
    <w:name w:val="标题 2 字符"/>
    <w:basedOn w:val="a0"/>
    <w:link w:val="2"/>
    <w:uiPriority w:val="9"/>
    <w:rsid w:val="00D67193"/>
    <w:rPr>
      <w:rFonts w:asciiTheme="majorHAnsi" w:eastAsiaTheme="majorEastAsia" w:hAnsiTheme="majorHAnsi" w:cstheme="majorBidi"/>
      <w:color w:val="2F5496" w:themeColor="accent1" w:themeShade="BF"/>
      <w:sz w:val="40"/>
      <w:szCs w:val="40"/>
    </w:rPr>
  </w:style>
  <w:style w:type="character" w:customStyle="1" w:styleId="40">
    <w:name w:val="标题 4 字符"/>
    <w:basedOn w:val="a0"/>
    <w:link w:val="4"/>
    <w:uiPriority w:val="9"/>
    <w:semiHidden/>
    <w:rsid w:val="00D67193"/>
    <w:rPr>
      <w:rFonts w:asciiTheme="minorHAnsi" w:eastAsiaTheme="minorEastAsia" w:hAnsiTheme="minorHAnsi" w:cstheme="majorBidi"/>
      <w:color w:val="2F5496" w:themeColor="accent1" w:themeShade="BF"/>
      <w:sz w:val="28"/>
      <w:szCs w:val="28"/>
    </w:rPr>
  </w:style>
  <w:style w:type="character" w:customStyle="1" w:styleId="50">
    <w:name w:val="标题 5 字符"/>
    <w:basedOn w:val="a0"/>
    <w:link w:val="5"/>
    <w:uiPriority w:val="9"/>
    <w:semiHidden/>
    <w:rsid w:val="00D67193"/>
    <w:rPr>
      <w:rFonts w:asciiTheme="minorHAnsi" w:eastAsiaTheme="minorEastAsia" w:hAnsiTheme="minorHAnsi" w:cstheme="majorBidi"/>
      <w:color w:val="2F5496" w:themeColor="accent1" w:themeShade="BF"/>
    </w:rPr>
  </w:style>
  <w:style w:type="character" w:customStyle="1" w:styleId="60">
    <w:name w:val="标题 6 字符"/>
    <w:basedOn w:val="a0"/>
    <w:link w:val="6"/>
    <w:uiPriority w:val="9"/>
    <w:semiHidden/>
    <w:rsid w:val="00D67193"/>
    <w:rPr>
      <w:rFonts w:asciiTheme="minorHAnsi" w:eastAsiaTheme="minorEastAsia" w:hAnsiTheme="minorHAnsi" w:cstheme="majorBidi"/>
      <w:b/>
      <w:bCs/>
      <w:color w:val="2F5496" w:themeColor="accent1" w:themeShade="BF"/>
    </w:rPr>
  </w:style>
  <w:style w:type="character" w:customStyle="1" w:styleId="70">
    <w:name w:val="标题 7 字符"/>
    <w:basedOn w:val="a0"/>
    <w:link w:val="7"/>
    <w:uiPriority w:val="9"/>
    <w:semiHidden/>
    <w:rsid w:val="00D67193"/>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D67193"/>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D67193"/>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D6719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6719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6719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6719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67193"/>
    <w:pPr>
      <w:spacing w:before="160" w:after="160"/>
      <w:jc w:val="center"/>
    </w:pPr>
    <w:rPr>
      <w:i/>
      <w:iCs/>
      <w:color w:val="404040" w:themeColor="text1" w:themeTint="BF"/>
    </w:rPr>
  </w:style>
  <w:style w:type="character" w:customStyle="1" w:styleId="a8">
    <w:name w:val="引用 字符"/>
    <w:basedOn w:val="a0"/>
    <w:link w:val="a7"/>
    <w:uiPriority w:val="29"/>
    <w:rsid w:val="00D67193"/>
    <w:rPr>
      <w:i/>
      <w:iCs/>
      <w:color w:val="404040" w:themeColor="text1" w:themeTint="BF"/>
    </w:rPr>
  </w:style>
  <w:style w:type="paragraph" w:styleId="a9">
    <w:name w:val="List Paragraph"/>
    <w:basedOn w:val="a"/>
    <w:uiPriority w:val="34"/>
    <w:qFormat/>
    <w:rsid w:val="00D67193"/>
    <w:pPr>
      <w:ind w:left="720"/>
      <w:contextualSpacing/>
    </w:pPr>
  </w:style>
  <w:style w:type="character" w:styleId="aa">
    <w:name w:val="Intense Emphasis"/>
    <w:basedOn w:val="a0"/>
    <w:uiPriority w:val="21"/>
    <w:qFormat/>
    <w:rsid w:val="00D67193"/>
    <w:rPr>
      <w:i/>
      <w:iCs/>
      <w:color w:val="2F5496" w:themeColor="accent1" w:themeShade="BF"/>
    </w:rPr>
  </w:style>
  <w:style w:type="paragraph" w:styleId="ab">
    <w:name w:val="Intense Quote"/>
    <w:basedOn w:val="a"/>
    <w:next w:val="a"/>
    <w:link w:val="ac"/>
    <w:uiPriority w:val="30"/>
    <w:qFormat/>
    <w:rsid w:val="00D671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D67193"/>
    <w:rPr>
      <w:i/>
      <w:iCs/>
      <w:color w:val="2F5496" w:themeColor="accent1" w:themeShade="BF"/>
    </w:rPr>
  </w:style>
  <w:style w:type="character" w:styleId="ad">
    <w:name w:val="Intense Reference"/>
    <w:basedOn w:val="a0"/>
    <w:uiPriority w:val="32"/>
    <w:qFormat/>
    <w:rsid w:val="00D67193"/>
    <w:rPr>
      <w:b/>
      <w:bCs/>
      <w:smallCaps/>
      <w:color w:val="2F5496" w:themeColor="accent1" w:themeShade="BF"/>
      <w:spacing w:val="5"/>
    </w:rPr>
  </w:style>
  <w:style w:type="paragraph" w:styleId="ae">
    <w:name w:val="Normal (Web)"/>
    <w:basedOn w:val="a"/>
    <w:uiPriority w:val="99"/>
    <w:semiHidden/>
    <w:unhideWhenUsed/>
    <w:rsid w:val="00D67193"/>
    <w:pPr>
      <w:widowControl/>
      <w:spacing w:before="100" w:beforeAutospacing="1" w:after="100" w:afterAutospacing="1"/>
      <w:jc w:val="left"/>
    </w:pPr>
    <w:rPr>
      <w:rFonts w:ascii="宋体" w:eastAsia="宋体" w:hAnsi="宋体" w:cs="宋体"/>
      <w:kern w:val="0"/>
    </w:rPr>
  </w:style>
  <w:style w:type="character" w:customStyle="1" w:styleId="apple-converted-space">
    <w:name w:val="apple-converted-space"/>
    <w:basedOn w:val="a0"/>
    <w:rsid w:val="00D67193"/>
  </w:style>
  <w:style w:type="character" w:styleId="af">
    <w:name w:val="Hyperlink"/>
    <w:basedOn w:val="a0"/>
    <w:uiPriority w:val="99"/>
    <w:semiHidden/>
    <w:unhideWhenUsed/>
    <w:rsid w:val="00D67193"/>
    <w:rPr>
      <w:color w:val="0000FF"/>
      <w:u w:val="single"/>
    </w:rPr>
  </w:style>
  <w:style w:type="character" w:styleId="af0">
    <w:name w:val="Emphasis"/>
    <w:basedOn w:val="a0"/>
    <w:uiPriority w:val="20"/>
    <w:qFormat/>
    <w:rsid w:val="00D67193"/>
    <w:rPr>
      <w:i/>
      <w:iCs/>
    </w:rPr>
  </w:style>
  <w:style w:type="character" w:styleId="af1">
    <w:name w:val="Strong"/>
    <w:basedOn w:val="a0"/>
    <w:uiPriority w:val="22"/>
    <w:qFormat/>
    <w:rsid w:val="00D67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412983">
      <w:bodyDiv w:val="1"/>
      <w:marLeft w:val="0"/>
      <w:marRight w:val="0"/>
      <w:marTop w:val="0"/>
      <w:marBottom w:val="0"/>
      <w:divBdr>
        <w:top w:val="none" w:sz="0" w:space="0" w:color="auto"/>
        <w:left w:val="none" w:sz="0" w:space="0" w:color="auto"/>
        <w:bottom w:val="none" w:sz="0" w:space="0" w:color="auto"/>
        <w:right w:val="none" w:sz="0" w:space="0" w:color="auto"/>
      </w:divBdr>
      <w:divsChild>
        <w:div w:id="2037463724">
          <w:marLeft w:val="0"/>
          <w:marRight w:val="0"/>
          <w:marTop w:val="0"/>
          <w:marBottom w:val="0"/>
          <w:divBdr>
            <w:top w:val="none" w:sz="0" w:space="0" w:color="auto"/>
            <w:left w:val="none" w:sz="0" w:space="0" w:color="auto"/>
            <w:bottom w:val="none" w:sz="0" w:space="0" w:color="auto"/>
            <w:right w:val="none" w:sz="0" w:space="0" w:color="auto"/>
          </w:divBdr>
          <w:divsChild>
            <w:div w:id="1730613893">
              <w:marLeft w:val="0"/>
              <w:marRight w:val="0"/>
              <w:marTop w:val="0"/>
              <w:marBottom w:val="0"/>
              <w:divBdr>
                <w:top w:val="none" w:sz="0" w:space="0" w:color="auto"/>
                <w:left w:val="none" w:sz="0" w:space="0" w:color="auto"/>
                <w:bottom w:val="none" w:sz="0" w:space="0" w:color="auto"/>
                <w:right w:val="none" w:sz="0" w:space="0" w:color="auto"/>
              </w:divBdr>
            </w:div>
          </w:divsChild>
        </w:div>
        <w:div w:id="1689679713">
          <w:marLeft w:val="300"/>
          <w:marRight w:val="0"/>
          <w:marTop w:val="750"/>
          <w:marBottom w:val="0"/>
          <w:divBdr>
            <w:top w:val="none" w:sz="0" w:space="0" w:color="auto"/>
            <w:left w:val="none" w:sz="0" w:space="0" w:color="auto"/>
            <w:bottom w:val="none" w:sz="0" w:space="0" w:color="auto"/>
            <w:right w:val="none" w:sz="0" w:space="0" w:color="auto"/>
          </w:divBdr>
        </w:div>
        <w:div w:id="2104566645">
          <w:marLeft w:val="0"/>
          <w:marRight w:val="0"/>
          <w:marTop w:val="0"/>
          <w:marBottom w:val="0"/>
          <w:divBdr>
            <w:top w:val="none" w:sz="0" w:space="0" w:color="auto"/>
            <w:left w:val="none" w:sz="0" w:space="0" w:color="auto"/>
            <w:bottom w:val="none" w:sz="0" w:space="0" w:color="auto"/>
            <w:right w:val="none" w:sz="0" w:space="0" w:color="auto"/>
          </w:divBdr>
        </w:div>
        <w:div w:id="1027289492">
          <w:marLeft w:val="0"/>
          <w:marRight w:val="0"/>
          <w:marTop w:val="0"/>
          <w:marBottom w:val="0"/>
          <w:divBdr>
            <w:top w:val="none" w:sz="0" w:space="0" w:color="auto"/>
            <w:left w:val="none" w:sz="0" w:space="0" w:color="auto"/>
            <w:bottom w:val="none" w:sz="0" w:space="0" w:color="auto"/>
            <w:right w:val="none" w:sz="0" w:space="0" w:color="auto"/>
          </w:divBdr>
          <w:divsChild>
            <w:div w:id="1667053163">
              <w:marLeft w:val="0"/>
              <w:marRight w:val="0"/>
              <w:marTop w:val="0"/>
              <w:marBottom w:val="0"/>
              <w:divBdr>
                <w:top w:val="none" w:sz="0" w:space="0" w:color="auto"/>
                <w:left w:val="none" w:sz="0" w:space="0" w:color="auto"/>
                <w:bottom w:val="none" w:sz="0" w:space="0" w:color="auto"/>
                <w:right w:val="none" w:sz="0" w:space="0" w:color="auto"/>
              </w:divBdr>
            </w:div>
          </w:divsChild>
        </w:div>
        <w:div w:id="391270590">
          <w:marLeft w:val="300"/>
          <w:marRight w:val="0"/>
          <w:marTop w:val="150"/>
          <w:marBottom w:val="0"/>
          <w:divBdr>
            <w:top w:val="none" w:sz="0" w:space="0" w:color="auto"/>
            <w:left w:val="none" w:sz="0" w:space="0" w:color="auto"/>
            <w:bottom w:val="none" w:sz="0" w:space="0" w:color="auto"/>
            <w:right w:val="none" w:sz="0" w:space="0" w:color="auto"/>
          </w:divBdr>
        </w:div>
        <w:div w:id="987591883">
          <w:marLeft w:val="0"/>
          <w:marRight w:val="0"/>
          <w:marTop w:val="0"/>
          <w:marBottom w:val="0"/>
          <w:divBdr>
            <w:top w:val="none" w:sz="0" w:space="0" w:color="auto"/>
            <w:left w:val="none" w:sz="0" w:space="0" w:color="auto"/>
            <w:bottom w:val="none" w:sz="0" w:space="0" w:color="auto"/>
            <w:right w:val="none" w:sz="0" w:space="0" w:color="auto"/>
          </w:divBdr>
        </w:div>
        <w:div w:id="575632092">
          <w:marLeft w:val="0"/>
          <w:marRight w:val="0"/>
          <w:marTop w:val="0"/>
          <w:marBottom w:val="150"/>
          <w:divBdr>
            <w:top w:val="none" w:sz="0" w:space="0" w:color="auto"/>
            <w:left w:val="none" w:sz="0" w:space="0" w:color="auto"/>
            <w:bottom w:val="none" w:sz="0" w:space="0" w:color="auto"/>
            <w:right w:val="none" w:sz="0" w:space="0" w:color="auto"/>
          </w:divBdr>
        </w:div>
        <w:div w:id="124743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ycpeptmpdb.co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1123</Words>
  <Characters>6403</Characters>
  <Application>Microsoft Office Word</Application>
  <DocSecurity>0</DocSecurity>
  <Lines>53</Lines>
  <Paragraphs>15</Paragraphs>
  <ScaleCrop>false</ScaleCrop>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QIUSHI FENG</dc:creator>
  <cp:keywords/>
  <dc:description/>
  <cp:lastModifiedBy>QIUSHI FENG</cp:lastModifiedBy>
  <cp:revision>2</cp:revision>
  <dcterms:created xsi:type="dcterms:W3CDTF">2024-04-17T07:59:00Z</dcterms:created>
  <dcterms:modified xsi:type="dcterms:W3CDTF">2024-04-17T08:05:00Z</dcterms:modified>
</cp:coreProperties>
</file>