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0" w:lineRule="auto"/>
        <w:jc w:val="center"/>
      </w:pPr>
      <w:r>
        <w:rPr>
          <w:rFonts w:ascii="Times New Roman" w:hAnsi="Times New Roman"/>
          <w:b/>
          <w:i w:val="0"/>
          <w:color w:val="005288"/>
          <w:sz w:val="32"/>
        </w:rPr>
        <w:t>SPACE EXPLORATION TECHNOLOGIES CORP. (SPCX)</w:t>
      </w:r>
    </w:p>
    <w:p>
      <w:pPr>
        <w:spacing w:before="0" w:after="40" w:line="250" w:lineRule="auto"/>
        <w:jc w:val="center"/>
      </w:pPr>
      <w:r>
        <w:rPr>
          <w:rFonts w:ascii="Times New Roman" w:hAnsi="Times New Roman"/>
          <w:b/>
          <w:i w:val="0"/>
          <w:color w:val="0B2545"/>
          <w:sz w:val="27"/>
        </w:rPr>
        <w:t>Q2 2026 EARNINGS UPDATE</w:t>
      </w:r>
    </w:p>
    <w:p>
      <w:pPr>
        <w:spacing w:before="0" w:after="140" w:line="250" w:lineRule="auto"/>
        <w:jc w:val="center"/>
      </w:pPr>
      <w:r>
        <w:rPr>
          <w:rFonts w:ascii="Times New Roman" w:hAnsi="Times New Roman"/>
          <w:b/>
          <w:i w:val="0"/>
          <w:color w:val="005288"/>
          <w:sz w:val="23"/>
        </w:rPr>
        <w:t>Revenue and EBITDA Beat; AI Capex Becomes the Valuation Battleground</w:t>
      </w:r>
    </w:p>
    <w:p>
      <w:pPr>
        <w:spacing w:before="0" w:after="100" w:line="250" w:lineRule="auto"/>
        <w:jc w:val="center"/>
      </w:pPr>
      <w:r>
        <w:rPr>
          <w:rFonts w:ascii="Times New Roman" w:hAnsi="Times New Roman"/>
          <w:b/>
          <w:i w:val="0"/>
          <w:color w:val="667085"/>
          <w:sz w:val="17"/>
        </w:rPr>
        <w:t>5 August 2026  |  Rating: UPGRADE TO OUTPERFORM  |  Price: $115.10  |  PT: $150  |  Upside: 30.3%</w:t>
      </w:r>
    </w:p>
    <w:p>
      <w:pPr>
        <w:spacing w:before="0" w:after="120" w:line="250" w:lineRule="auto"/>
        <w:jc w:val="center"/>
      </w:pPr>
      <w:r>
        <w:rPr>
          <w:rFonts w:ascii="Times New Roman" w:hAnsi="Times New Roman"/>
          <w:b w:val="0"/>
          <w:i w:val="0"/>
          <w:color w:val="667085"/>
          <w:sz w:val="16"/>
        </w:rPr>
        <w:t>Market cap: $1.52T  |  Since-listing range: $104.83-$225.64  |  IPO price: $135</w:t>
      </w:r>
    </w:p>
    <w:p>
      <w:pPr>
        <w:pStyle w:val="Heading2"/>
      </w:pPr>
      <w:r>
        <w:rPr>
          <w:rFonts w:ascii="Times New Roman" w:hAnsi="Times New Roman"/>
          <w:b/>
          <w:i w:val="0"/>
          <w:color w:val="0B2545"/>
          <w:sz w:val="23"/>
        </w:rPr>
        <w:t>Earnings summary</w:t>
      </w:r>
    </w:p>
    <w:tbl>
      <w:tblPr>
        <w:tblStyle w:val="TableGrid"/>
        <w:tblW w:type="dxa" w:w="9360"/>
        <w:jc w:val="center"/>
        <w:tblLayout w:type="fixed"/>
        <w:tblLook w:firstColumn="1" w:firstRow="1" w:lastColumn="0" w:lastRow="0" w:noHBand="0" w:noVBand="1" w:val="04A0"/>
        <w:tblInd w:w="120" w:type="dxa"/>
      </w:tblPr>
      <w:tblGrid>
        <w:gridCol w:w="1650"/>
        <w:gridCol w:w="1200"/>
        <w:gridCol w:w="1200"/>
        <w:gridCol w:w="1800"/>
        <w:gridCol w:w="3510"/>
      </w:tblGrid>
      <w:tr>
        <w:trPr>
          <w:tblHeader w:val="true"/>
        </w:trPr>
        <w:tc>
          <w:tcPr>
            <w:tcW w:type="dxa" w:w="1650"/>
            <w:shd w:fill="0B2545"/>
            <w:tcMar>
              <w:top w:w="80" w:type="dxa"/>
              <w:start w:w="120" w:type="dxa"/>
              <w:bottom w:w="80" w:type="dxa"/>
              <w:end w:w="120" w:type="dxa"/>
            </w:tcMar>
            <w:vAlign w:val="center"/>
          </w:tcPr>
          <w:p>
            <w:pPr>
              <w:spacing w:after="0"/>
              <w:jc w:val="center"/>
            </w:pPr>
            <w:r>
              <w:rPr>
                <w:rFonts w:ascii="Times New Roman" w:hAnsi="Times New Roman"/>
                <w:b/>
                <w:i w:val="0"/>
                <w:color w:val="FFFFFF"/>
                <w:sz w:val="15"/>
              </w:rPr>
              <w:t>Metric</w:t>
            </w:r>
          </w:p>
        </w:tc>
        <w:tc>
          <w:tcPr>
            <w:tcW w:type="dxa" w:w="1200"/>
            <w:shd w:fill="0B2545"/>
            <w:tcMar>
              <w:top w:w="80" w:type="dxa"/>
              <w:start w:w="120" w:type="dxa"/>
              <w:bottom w:w="80" w:type="dxa"/>
              <w:end w:w="120" w:type="dxa"/>
            </w:tcMar>
            <w:vAlign w:val="center"/>
          </w:tcPr>
          <w:p>
            <w:pPr>
              <w:spacing w:after="0"/>
              <w:jc w:val="center"/>
            </w:pPr>
            <w:r>
              <w:rPr>
                <w:rFonts w:ascii="Times New Roman" w:hAnsi="Times New Roman"/>
                <w:b/>
                <w:i w:val="0"/>
                <w:color w:val="FFFFFF"/>
                <w:sz w:val="15"/>
              </w:rPr>
              <w:t>Reported</w:t>
            </w:r>
          </w:p>
        </w:tc>
        <w:tc>
          <w:tcPr>
            <w:tcW w:type="dxa" w:w="1200"/>
            <w:shd w:fill="0B2545"/>
            <w:tcMar>
              <w:top w:w="80" w:type="dxa"/>
              <w:start w:w="120" w:type="dxa"/>
              <w:bottom w:w="80" w:type="dxa"/>
              <w:end w:w="120" w:type="dxa"/>
            </w:tcMar>
            <w:vAlign w:val="center"/>
          </w:tcPr>
          <w:p>
            <w:pPr>
              <w:spacing w:after="0"/>
              <w:jc w:val="center"/>
            </w:pPr>
            <w:r>
              <w:rPr>
                <w:rFonts w:ascii="Times New Roman" w:hAnsi="Times New Roman"/>
                <w:b/>
                <w:i w:val="0"/>
                <w:color w:val="FFFFFF"/>
                <w:sz w:val="15"/>
              </w:rPr>
              <w:t>Reference</w:t>
            </w:r>
          </w:p>
        </w:tc>
        <w:tc>
          <w:tcPr>
            <w:tcW w:type="dxa" w:w="1800"/>
            <w:shd w:fill="0B2545"/>
            <w:tcMar>
              <w:top w:w="80" w:type="dxa"/>
              <w:start w:w="120" w:type="dxa"/>
              <w:bottom w:w="80" w:type="dxa"/>
              <w:end w:w="120" w:type="dxa"/>
            </w:tcMar>
            <w:vAlign w:val="center"/>
          </w:tcPr>
          <w:p>
            <w:pPr>
              <w:spacing w:after="0"/>
              <w:jc w:val="center"/>
            </w:pPr>
            <w:r>
              <w:rPr>
                <w:rFonts w:ascii="Times New Roman" w:hAnsi="Times New Roman"/>
                <w:b/>
                <w:i w:val="0"/>
                <w:color w:val="FFFFFF"/>
                <w:sz w:val="15"/>
              </w:rPr>
              <w:t>Variance</w:t>
            </w:r>
          </w:p>
        </w:tc>
        <w:tc>
          <w:tcPr>
            <w:tcW w:type="dxa" w:w="3510"/>
            <w:shd w:fill="0B2545"/>
            <w:tcMar>
              <w:top w:w="80" w:type="dxa"/>
              <w:start w:w="120" w:type="dxa"/>
              <w:bottom w:w="80" w:type="dxa"/>
              <w:end w:w="120" w:type="dxa"/>
            </w:tcMar>
            <w:vAlign w:val="center"/>
          </w:tcPr>
          <w:p>
            <w:pPr>
              <w:spacing w:after="0"/>
              <w:jc w:val="center"/>
            </w:pPr>
            <w:r>
              <w:rPr>
                <w:rFonts w:ascii="Times New Roman" w:hAnsi="Times New Roman"/>
                <w:b/>
                <w:i w:val="0"/>
                <w:color w:val="FFFFFF"/>
                <w:sz w:val="15"/>
              </w:rPr>
              <w:t>Reference basis</w:t>
            </w:r>
          </w:p>
        </w:tc>
      </w:tr>
      <w:tr>
        <w:tc>
          <w:tcPr>
            <w:tcW w:type="dxa" w:w="1650"/>
            <w:tcMar>
              <w:top w:w="80" w:type="dxa"/>
              <w:start w:w="120" w:type="dxa"/>
              <w:bottom w:w="80" w:type="dxa"/>
              <w:end w:w="120" w:type="dxa"/>
            </w:tcMar>
            <w:vAlign w:val="center"/>
          </w:tcPr>
          <w:p>
            <w:pPr>
              <w:spacing w:after="0" w:line="240" w:lineRule="auto"/>
              <w:jc w:val="left"/>
            </w:pPr>
            <w:r>
              <w:rPr>
                <w:rFonts w:ascii="Times New Roman" w:hAnsi="Times New Roman"/>
                <w:b w:val="0"/>
                <w:i w:val="0"/>
                <w:sz w:val="15"/>
              </w:rPr>
              <w:t>Revenue</w:t>
            </w:r>
          </w:p>
        </w:tc>
        <w:tc>
          <w:tcPr>
            <w:tcW w:type="dxa" w:w="120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$7.814B</w:t>
            </w:r>
          </w:p>
        </w:tc>
        <w:tc>
          <w:tcPr>
            <w:tcW w:type="dxa" w:w="120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$6.900B</w:t>
            </w:r>
          </w:p>
        </w:tc>
        <w:tc>
          <w:tcPr>
            <w:tcW w:type="dxa" w:w="180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+$0.914B / +13.2%</w:t>
            </w:r>
          </w:p>
        </w:tc>
        <w:tc>
          <w:tcPr>
            <w:tcW w:type="dxa" w:w="351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S&amp;P Visible Alpha consensus</w:t>
            </w:r>
          </w:p>
        </w:tc>
      </w:tr>
      <w:tr>
        <w:tc>
          <w:tcPr>
            <w:tcW w:type="dxa" w:w="1650"/>
            <w:shd w:fill="F2F4F7"/>
            <w:tcMar>
              <w:top w:w="80" w:type="dxa"/>
              <w:start w:w="120" w:type="dxa"/>
              <w:bottom w:w="80" w:type="dxa"/>
              <w:end w:w="120" w:type="dxa"/>
            </w:tcMar>
            <w:vAlign w:val="center"/>
          </w:tcPr>
          <w:p>
            <w:pPr>
              <w:spacing w:after="0" w:line="240" w:lineRule="auto"/>
              <w:jc w:val="left"/>
            </w:pPr>
            <w:r>
              <w:rPr>
                <w:rFonts w:ascii="Times New Roman" w:hAnsi="Times New Roman"/>
                <w:b w:val="0"/>
                <w:i w:val="0"/>
                <w:sz w:val="15"/>
              </w:rPr>
              <w:t>GAAP EPS</w:t>
            </w:r>
          </w:p>
        </w:tc>
        <w:tc>
          <w:tcPr>
            <w:tcW w:type="dxa" w:w="120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$(0.09)</w:t>
            </w:r>
          </w:p>
        </w:tc>
        <w:tc>
          <w:tcPr>
            <w:tcW w:type="dxa" w:w="120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$(0.29)</w:t>
            </w:r>
          </w:p>
        </w:tc>
        <w:tc>
          <w:tcPr>
            <w:tcW w:type="dxa" w:w="180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+$0.20 better</w:t>
            </w:r>
          </w:p>
        </w:tc>
        <w:tc>
          <w:tcPr>
            <w:tcW w:type="dxa" w:w="351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Pre-results Street consensus</w:t>
            </w:r>
          </w:p>
        </w:tc>
      </w:tr>
      <w:tr>
        <w:tc>
          <w:tcPr>
            <w:tcW w:type="dxa" w:w="1650"/>
            <w:tcMar>
              <w:top w:w="80" w:type="dxa"/>
              <w:start w:w="120" w:type="dxa"/>
              <w:bottom w:w="80" w:type="dxa"/>
              <w:end w:w="120" w:type="dxa"/>
            </w:tcMar>
            <w:vAlign w:val="center"/>
          </w:tcPr>
          <w:p>
            <w:pPr>
              <w:spacing w:after="0" w:line="240" w:lineRule="auto"/>
              <w:jc w:val="left"/>
            </w:pPr>
            <w:r>
              <w:rPr>
                <w:rFonts w:ascii="Times New Roman" w:hAnsi="Times New Roman"/>
                <w:b w:val="0"/>
                <w:i w:val="0"/>
                <w:sz w:val="15"/>
              </w:rPr>
              <w:t>Adjusted EBITDA</w:t>
            </w:r>
          </w:p>
        </w:tc>
        <w:tc>
          <w:tcPr>
            <w:tcW w:type="dxa" w:w="120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$3.538B</w:t>
            </w:r>
          </w:p>
        </w:tc>
        <w:tc>
          <w:tcPr>
            <w:tcW w:type="dxa" w:w="120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$1.127B</w:t>
            </w:r>
          </w:p>
        </w:tc>
        <w:tc>
          <w:tcPr>
            <w:tcW w:type="dxa" w:w="180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+214% QoQ</w:t>
            </w:r>
          </w:p>
        </w:tc>
        <w:tc>
          <w:tcPr>
            <w:tcW w:type="dxa" w:w="351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Q1 2026 actual</w:t>
            </w:r>
          </w:p>
        </w:tc>
      </w:tr>
      <w:tr>
        <w:tc>
          <w:tcPr>
            <w:tcW w:type="dxa" w:w="1650"/>
            <w:shd w:fill="F2F4F7"/>
            <w:tcMar>
              <w:top w:w="80" w:type="dxa"/>
              <w:start w:w="120" w:type="dxa"/>
              <w:bottom w:w="80" w:type="dxa"/>
              <w:end w:w="120" w:type="dxa"/>
            </w:tcMar>
            <w:vAlign w:val="center"/>
          </w:tcPr>
          <w:p>
            <w:pPr>
              <w:spacing w:after="0" w:line="240" w:lineRule="auto"/>
              <w:jc w:val="left"/>
            </w:pPr>
            <w:r>
              <w:rPr>
                <w:rFonts w:ascii="Times New Roman" w:hAnsi="Times New Roman"/>
                <w:b/>
                <w:i w:val="0"/>
                <w:sz w:val="15"/>
              </w:rPr>
              <w:t>Capital expenditures</w:t>
            </w:r>
          </w:p>
        </w:tc>
        <w:tc>
          <w:tcPr>
            <w:tcW w:type="dxa" w:w="120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$18.369B</w:t>
            </w:r>
          </w:p>
        </w:tc>
        <w:tc>
          <w:tcPr>
            <w:tcW w:type="dxa" w:w="120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$10.107B</w:t>
            </w:r>
          </w:p>
        </w:tc>
        <w:tc>
          <w:tcPr>
            <w:tcW w:type="dxa" w:w="180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+81.7% QoQ</w:t>
            </w:r>
          </w:p>
        </w:tc>
        <w:tc>
          <w:tcPr>
            <w:tcW w:type="dxa" w:w="351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Q1 2026 actual</w:t>
            </w:r>
          </w:p>
        </w:tc>
      </w:tr>
    </w:tbl>
    <w:p>
      <w:pPr>
        <w:spacing w:before="40" w:after="80"/>
      </w:pPr>
      <w:r>
        <w:rPr>
          <w:rFonts w:ascii="Times New Roman" w:hAnsi="Times New Roman"/>
          <w:b w:val="0"/>
          <w:i/>
          <w:color w:val="667085"/>
          <w:sz w:val="14"/>
        </w:rPr>
        <w:t xml:space="preserve">Source: </w:t>
      </w:r>
      <w:hyperlink r:id="rId11">
        <w:r>
          <w:rPr>
            <w:rFonts w:ascii="Times New Roman" w:hAnsi="Times New Roman"/>
            <w:color w:val="0563C1"/>
            <w:u w:val="single"/>
            <w:sz w:val="14"/>
          </w:rPr>
          <w:t>Q2 earnings release</w:t>
        </w:r>
      </w:hyperlink>
      <w:r>
        <w:rPr>
          <w:rFonts w:ascii="Times New Roman" w:hAnsi="Times New Roman"/>
          <w:b w:val="0"/>
          <w:i/>
          <w:color w:val="667085"/>
          <w:sz w:val="14"/>
        </w:rPr>
        <w:t xml:space="preserve">; </w:t>
      </w:r>
      <w:hyperlink r:id="rId12">
        <w:r>
          <w:rPr>
            <w:rFonts w:ascii="Times New Roman" w:hAnsi="Times New Roman"/>
            <w:color w:val="0563C1"/>
            <w:u w:val="single"/>
            <w:sz w:val="14"/>
          </w:rPr>
          <w:t>Form 10-Q</w:t>
        </w:r>
      </w:hyperlink>
      <w:r>
        <w:rPr>
          <w:rFonts w:ascii="Times New Roman" w:hAnsi="Times New Roman"/>
          <w:b w:val="0"/>
          <w:i/>
          <w:color w:val="667085"/>
          <w:sz w:val="14"/>
        </w:rPr>
        <w:t xml:space="preserve">; </w:t>
      </w:r>
      <w:hyperlink r:id="rId13">
        <w:r>
          <w:rPr>
            <w:rFonts w:ascii="Times New Roman" w:hAnsi="Times New Roman"/>
            <w:color w:val="0563C1"/>
            <w:u w:val="single"/>
            <w:sz w:val="14"/>
          </w:rPr>
          <w:t>Axios / Visible Alpha consensus</w:t>
        </w:r>
      </w:hyperlink>
      <w:r>
        <w:rPr>
          <w:rFonts w:ascii="Times New Roman" w:hAnsi="Times New Roman"/>
          <w:b w:val="0"/>
          <w:i/>
          <w:color w:val="667085"/>
          <w:sz w:val="14"/>
        </w:rPr>
        <w:t xml:space="preserve">; </w:t>
      </w:r>
      <w:hyperlink r:id="rId14">
        <w:r>
          <w:rPr>
            <w:rFonts w:ascii="Times New Roman" w:hAnsi="Times New Roman"/>
            <w:color w:val="0563C1"/>
            <w:u w:val="single"/>
            <w:sz w:val="14"/>
          </w:rPr>
          <w:t>Kiplinger pre-results consensus</w:t>
        </w:r>
      </w:hyperlink>
      <w:r>
        <w:rPr>
          <w:rFonts w:ascii="Times New Roman" w:hAnsi="Times New Roman"/>
          <w:b w:val="0"/>
          <w:i/>
          <w:color w:val="667085"/>
          <w:sz w:val="14"/>
        </w:rPr>
        <w:t>. Results released and filed 4 August 2026</w:t>
      </w:r>
    </w:p>
    <w:p>
      <w:pPr>
        <w:pStyle w:val="Heading2"/>
      </w:pPr>
      <w:r>
        <w:rPr>
          <w:rFonts w:ascii="Times New Roman" w:hAnsi="Times New Roman"/>
          <w:b/>
          <w:i w:val="0"/>
          <w:color w:val="0B2545"/>
          <w:sz w:val="23"/>
        </w:rPr>
        <w:t>Investment impact</w:t>
      </w:r>
    </w:p>
    <w:p>
      <w:pPr>
        <w:numPr>
          <w:ilvl w:val="0"/>
          <w:numId w:val="10"/>
        </w:numPr>
        <w:spacing w:after="80" w:line="247" w:lineRule="auto"/>
      </w:pPr>
      <w:r>
        <w:rPr>
          <w:rFonts w:ascii="Times New Roman" w:hAnsi="Times New Roman"/>
          <w:b/>
          <w:i w:val="0"/>
          <w:color w:val="0B2545"/>
          <w:sz w:val="17"/>
        </w:rPr>
        <w:t xml:space="preserve">The P&amp;L beat was real and broad-based. </w:t>
      </w:r>
      <w:r>
        <w:rPr>
          <w:rFonts w:ascii="Times New Roman" w:hAnsi="Times New Roman"/>
          <w:b w:val="0"/>
          <w:i w:val="0"/>
          <w:sz w:val="17"/>
        </w:rPr>
        <w:t>Revenue rose 92% YoY and beat consensus by 13%; adjusted EBITDA nearly tripled to $3.5B. Connectivity remained the earnings engine, while AI adjusted EBITDA turned positive as contracted cloud capacity began to monetize.</w:t>
      </w:r>
    </w:p>
    <w:p>
      <w:pPr>
        <w:numPr>
          <w:ilvl w:val="0"/>
          <w:numId w:val="10"/>
        </w:numPr>
        <w:spacing w:after="80" w:line="247" w:lineRule="auto"/>
      </w:pPr>
      <w:r>
        <w:rPr>
          <w:rFonts w:ascii="Times New Roman" w:hAnsi="Times New Roman"/>
          <w:b/>
          <w:i w:val="0"/>
          <w:color w:val="0B2545"/>
          <w:sz w:val="17"/>
        </w:rPr>
        <w:t xml:space="preserve">The cash-flow debate worsened materially. </w:t>
      </w:r>
      <w:r>
        <w:rPr>
          <w:rFonts w:ascii="Times New Roman" w:hAnsi="Times New Roman"/>
          <w:b w:val="0"/>
          <w:i w:val="0"/>
          <w:sz w:val="17"/>
        </w:rPr>
        <w:t>Q2 capex reached $18.4B, 86% of it in AI. H1 operating cash flow of $3.5B was overwhelmed by $28.5B of capex, leaving roughly $(25.0)B of free cash flow before acquisitions.</w:t>
      </w:r>
    </w:p>
    <w:p>
      <w:pPr>
        <w:numPr>
          <w:ilvl w:val="0"/>
          <w:numId w:val="10"/>
        </w:numPr>
        <w:spacing w:after="80" w:line="247" w:lineRule="auto"/>
      </w:pPr>
      <w:r>
        <w:rPr>
          <w:rFonts w:ascii="Times New Roman" w:hAnsi="Times New Roman"/>
          <w:b/>
          <w:i w:val="0"/>
          <w:color w:val="0B2545"/>
          <w:sz w:val="17"/>
        </w:rPr>
        <w:t xml:space="preserve">Starlink quality improved despite lower ARPU. </w:t>
      </w:r>
      <w:r>
        <w:rPr>
          <w:rFonts w:ascii="Times New Roman" w:hAnsi="Times New Roman"/>
          <w:b w:val="0"/>
          <w:i w:val="0"/>
          <w:sz w:val="17"/>
        </w:rPr>
        <w:t>Subscribers doubled YoY to 12.0M and ARPU held at $66 QoQ. Connectivity operating income rose 79% to $1.7B and adjusted EBITDA margin remained above 60%.</w:t>
      </w:r>
    </w:p>
    <w:p>
      <w:pPr>
        <w:numPr>
          <w:ilvl w:val="0"/>
          <w:numId w:val="10"/>
        </w:numPr>
        <w:spacing w:after="80" w:line="247" w:lineRule="auto"/>
      </w:pPr>
      <w:r>
        <w:rPr>
          <w:rFonts w:ascii="Times New Roman" w:hAnsi="Times New Roman"/>
          <w:b/>
          <w:i w:val="0"/>
          <w:color w:val="0B2545"/>
          <w:sz w:val="17"/>
        </w:rPr>
        <w:t xml:space="preserve">Upgrade to Outperform; maintain $150 PT. </w:t>
      </w:r>
      <w:r>
        <w:rPr>
          <w:rFonts w:ascii="Times New Roman" w:hAnsi="Times New Roman"/>
          <w:b w:val="0"/>
          <w:i w:val="0"/>
          <w:sz w:val="17"/>
        </w:rPr>
        <w:t>The share-price reset to $115.10 creates 30.3% upside to our unchanged target. We raise revenue and EBITDA estimates sharply, but the target remains capped by higher capex, execution risk, and the near-term post-IPO unlock overhang.</w:t>
      </w:r>
    </w:p>
    <w:p>
      <w:r>
        <w:br w:type="page"/>
      </w:r>
    </w:p>
    <w:p>
      <w:pPr>
        <w:pStyle w:val="Heading1"/>
      </w:pPr>
      <w:r>
        <w:rPr>
          <w:rFonts w:ascii="Times New Roman" w:hAnsi="Times New Roman"/>
          <w:b/>
          <w:i w:val="0"/>
          <w:color w:val="005288"/>
          <w:sz w:val="28"/>
        </w:rPr>
        <w:t>1. Detailed results: a genuine operating beat</w:t>
      </w:r>
    </w:p>
    <w:p>
      <w:pPr>
        <w:spacing w:before="0" w:after="60" w:line="250" w:lineRule="auto"/>
      </w:pPr>
      <w:r>
        <w:rPr>
          <w:rFonts w:ascii="Times New Roman" w:hAnsi="Times New Roman"/>
          <w:b w:val="0"/>
          <w:i w:val="0"/>
          <w:sz w:val="18"/>
        </w:rPr>
        <w:t>SpaceX reported Q2 revenue of $7.814B, up 92% YoY and 66% QoQ, exceeding S&amp;P Visible Alpha consensus of $6.9B by $914M, or 13.2%. GAAP loss per share of $0.09 was $0.20 better than the pre-results Street expectation of a $0.29 loss. The quarter therefore cleared the two headline hurdles decisively; the negative share reaction was driven by investment intensity and supply mechanics rather than a weak P&amp;L.</w:t>
      </w:r>
    </w:p>
    <w:p>
      <w:pPr>
        <w:spacing w:before="0" w:after="60" w:line="250" w:lineRule="auto"/>
      </w:pPr>
      <w:r>
        <w:rPr>
          <w:rFonts w:ascii="Times New Roman" w:hAnsi="Times New Roman"/>
          <w:b w:val="0"/>
          <w:i w:val="0"/>
          <w:sz w:val="18"/>
        </w:rPr>
        <w:t>Adjusted EBITDA of $3.538B increased 191% YoY and 214% QoQ, lifting consolidated adjusted EBITDA margin to 45.3% from 24.0% in Q1. Operating loss narrowed to $143M from $1.943B in Q1 and $970M a year ago. Net loss of $541M improved by $467M YoY despite higher interest expense, reflecting operating leverage and a sharply better AI contribution.</w:t>
      </w:r>
    </w:p>
    <w:p>
      <w:pPr>
        <w:spacing w:before="0" w:after="60" w:line="250" w:lineRule="auto"/>
      </w:pPr>
      <w:r>
        <w:rPr>
          <w:rFonts w:ascii="Times New Roman" w:hAnsi="Times New Roman"/>
          <w:b w:val="0"/>
          <w:i w:val="0"/>
          <w:sz w:val="18"/>
        </w:rPr>
        <w:t>Comparability requires care. xAI was combined with SpaceX in February 2026, and the AI segment is ramping large cloud-services contracts. YoY growth therefore captures both organic expansion and a materially different operating perimeter. We treat the Q2 run-rate as a forward indicator, but not as a clean steady-state margin.</w:t>
      </w:r>
    </w:p>
    <w:p>
      <w:pPr>
        <w:spacing w:before="0" w:after="60" w:line="250" w:lineRule="auto"/>
      </w:pPr>
      <w:r>
        <w:rPr>
          <w:rFonts w:ascii="Times New Roman" w:hAnsi="Times New Roman"/>
          <w:b w:val="0"/>
          <w:i w:val="0"/>
          <w:sz w:val="18"/>
        </w:rPr>
        <w:t>The quality of the beat is stronger than the headline revenue variance alone suggests. All three reportable segments grew sequentially, consolidated operating loss nearly disappeared, and the AI segment crossed into positive adjusted EBITDA. At the same time, $3.679B of depreciation, amortization, and share-based compensation add-backs explain why adjusted EBITDA exceeded operating income by such a wide margin. The correct read-through is accelerating commercial traction, not near-term free-cash-flow maturity.</w:t>
      </w:r>
    </w:p>
    <w:p>
      <w:pPr>
        <w:keepNext/>
        <w:spacing w:before="60" w:after="40" w:line="250" w:lineRule="auto"/>
        <w:jc w:val="center"/>
      </w:pPr>
      <w:r>
        <w:rPr>
          <w:rFonts w:ascii="Times New Roman" w:hAnsi="Times New Roman"/>
          <w:b/>
          <w:i w:val="0"/>
          <w:color w:val="0B2545"/>
          <w:sz w:val="17"/>
        </w:rPr>
        <w:t>Figure 1 - Q2 2026 beat/miss snapshot</w:t>
      </w:r>
    </w:p>
    <w:p>
      <w:pPr>
        <w:spacing w:after="0"/>
        <w:jc w:val="center"/>
      </w:pPr>
      <w:r>
        <w:drawing>
          <wp:inline xmlns:a="http://schemas.openxmlformats.org/drawingml/2006/main" xmlns:pic="http://schemas.openxmlformats.org/drawingml/2006/picture">
            <wp:extent cx="5074920" cy="2257894"/>
            <wp:docPr id="1" name="Picture 1" descr="Two-panel chart comparing reported Q2 revenue and GAAP EPS with pre-earnings consensus."/>
            <wp:cNvGraphicFramePr>
              <a:graphicFrameLocks noChangeAspect="1"/>
            </wp:cNvGraphicFramePr>
            <a:graphic>
              <a:graphicData uri="http://schemas.openxmlformats.org/drawingml/2006/picture">
                <pic:pic>
                  <pic:nvPicPr>
                    <pic:cNvPr id="0" name="spcx_q2_chart1_beat_miss.png"/>
                    <pic:cNvPicPr/>
                  </pic:nvPicPr>
                  <pic:blipFill>
                    <a:blip r:embed="rId15"/>
                    <a:stretch>
                      <a:fillRect/>
                    </a:stretch>
                  </pic:blipFill>
                  <pic:spPr>
                    <a:xfrm>
                      <a:off x="0" y="0"/>
                      <a:ext cx="5074920" cy="2257894"/>
                    </a:xfrm>
                    <a:prstGeom prst="rect"/>
                  </pic:spPr>
                </pic:pic>
              </a:graphicData>
            </a:graphic>
          </wp:inline>
        </w:drawing>
      </w:r>
    </w:p>
    <w:p>
      <w:pPr>
        <w:spacing w:before="40" w:after="80"/>
      </w:pPr>
      <w:r>
        <w:rPr>
          <w:rFonts w:ascii="Times New Roman" w:hAnsi="Times New Roman"/>
          <w:b w:val="0"/>
          <w:i/>
          <w:color w:val="667085"/>
          <w:sz w:val="14"/>
        </w:rPr>
        <w:t xml:space="preserve">Source: </w:t>
      </w:r>
      <w:hyperlink r:id="rId11">
        <w:r>
          <w:rPr>
            <w:rFonts w:ascii="Times New Roman" w:hAnsi="Times New Roman"/>
            <w:color w:val="0563C1"/>
            <w:u w:val="single"/>
            <w:sz w:val="14"/>
          </w:rPr>
          <w:t>Q2 earnings release (4 Aug 2026)</w:t>
        </w:r>
      </w:hyperlink>
      <w:r>
        <w:rPr>
          <w:rFonts w:ascii="Times New Roman" w:hAnsi="Times New Roman"/>
          <w:b w:val="0"/>
          <w:i/>
          <w:color w:val="667085"/>
          <w:sz w:val="14"/>
        </w:rPr>
        <w:t xml:space="preserve">; </w:t>
      </w:r>
      <w:hyperlink r:id="rId13">
        <w:r>
          <w:rPr>
            <w:rFonts w:ascii="Times New Roman" w:hAnsi="Times New Roman"/>
            <w:color w:val="0563C1"/>
            <w:u w:val="single"/>
            <w:sz w:val="14"/>
          </w:rPr>
          <w:t>Axios / Visible Alpha consensus (4 Aug 2026)</w:t>
        </w:r>
      </w:hyperlink>
      <w:r>
        <w:rPr>
          <w:rFonts w:ascii="Times New Roman" w:hAnsi="Times New Roman"/>
          <w:b w:val="0"/>
          <w:i/>
          <w:color w:val="667085"/>
          <w:sz w:val="14"/>
        </w:rPr>
        <w:t xml:space="preserve">; </w:t>
      </w:r>
      <w:hyperlink r:id="rId14">
        <w:r>
          <w:rPr>
            <w:rFonts w:ascii="Times New Roman" w:hAnsi="Times New Roman"/>
            <w:color w:val="0563C1"/>
            <w:u w:val="single"/>
            <w:sz w:val="14"/>
          </w:rPr>
          <w:t>Kiplinger pre-results consensus (31 Jul 2026)</w:t>
        </w:r>
      </w:hyperlink>
    </w:p>
    <w:p>
      <w:r>
        <w:br w:type="page"/>
      </w:r>
    </w:p>
    <w:p>
      <w:pPr>
        <w:pStyle w:val="Heading1"/>
      </w:pPr>
      <w:r>
        <w:rPr>
          <w:rFonts w:ascii="Times New Roman" w:hAnsi="Times New Roman"/>
          <w:b/>
          <w:i w:val="0"/>
          <w:color w:val="005288"/>
          <w:sz w:val="28"/>
        </w:rPr>
        <w:t>2. Segment mix: Connectivity funds two option-heavy businesses</w:t>
      </w:r>
    </w:p>
    <w:p>
      <w:pPr>
        <w:spacing w:before="0" w:after="60" w:line="250" w:lineRule="auto"/>
      </w:pPr>
      <w:r>
        <w:rPr>
          <w:rFonts w:ascii="Times New Roman" w:hAnsi="Times New Roman"/>
          <w:b w:val="0"/>
          <w:i w:val="0"/>
          <w:sz w:val="18"/>
        </w:rPr>
        <w:t>Connectivity contributed 55% of Q2 revenue but more than all consolidated operating profit. AI revenue inflected sharply and adjusted EBITDA turned positive, while Space remained loss-making as Starship R&amp;D accelerated. The portfolio is becoming more balanced on revenue, yet still highly concentrated on Starlink for cash earnings.</w:t>
      </w:r>
    </w:p>
    <w:p>
      <w:pPr>
        <w:spacing w:before="0" w:after="60" w:line="250" w:lineRule="auto"/>
      </w:pPr>
      <w:r>
        <w:rPr>
          <w:rFonts w:ascii="Times New Roman" w:hAnsi="Times New Roman"/>
          <w:b w:val="0"/>
          <w:i w:val="0"/>
          <w:sz w:val="18"/>
        </w:rPr>
        <w:t>For portfolio construction, the segment mix creates a barbell. Connectivity is a scaled, recurring-revenue asset with visible subscriber economics; Space and AI are long-duration options whose outcomes are driven by technical milestones and utilization. This structure supports premium valuation when execution is strong, but it also increases covariance in a risk-off market because both optional businesses require external capital or Starlink cash generation before they can fund themselves.</w:t>
      </w:r>
    </w:p>
    <w:p>
      <w:pPr>
        <w:keepNext/>
        <w:spacing w:before="60" w:after="40" w:line="250" w:lineRule="auto"/>
        <w:jc w:val="center"/>
      </w:pPr>
      <w:r>
        <w:rPr>
          <w:rFonts w:ascii="Times New Roman" w:hAnsi="Times New Roman"/>
          <w:b/>
          <w:i w:val="0"/>
          <w:color w:val="0B2545"/>
          <w:sz w:val="17"/>
        </w:rPr>
        <w:t>Figure 2 - Segment revenue progression</w:t>
      </w:r>
    </w:p>
    <w:p>
      <w:pPr>
        <w:spacing w:after="0"/>
        <w:jc w:val="center"/>
      </w:pPr>
      <w:r>
        <w:drawing>
          <wp:inline xmlns:a="http://schemas.openxmlformats.org/drawingml/2006/main" xmlns:pic="http://schemas.openxmlformats.org/drawingml/2006/picture">
            <wp:extent cx="4800600" cy="2402058"/>
            <wp:docPr id="2" name="Picture 2" descr="Grouped bars showing Space, Connectivity, and AI revenue for Q2 2025, Q1 2026, and Q2 2026."/>
            <wp:cNvGraphicFramePr>
              <a:graphicFrameLocks noChangeAspect="1"/>
            </wp:cNvGraphicFramePr>
            <a:graphic>
              <a:graphicData uri="http://schemas.openxmlformats.org/drawingml/2006/picture">
                <pic:pic>
                  <pic:nvPicPr>
                    <pic:cNvPr id="0" name="spcx_q2_chart2_segment_revenue.png"/>
                    <pic:cNvPicPr/>
                  </pic:nvPicPr>
                  <pic:blipFill>
                    <a:blip r:embed="rId16"/>
                    <a:stretch>
                      <a:fillRect/>
                    </a:stretch>
                  </pic:blipFill>
                  <pic:spPr>
                    <a:xfrm>
                      <a:off x="0" y="0"/>
                      <a:ext cx="4800600" cy="2402058"/>
                    </a:xfrm>
                    <a:prstGeom prst="rect"/>
                  </pic:spPr>
                </pic:pic>
              </a:graphicData>
            </a:graphic>
          </wp:inline>
        </w:drawing>
      </w:r>
    </w:p>
    <w:p>
      <w:pPr>
        <w:spacing w:before="40" w:after="80"/>
      </w:pPr>
      <w:r>
        <w:rPr>
          <w:rFonts w:ascii="Times New Roman" w:hAnsi="Times New Roman"/>
          <w:b w:val="0"/>
          <w:i/>
          <w:color w:val="667085"/>
          <w:sz w:val="14"/>
        </w:rPr>
        <w:t xml:space="preserve">Source: </w:t>
      </w:r>
      <w:hyperlink r:id="rId11">
        <w:r>
          <w:rPr>
            <w:rFonts w:ascii="Times New Roman" w:hAnsi="Times New Roman"/>
            <w:color w:val="0563C1"/>
            <w:u w:val="single"/>
            <w:sz w:val="14"/>
          </w:rPr>
          <w:t>Q2 earnings release (4 Aug 2026), financial highlights</w:t>
        </w:r>
      </w:hyperlink>
      <w:r>
        <w:rPr>
          <w:rFonts w:ascii="Times New Roman" w:hAnsi="Times New Roman"/>
          <w:b w:val="0"/>
          <w:i/>
          <w:color w:val="667085"/>
          <w:sz w:val="14"/>
        </w:rPr>
        <w:t xml:space="preserve">; </w:t>
      </w:r>
      <w:hyperlink r:id="rId12">
        <w:r>
          <w:rPr>
            <w:rFonts w:ascii="Times New Roman" w:hAnsi="Times New Roman"/>
            <w:color w:val="0563C1"/>
            <w:u w:val="single"/>
            <w:sz w:val="14"/>
          </w:rPr>
          <w:t>Form 10-Q (filed 4 Aug 2026)</w:t>
        </w:r>
      </w:hyperlink>
    </w:p>
    <w:p>
      <w:pPr>
        <w:keepNext/>
        <w:spacing w:before="60" w:after="40" w:line="250" w:lineRule="auto"/>
        <w:jc w:val="center"/>
      </w:pPr>
      <w:r>
        <w:rPr>
          <w:rFonts w:ascii="Times New Roman" w:hAnsi="Times New Roman"/>
          <w:b/>
          <w:i w:val="0"/>
          <w:color w:val="0B2545"/>
          <w:sz w:val="17"/>
        </w:rPr>
        <w:t>Figure 3 - Segment operating income and loss</w:t>
      </w:r>
    </w:p>
    <w:p>
      <w:pPr>
        <w:spacing w:after="0"/>
        <w:jc w:val="center"/>
      </w:pPr>
      <w:r>
        <w:drawing>
          <wp:inline xmlns:a="http://schemas.openxmlformats.org/drawingml/2006/main" xmlns:pic="http://schemas.openxmlformats.org/drawingml/2006/picture">
            <wp:extent cx="4800600" cy="2402058"/>
            <wp:docPr id="3" name="Picture 3" descr="Grouped bars showing operating income or loss by segment across three quarters."/>
            <wp:cNvGraphicFramePr>
              <a:graphicFrameLocks noChangeAspect="1"/>
            </wp:cNvGraphicFramePr>
            <a:graphic>
              <a:graphicData uri="http://schemas.openxmlformats.org/drawingml/2006/picture">
                <pic:pic>
                  <pic:nvPicPr>
                    <pic:cNvPr id="0" name="spcx_q2_chart3_segment_operating_income.png"/>
                    <pic:cNvPicPr/>
                  </pic:nvPicPr>
                  <pic:blipFill>
                    <a:blip r:embed="rId17"/>
                    <a:stretch>
                      <a:fillRect/>
                    </a:stretch>
                  </pic:blipFill>
                  <pic:spPr>
                    <a:xfrm>
                      <a:off x="0" y="0"/>
                      <a:ext cx="4800600" cy="2402058"/>
                    </a:xfrm>
                    <a:prstGeom prst="rect"/>
                  </pic:spPr>
                </pic:pic>
              </a:graphicData>
            </a:graphic>
          </wp:inline>
        </w:drawing>
      </w:r>
    </w:p>
    <w:p>
      <w:pPr>
        <w:spacing w:before="40" w:after="80"/>
      </w:pPr>
      <w:r>
        <w:rPr>
          <w:rFonts w:ascii="Times New Roman" w:hAnsi="Times New Roman"/>
          <w:b w:val="0"/>
          <w:i/>
          <w:color w:val="667085"/>
          <w:sz w:val="14"/>
        </w:rPr>
        <w:t xml:space="preserve">Source: </w:t>
      </w:r>
      <w:hyperlink r:id="rId11">
        <w:r>
          <w:rPr>
            <w:rFonts w:ascii="Times New Roman" w:hAnsi="Times New Roman"/>
            <w:color w:val="0563C1"/>
            <w:u w:val="single"/>
            <w:sz w:val="14"/>
          </w:rPr>
          <w:t>Q2 earnings release (4 Aug 2026), segment schedules</w:t>
        </w:r>
      </w:hyperlink>
      <w:r>
        <w:rPr>
          <w:rFonts w:ascii="Times New Roman" w:hAnsi="Times New Roman"/>
          <w:b w:val="0"/>
          <w:i/>
          <w:color w:val="667085"/>
          <w:sz w:val="14"/>
        </w:rPr>
        <w:t xml:space="preserve">; </w:t>
      </w:r>
      <w:hyperlink r:id="rId12">
        <w:r>
          <w:rPr>
            <w:rFonts w:ascii="Times New Roman" w:hAnsi="Times New Roman"/>
            <w:color w:val="0563C1"/>
            <w:u w:val="single"/>
            <w:sz w:val="14"/>
          </w:rPr>
          <w:t>Form 10-Q (filed 4 Aug 2026)</w:t>
        </w:r>
      </w:hyperlink>
    </w:p>
    <w:p>
      <w:r>
        <w:br w:type="page"/>
      </w:r>
    </w:p>
    <w:p>
      <w:pPr>
        <w:pStyle w:val="Heading1"/>
      </w:pPr>
      <w:r>
        <w:rPr>
          <w:rFonts w:ascii="Times New Roman" w:hAnsi="Times New Roman"/>
          <w:b/>
          <w:i w:val="0"/>
          <w:color w:val="005288"/>
          <w:sz w:val="28"/>
        </w:rPr>
        <w:t>3. Segment scorecard and margin bridge</w:t>
      </w:r>
    </w:p>
    <w:tbl>
      <w:tblPr>
        <w:tblStyle w:val="TableGrid"/>
        <w:tblW w:type="dxa" w:w="9360"/>
        <w:jc w:val="center"/>
        <w:tblLayout w:type="fixed"/>
        <w:tblLook w:firstColumn="1" w:firstRow="1" w:lastColumn="0" w:lastRow="0" w:noHBand="0" w:noVBand="1" w:val="04A0"/>
        <w:tblInd w:w="120" w:type="dxa"/>
      </w:tblPr>
      <w:tblGrid>
        <w:gridCol w:w="1500"/>
        <w:gridCol w:w="1300"/>
        <w:gridCol w:w="900"/>
        <w:gridCol w:w="2000"/>
        <w:gridCol w:w="1800"/>
        <w:gridCol w:w="1860"/>
      </w:tblGrid>
      <w:tr>
        <w:trPr>
          <w:tblHeader w:val="true"/>
        </w:trPr>
        <w:tc>
          <w:tcPr>
            <w:tcW w:type="dxa" w:w="1500"/>
            <w:shd w:fill="0B2545"/>
            <w:tcMar>
              <w:top w:w="80" w:type="dxa"/>
              <w:start w:w="120" w:type="dxa"/>
              <w:bottom w:w="80" w:type="dxa"/>
              <w:end w:w="120" w:type="dxa"/>
            </w:tcMar>
            <w:vAlign w:val="center"/>
          </w:tcPr>
          <w:p>
            <w:pPr>
              <w:spacing w:after="0"/>
              <w:jc w:val="center"/>
            </w:pPr>
            <w:r>
              <w:rPr>
                <w:rFonts w:ascii="Times New Roman" w:hAnsi="Times New Roman"/>
                <w:b/>
                <w:i w:val="0"/>
                <w:color w:val="FFFFFF"/>
                <w:sz w:val="15"/>
              </w:rPr>
              <w:t>Segment</w:t>
            </w:r>
          </w:p>
        </w:tc>
        <w:tc>
          <w:tcPr>
            <w:tcW w:type="dxa" w:w="1300"/>
            <w:shd w:fill="0B2545"/>
            <w:tcMar>
              <w:top w:w="80" w:type="dxa"/>
              <w:start w:w="120" w:type="dxa"/>
              <w:bottom w:w="80" w:type="dxa"/>
              <w:end w:w="120" w:type="dxa"/>
            </w:tcMar>
            <w:vAlign w:val="center"/>
          </w:tcPr>
          <w:p>
            <w:pPr>
              <w:spacing w:after="0"/>
              <w:jc w:val="center"/>
            </w:pPr>
            <w:r>
              <w:rPr>
                <w:rFonts w:ascii="Times New Roman" w:hAnsi="Times New Roman"/>
                <w:b/>
                <w:i w:val="0"/>
                <w:color w:val="FFFFFF"/>
                <w:sz w:val="15"/>
              </w:rPr>
              <w:t>Revenue</w:t>
            </w:r>
          </w:p>
        </w:tc>
        <w:tc>
          <w:tcPr>
            <w:tcW w:type="dxa" w:w="900"/>
            <w:shd w:fill="0B2545"/>
            <w:tcMar>
              <w:top w:w="80" w:type="dxa"/>
              <w:start w:w="120" w:type="dxa"/>
              <w:bottom w:w="80" w:type="dxa"/>
              <w:end w:w="120" w:type="dxa"/>
            </w:tcMar>
            <w:vAlign w:val="center"/>
          </w:tcPr>
          <w:p>
            <w:pPr>
              <w:spacing w:after="0"/>
              <w:jc w:val="center"/>
            </w:pPr>
            <w:r>
              <w:rPr>
                <w:rFonts w:ascii="Times New Roman" w:hAnsi="Times New Roman"/>
                <w:b/>
                <w:i w:val="0"/>
                <w:color w:val="FFFFFF"/>
                <w:sz w:val="15"/>
              </w:rPr>
              <w:t>YoY</w:t>
            </w:r>
          </w:p>
        </w:tc>
        <w:tc>
          <w:tcPr>
            <w:tcW w:type="dxa" w:w="2000"/>
            <w:shd w:fill="0B2545"/>
            <w:tcMar>
              <w:top w:w="80" w:type="dxa"/>
              <w:start w:w="120" w:type="dxa"/>
              <w:bottom w:w="80" w:type="dxa"/>
              <w:end w:w="120" w:type="dxa"/>
            </w:tcMar>
            <w:vAlign w:val="center"/>
          </w:tcPr>
          <w:p>
            <w:pPr>
              <w:spacing w:after="0"/>
              <w:jc w:val="center"/>
            </w:pPr>
            <w:r>
              <w:rPr>
                <w:rFonts w:ascii="Times New Roman" w:hAnsi="Times New Roman"/>
                <w:b/>
                <w:i w:val="0"/>
                <w:color w:val="FFFFFF"/>
                <w:sz w:val="15"/>
              </w:rPr>
              <w:t>Op. income/(loss)</w:t>
            </w:r>
          </w:p>
        </w:tc>
        <w:tc>
          <w:tcPr>
            <w:tcW w:type="dxa" w:w="1800"/>
            <w:shd w:fill="0B2545"/>
            <w:tcMar>
              <w:top w:w="80" w:type="dxa"/>
              <w:start w:w="120" w:type="dxa"/>
              <w:bottom w:w="80" w:type="dxa"/>
              <w:end w:w="120" w:type="dxa"/>
            </w:tcMar>
            <w:vAlign w:val="center"/>
          </w:tcPr>
          <w:p>
            <w:pPr>
              <w:spacing w:after="0"/>
              <w:jc w:val="center"/>
            </w:pPr>
            <w:r>
              <w:rPr>
                <w:rFonts w:ascii="Times New Roman" w:hAnsi="Times New Roman"/>
                <w:b/>
                <w:i w:val="0"/>
                <w:color w:val="FFFFFF"/>
                <w:sz w:val="15"/>
              </w:rPr>
              <w:t>Adj. EBITDA</w:t>
            </w:r>
          </w:p>
        </w:tc>
        <w:tc>
          <w:tcPr>
            <w:tcW w:type="dxa" w:w="1860"/>
            <w:shd w:fill="0B2545"/>
            <w:tcMar>
              <w:top w:w="80" w:type="dxa"/>
              <w:start w:w="120" w:type="dxa"/>
              <w:bottom w:w="80" w:type="dxa"/>
              <w:end w:w="120" w:type="dxa"/>
            </w:tcMar>
            <w:vAlign w:val="center"/>
          </w:tcPr>
          <w:p>
            <w:pPr>
              <w:spacing w:after="0"/>
              <w:jc w:val="center"/>
            </w:pPr>
            <w:r>
              <w:rPr>
                <w:rFonts w:ascii="Times New Roman" w:hAnsi="Times New Roman"/>
                <w:b/>
                <w:i w:val="0"/>
                <w:color w:val="FFFFFF"/>
                <w:sz w:val="15"/>
              </w:rPr>
              <w:t>Capex</w:t>
            </w:r>
          </w:p>
        </w:tc>
      </w:tr>
      <w:tr>
        <w:tc>
          <w:tcPr>
            <w:tcW w:type="dxa" w:w="1500"/>
            <w:tcMar>
              <w:top w:w="80" w:type="dxa"/>
              <w:start w:w="120" w:type="dxa"/>
              <w:bottom w:w="80" w:type="dxa"/>
              <w:end w:w="120" w:type="dxa"/>
            </w:tcMar>
            <w:vAlign w:val="center"/>
          </w:tcPr>
          <w:p>
            <w:pPr>
              <w:spacing w:after="0" w:line="240" w:lineRule="auto"/>
              <w:jc w:val="left"/>
            </w:pPr>
            <w:r>
              <w:rPr>
                <w:rFonts w:ascii="Times New Roman" w:hAnsi="Times New Roman"/>
                <w:b w:val="0"/>
                <w:i w:val="0"/>
                <w:sz w:val="15"/>
              </w:rPr>
              <w:t>Space</w:t>
            </w:r>
          </w:p>
        </w:tc>
        <w:tc>
          <w:tcPr>
            <w:tcW w:type="dxa" w:w="130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$0.962B</w:t>
            </w:r>
          </w:p>
        </w:tc>
        <w:tc>
          <w:tcPr>
            <w:tcW w:type="dxa" w:w="90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+29%</w:t>
            </w:r>
          </w:p>
        </w:tc>
        <w:tc>
          <w:tcPr>
            <w:tcW w:type="dxa" w:w="200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$(0.542)B</w:t>
            </w:r>
          </w:p>
        </w:tc>
        <w:tc>
          <w:tcPr>
            <w:tcW w:type="dxa" w:w="180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$(0.205)B</w:t>
            </w:r>
          </w:p>
        </w:tc>
        <w:tc>
          <w:tcPr>
            <w:tcW w:type="dxa" w:w="186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$1.174B</w:t>
            </w:r>
          </w:p>
        </w:tc>
      </w:tr>
      <w:tr>
        <w:tc>
          <w:tcPr>
            <w:tcW w:type="dxa" w:w="1500"/>
            <w:shd w:fill="F2F4F7"/>
            <w:tcMar>
              <w:top w:w="80" w:type="dxa"/>
              <w:start w:w="120" w:type="dxa"/>
              <w:bottom w:w="80" w:type="dxa"/>
              <w:end w:w="120" w:type="dxa"/>
            </w:tcMar>
            <w:vAlign w:val="center"/>
          </w:tcPr>
          <w:p>
            <w:pPr>
              <w:spacing w:after="0" w:line="240" w:lineRule="auto"/>
              <w:jc w:val="left"/>
            </w:pPr>
            <w:r>
              <w:rPr>
                <w:rFonts w:ascii="Times New Roman" w:hAnsi="Times New Roman"/>
                <w:b w:val="0"/>
                <w:i w:val="0"/>
                <w:sz w:val="15"/>
              </w:rPr>
              <w:t>Connectivity</w:t>
            </w:r>
          </w:p>
        </w:tc>
        <w:tc>
          <w:tcPr>
            <w:tcW w:type="dxa" w:w="130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$4.291B</w:t>
            </w:r>
          </w:p>
        </w:tc>
        <w:tc>
          <w:tcPr>
            <w:tcW w:type="dxa" w:w="90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+66%</w:t>
            </w:r>
          </w:p>
        </w:tc>
        <w:tc>
          <w:tcPr>
            <w:tcW w:type="dxa" w:w="200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$1.656B</w:t>
            </w:r>
          </w:p>
        </w:tc>
        <w:tc>
          <w:tcPr>
            <w:tcW w:type="dxa" w:w="180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$2.597B</w:t>
            </w:r>
          </w:p>
        </w:tc>
        <w:tc>
          <w:tcPr>
            <w:tcW w:type="dxa" w:w="186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$1.367B</w:t>
            </w:r>
          </w:p>
        </w:tc>
      </w:tr>
      <w:tr>
        <w:tc>
          <w:tcPr>
            <w:tcW w:type="dxa" w:w="1500"/>
            <w:tcMar>
              <w:top w:w="80" w:type="dxa"/>
              <w:start w:w="120" w:type="dxa"/>
              <w:bottom w:w="80" w:type="dxa"/>
              <w:end w:w="120" w:type="dxa"/>
            </w:tcMar>
            <w:vAlign w:val="center"/>
          </w:tcPr>
          <w:p>
            <w:pPr>
              <w:spacing w:after="0" w:line="240" w:lineRule="auto"/>
              <w:jc w:val="left"/>
            </w:pPr>
            <w:r>
              <w:rPr>
                <w:rFonts w:ascii="Times New Roman" w:hAnsi="Times New Roman"/>
                <w:b w:val="0"/>
                <w:i w:val="0"/>
                <w:sz w:val="15"/>
              </w:rPr>
              <w:t>AI</w:t>
            </w:r>
          </w:p>
        </w:tc>
        <w:tc>
          <w:tcPr>
            <w:tcW w:type="dxa" w:w="130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$2.561B</w:t>
            </w:r>
          </w:p>
        </w:tc>
        <w:tc>
          <w:tcPr>
            <w:tcW w:type="dxa" w:w="90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+247%</w:t>
            </w:r>
          </w:p>
        </w:tc>
        <w:tc>
          <w:tcPr>
            <w:tcW w:type="dxa" w:w="200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$(1.257)B</w:t>
            </w:r>
          </w:p>
        </w:tc>
        <w:tc>
          <w:tcPr>
            <w:tcW w:type="dxa" w:w="180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$1.146B</w:t>
            </w:r>
          </w:p>
        </w:tc>
        <w:tc>
          <w:tcPr>
            <w:tcW w:type="dxa" w:w="186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$15.828B</w:t>
            </w:r>
          </w:p>
        </w:tc>
      </w:tr>
      <w:tr>
        <w:tc>
          <w:tcPr>
            <w:tcW w:type="dxa" w:w="1500"/>
            <w:shd w:fill="F2F4F7"/>
            <w:tcMar>
              <w:top w:w="80" w:type="dxa"/>
              <w:start w:w="120" w:type="dxa"/>
              <w:bottom w:w="80" w:type="dxa"/>
              <w:end w:w="120" w:type="dxa"/>
            </w:tcMar>
            <w:vAlign w:val="center"/>
          </w:tcPr>
          <w:p>
            <w:pPr>
              <w:spacing w:after="0" w:line="240" w:lineRule="auto"/>
              <w:jc w:val="left"/>
            </w:pPr>
            <w:r>
              <w:rPr>
                <w:rFonts w:ascii="Times New Roman" w:hAnsi="Times New Roman"/>
                <w:b/>
                <w:i w:val="0"/>
                <w:sz w:val="15"/>
              </w:rPr>
              <w:t>Total</w:t>
            </w:r>
          </w:p>
        </w:tc>
        <w:tc>
          <w:tcPr>
            <w:tcW w:type="dxa" w:w="130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$7.814B</w:t>
            </w:r>
          </w:p>
        </w:tc>
        <w:tc>
          <w:tcPr>
            <w:tcW w:type="dxa" w:w="90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+92%</w:t>
            </w:r>
          </w:p>
        </w:tc>
        <w:tc>
          <w:tcPr>
            <w:tcW w:type="dxa" w:w="200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$(0.143)B</w:t>
            </w:r>
          </w:p>
        </w:tc>
        <w:tc>
          <w:tcPr>
            <w:tcW w:type="dxa" w:w="180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$3.538B</w:t>
            </w:r>
          </w:p>
        </w:tc>
        <w:tc>
          <w:tcPr>
            <w:tcW w:type="dxa" w:w="186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$18.369B</w:t>
            </w:r>
          </w:p>
        </w:tc>
      </w:tr>
    </w:tbl>
    <w:p>
      <w:pPr>
        <w:spacing w:before="40" w:after="80"/>
      </w:pPr>
      <w:r>
        <w:rPr>
          <w:rFonts w:ascii="Times New Roman" w:hAnsi="Times New Roman"/>
          <w:b w:val="0"/>
          <w:i/>
          <w:color w:val="667085"/>
          <w:sz w:val="14"/>
        </w:rPr>
        <w:t xml:space="preserve">Source: </w:t>
      </w:r>
      <w:hyperlink r:id="rId11">
        <w:r>
          <w:rPr>
            <w:rFonts w:ascii="Times New Roman" w:hAnsi="Times New Roman"/>
            <w:color w:val="0563C1"/>
            <w:u w:val="single"/>
            <w:sz w:val="14"/>
          </w:rPr>
          <w:t>Q2 earnings release (4 Aug 2026), pages 2-8</w:t>
        </w:r>
      </w:hyperlink>
      <w:r>
        <w:rPr>
          <w:rFonts w:ascii="Times New Roman" w:hAnsi="Times New Roman"/>
          <w:b w:val="0"/>
          <w:i/>
          <w:color w:val="667085"/>
          <w:sz w:val="14"/>
        </w:rPr>
        <w:t xml:space="preserve">; </w:t>
      </w:r>
      <w:hyperlink r:id="rId12">
        <w:r>
          <w:rPr>
            <w:rFonts w:ascii="Times New Roman" w:hAnsi="Times New Roman"/>
            <w:color w:val="0563C1"/>
            <w:u w:val="single"/>
            <w:sz w:val="14"/>
          </w:rPr>
          <w:t>Form 10-Q (4 Aug 2026), pages 5 and 34-49</w:t>
        </w:r>
      </w:hyperlink>
      <w:r>
        <w:rPr>
          <w:rFonts w:ascii="Times New Roman" w:hAnsi="Times New Roman"/>
          <w:b w:val="0"/>
          <w:i/>
          <w:color w:val="667085"/>
          <w:sz w:val="14"/>
        </w:rPr>
        <w:t>. Three months ended 30 June 2026</w:t>
      </w:r>
    </w:p>
    <w:p>
      <w:pPr>
        <w:spacing w:before="0" w:after="60" w:line="250" w:lineRule="auto"/>
      </w:pPr>
      <w:r>
        <w:rPr>
          <w:rFonts w:ascii="Times New Roman" w:hAnsi="Times New Roman"/>
          <w:b w:val="0"/>
          <w:i w:val="0"/>
          <w:sz w:val="18"/>
        </w:rPr>
        <w:t>The consolidated adjusted EBITDA improvement was driven by three effects: higher Connectivity scale, initial monetization of AI cloud-service agreements, and the large non-cash depreciation and share-based compensation add-backs embedded in the non-GAAP measure. Depreciation and amortization alone totaled $2.848B in Q2, while share-based compensation was $831M. Investors should therefore avoid treating adjusted EBITDA as cash generation.</w:t>
      </w:r>
    </w:p>
    <w:p>
      <w:pPr>
        <w:spacing w:before="0" w:after="60" w:line="250" w:lineRule="auto"/>
      </w:pPr>
      <w:r>
        <w:rPr>
          <w:rFonts w:ascii="Times New Roman" w:hAnsi="Times New Roman"/>
          <w:b w:val="0"/>
          <w:i w:val="0"/>
          <w:sz w:val="18"/>
        </w:rPr>
        <w:t>On a GAAP basis, Connectivity operating margin expanded to 38.6% from 35.7% a year ago. AI operating loss narrowed 17% YoY and 49% QoQ, but remained $1.257B. Space operating loss worsened YoY to $542M as R&amp;D rose to $1.076B, more than the segment's quarterly revenue. This is the central cross-subsidy: Starlink earnings support Starship development and the AI build-out.</w:t>
      </w:r>
    </w:p>
    <w:p>
      <w:pPr>
        <w:keepNext/>
        <w:spacing w:before="60" w:after="40" w:line="250" w:lineRule="auto"/>
        <w:jc w:val="center"/>
      </w:pPr>
      <w:r>
        <w:rPr>
          <w:rFonts w:ascii="Times New Roman" w:hAnsi="Times New Roman"/>
          <w:b/>
          <w:i w:val="0"/>
          <w:color w:val="0B2545"/>
          <w:sz w:val="17"/>
        </w:rPr>
        <w:t>Figure 4 - Adjusted EBITDA and margin progression</w:t>
      </w:r>
    </w:p>
    <w:p>
      <w:pPr>
        <w:spacing w:after="0"/>
        <w:jc w:val="center"/>
      </w:pPr>
      <w:r>
        <w:drawing>
          <wp:inline xmlns:a="http://schemas.openxmlformats.org/drawingml/2006/main" xmlns:pic="http://schemas.openxmlformats.org/drawingml/2006/picture">
            <wp:extent cx="4892040" cy="2447812"/>
            <wp:docPr id="4" name="Picture 4" descr="Bars showing adjusted EBITDA with a line showing adjusted EBITDA margin for three quarters."/>
            <wp:cNvGraphicFramePr>
              <a:graphicFrameLocks noChangeAspect="1"/>
            </wp:cNvGraphicFramePr>
            <a:graphic>
              <a:graphicData uri="http://schemas.openxmlformats.org/drawingml/2006/picture">
                <pic:pic>
                  <pic:nvPicPr>
                    <pic:cNvPr id="0" name="spcx_q2_chart5_ebitda_margin.png"/>
                    <pic:cNvPicPr/>
                  </pic:nvPicPr>
                  <pic:blipFill>
                    <a:blip r:embed="rId18"/>
                    <a:stretch>
                      <a:fillRect/>
                    </a:stretch>
                  </pic:blipFill>
                  <pic:spPr>
                    <a:xfrm>
                      <a:off x="0" y="0"/>
                      <a:ext cx="4892040" cy="2447812"/>
                    </a:xfrm>
                    <a:prstGeom prst="rect"/>
                  </pic:spPr>
                </pic:pic>
              </a:graphicData>
            </a:graphic>
          </wp:inline>
        </w:drawing>
      </w:r>
    </w:p>
    <w:p>
      <w:pPr>
        <w:spacing w:before="40" w:after="80"/>
      </w:pPr>
      <w:r>
        <w:rPr>
          <w:rFonts w:ascii="Times New Roman" w:hAnsi="Times New Roman"/>
          <w:b w:val="0"/>
          <w:i/>
          <w:color w:val="667085"/>
          <w:sz w:val="14"/>
        </w:rPr>
        <w:t xml:space="preserve">Source: </w:t>
      </w:r>
      <w:hyperlink r:id="rId11">
        <w:r>
          <w:rPr>
            <w:rFonts w:ascii="Times New Roman" w:hAnsi="Times New Roman"/>
            <w:color w:val="0563C1"/>
            <w:u w:val="single"/>
            <w:sz w:val="14"/>
          </w:rPr>
          <w:t>Q2 earnings release (4 Aug 2026), adjusted EBITDA reconciliation</w:t>
        </w:r>
      </w:hyperlink>
      <w:r>
        <w:rPr>
          <w:rFonts w:ascii="Times New Roman" w:hAnsi="Times New Roman"/>
          <w:b w:val="0"/>
          <w:i/>
          <w:color w:val="667085"/>
          <w:sz w:val="14"/>
        </w:rPr>
        <w:t xml:space="preserve">; </w:t>
      </w:r>
      <w:hyperlink r:id="rId12">
        <w:r>
          <w:rPr>
            <w:rFonts w:ascii="Times New Roman" w:hAnsi="Times New Roman"/>
            <w:color w:val="0563C1"/>
            <w:u w:val="single"/>
            <w:sz w:val="14"/>
          </w:rPr>
          <w:t>Form 10-Q (4 Aug 2026)</w:t>
        </w:r>
      </w:hyperlink>
    </w:p>
    <w:p>
      <w:r>
        <w:br w:type="page"/>
      </w:r>
    </w:p>
    <w:p>
      <w:pPr>
        <w:pStyle w:val="Heading1"/>
      </w:pPr>
      <w:r>
        <w:rPr>
          <w:rFonts w:ascii="Times New Roman" w:hAnsi="Times New Roman"/>
          <w:b/>
          <w:i w:val="0"/>
          <w:color w:val="005288"/>
          <w:sz w:val="28"/>
        </w:rPr>
        <w:t>4. Connectivity: the thesis strengthened</w:t>
      </w:r>
    </w:p>
    <w:p>
      <w:pPr>
        <w:spacing w:before="0" w:after="60" w:line="250" w:lineRule="auto"/>
      </w:pPr>
      <w:r>
        <w:rPr>
          <w:rFonts w:ascii="Times New Roman" w:hAnsi="Times New Roman"/>
          <w:b w:val="0"/>
          <w:i w:val="0"/>
          <w:sz w:val="18"/>
        </w:rPr>
        <w:t>Starlink subscribers reached 12.0M at quarter-end, doubling from 6.0M a year earlier and increasing 1.7M sequentially. Monthly ARPU held at $66 vs. Q1 but remained 22% below Q2 2025's $85 as international mix and lower-priced plans broadened access. Stable sequential ARPU alongside 16.5% subscriber growth is a favorable near-term combination.</w:t>
      </w:r>
    </w:p>
    <w:p>
      <w:pPr>
        <w:spacing w:before="0" w:after="60" w:line="250" w:lineRule="auto"/>
      </w:pPr>
      <w:r>
        <w:rPr>
          <w:rFonts w:ascii="Times New Roman" w:hAnsi="Times New Roman"/>
          <w:b w:val="0"/>
          <w:i w:val="0"/>
          <w:sz w:val="18"/>
        </w:rPr>
        <w:t>Consumer revenue increased 44% YoY to $2.485B, while Enterprise &amp; Government revenue more than doubled to $1.806B. The latter reflects airline activations, mobile partnerships, and more than $6B of multi-year U.S. government awards for Starshield. Diversification beyond residential broadband should support ARPU and reduce churn, although customer concentration and government procurement timing add volatility.</w:t>
      </w:r>
    </w:p>
    <w:p>
      <w:pPr>
        <w:spacing w:before="0" w:after="60" w:line="250" w:lineRule="auto"/>
      </w:pPr>
      <w:r>
        <w:rPr>
          <w:rFonts w:ascii="Times New Roman" w:hAnsi="Times New Roman"/>
          <w:b w:val="0"/>
          <w:i w:val="0"/>
          <w:sz w:val="18"/>
        </w:rPr>
        <w:t>Connectivity generated $1.656B of operating income and $2.597B of adjusted EBITDA, while capex was $1.367B. The segment therefore produced positive operating economics even before considering working capital. We mark this thesis pillar as strengthened: Starlink is scaling quickly enough to fund satellite refreshes and contribute substantial cash toward group-level investment.</w:t>
      </w:r>
    </w:p>
    <w:p>
      <w:pPr>
        <w:spacing w:before="0" w:after="60" w:line="250" w:lineRule="auto"/>
      </w:pPr>
      <w:r>
        <w:rPr>
          <w:rFonts w:ascii="Times New Roman" w:hAnsi="Times New Roman"/>
          <w:b w:val="0"/>
          <w:i w:val="0"/>
          <w:sz w:val="18"/>
        </w:rPr>
        <w:t>The key sensitivity is the interaction between subscriber additions and pricing. At the current 12M subscriber base, each $1 change in monthly ARPU represents roughly $144M of annualized revenue before churn and mix effects. That arithmetic shows why enterprise, aviation, maritime, and direct-to-device services matter: they can stabilize blended pricing while lower-cost consumer plans expand the addressable market. We expect volume to remain the dominant driver through 2027.</w:t>
      </w:r>
    </w:p>
    <w:p>
      <w:pPr>
        <w:keepNext/>
        <w:spacing w:before="60" w:after="40" w:line="250" w:lineRule="auto"/>
        <w:jc w:val="center"/>
      </w:pPr>
      <w:r>
        <w:rPr>
          <w:rFonts w:ascii="Times New Roman" w:hAnsi="Times New Roman"/>
          <w:b/>
          <w:i w:val="0"/>
          <w:color w:val="0B2545"/>
          <w:sz w:val="17"/>
        </w:rPr>
        <w:t>Figure 5 - Starlink subscribers and ARPU</w:t>
      </w:r>
    </w:p>
    <w:p>
      <w:pPr>
        <w:spacing w:after="0"/>
        <w:jc w:val="center"/>
      </w:pPr>
      <w:r>
        <w:drawing>
          <wp:inline xmlns:a="http://schemas.openxmlformats.org/drawingml/2006/main" xmlns:pic="http://schemas.openxmlformats.org/drawingml/2006/picture">
            <wp:extent cx="5074920" cy="2539319"/>
            <wp:docPr id="5" name="Picture 5" descr="Bars show Starlink subscribers; line shows monthly ARPU for Q2 2025, Q1 2026, and Q2 2026."/>
            <wp:cNvGraphicFramePr>
              <a:graphicFrameLocks noChangeAspect="1"/>
            </wp:cNvGraphicFramePr>
            <a:graphic>
              <a:graphicData uri="http://schemas.openxmlformats.org/drawingml/2006/picture">
                <pic:pic>
                  <pic:nvPicPr>
                    <pic:cNvPr id="0" name="spcx_q2_chart4_starlink_metrics.png"/>
                    <pic:cNvPicPr/>
                  </pic:nvPicPr>
                  <pic:blipFill>
                    <a:blip r:embed="rId19"/>
                    <a:stretch>
                      <a:fillRect/>
                    </a:stretch>
                  </pic:blipFill>
                  <pic:spPr>
                    <a:xfrm>
                      <a:off x="0" y="0"/>
                      <a:ext cx="5074920" cy="2539319"/>
                    </a:xfrm>
                    <a:prstGeom prst="rect"/>
                  </pic:spPr>
                </pic:pic>
              </a:graphicData>
            </a:graphic>
          </wp:inline>
        </w:drawing>
      </w:r>
    </w:p>
    <w:p>
      <w:pPr>
        <w:spacing w:before="40" w:after="80"/>
      </w:pPr>
      <w:r>
        <w:rPr>
          <w:rFonts w:ascii="Times New Roman" w:hAnsi="Times New Roman"/>
          <w:b w:val="0"/>
          <w:i/>
          <w:color w:val="667085"/>
          <w:sz w:val="14"/>
        </w:rPr>
        <w:t xml:space="preserve">Source: </w:t>
      </w:r>
      <w:hyperlink r:id="rId11">
        <w:r>
          <w:rPr>
            <w:rFonts w:ascii="Times New Roman" w:hAnsi="Times New Roman"/>
            <w:color w:val="0563C1"/>
            <w:u w:val="single"/>
            <w:sz w:val="14"/>
          </w:rPr>
          <w:t>Q2 earnings release (4 Aug 2026), Connectivity segment data</w:t>
        </w:r>
      </w:hyperlink>
      <w:r>
        <w:rPr>
          <w:rFonts w:ascii="Times New Roman" w:hAnsi="Times New Roman"/>
          <w:b w:val="0"/>
          <w:i/>
          <w:color w:val="667085"/>
          <w:sz w:val="14"/>
        </w:rPr>
        <w:t xml:space="preserve">; </w:t>
      </w:r>
      <w:hyperlink r:id="rId12">
        <w:r>
          <w:rPr>
            <w:rFonts w:ascii="Times New Roman" w:hAnsi="Times New Roman"/>
            <w:color w:val="0563C1"/>
            <w:u w:val="single"/>
            <w:sz w:val="14"/>
          </w:rPr>
          <w:t>Form 10-Q (4 Aug 2026), segment discussion</w:t>
        </w:r>
      </w:hyperlink>
    </w:p>
    <w:p>
      <w:r>
        <w:br w:type="page"/>
      </w:r>
    </w:p>
    <w:p>
      <w:pPr>
        <w:pStyle w:val="Heading1"/>
      </w:pPr>
      <w:r>
        <w:rPr>
          <w:rFonts w:ascii="Times New Roman" w:hAnsi="Times New Roman"/>
          <w:b/>
          <w:i w:val="0"/>
          <w:color w:val="005288"/>
          <w:sz w:val="28"/>
        </w:rPr>
        <w:t>5. AI: monetization arrives, but capital intensity dominates</w:t>
      </w:r>
    </w:p>
    <w:p>
      <w:pPr>
        <w:spacing w:before="0" w:after="60" w:line="250" w:lineRule="auto"/>
      </w:pPr>
      <w:r>
        <w:rPr>
          <w:rFonts w:ascii="Times New Roman" w:hAnsi="Times New Roman"/>
          <w:b w:val="0"/>
          <w:i w:val="0"/>
          <w:sz w:val="18"/>
        </w:rPr>
        <w:t>AI revenue rose 247% YoY and 213% QoQ to $2.561B. AI solutions and infrastructure revenue accounted for $2.194B, while advertising contributed $367M. New cloud-service agreements generated $1.6B of incremental quarterly infrastructure revenue and brought contracted sales to $14.1B. Nameplate compute increased to 1.4 GW from 1.0 GW in Q1 and 0.4 GW a year ago.</w:t>
      </w:r>
    </w:p>
    <w:p>
      <w:pPr>
        <w:spacing w:before="0" w:after="60" w:line="250" w:lineRule="auto"/>
      </w:pPr>
      <w:r>
        <w:rPr>
          <w:rFonts w:ascii="Times New Roman" w:hAnsi="Times New Roman"/>
          <w:b w:val="0"/>
          <w:i w:val="0"/>
          <w:sz w:val="18"/>
        </w:rPr>
        <w:t>The improvement was not cheap. AI capex reached $15.828B, 6.2x segment revenue and more than double Q1. R&amp;D expense was $2.178B. AI adjusted EBITDA turned positive at $1.146B, but GAAP operating loss remained $1.257B after depreciation and share-based compensation. The $60B Cursor acquisition adds strategic enterprise distribution but increases integration and capital-allocation complexity.</w:t>
      </w:r>
    </w:p>
    <w:p>
      <w:pPr>
        <w:spacing w:before="0" w:after="60" w:line="250" w:lineRule="auto"/>
      </w:pPr>
      <w:r>
        <w:rPr>
          <w:rFonts w:ascii="Times New Roman" w:hAnsi="Times New Roman"/>
          <w:b w:val="0"/>
          <w:i w:val="0"/>
          <w:sz w:val="18"/>
        </w:rPr>
        <w:t>We mark the AI thesis as improved operationally but unproven economically. Contracted revenue and positive adjusted EBITDA validate demand. However, returns depend on utilization, pricing durability, GPU depreciation, power availability, and customer concentration. A small number of cloud customers can terminate after contractual ramp periods, making backlog quality as important as headline size.</w:t>
      </w:r>
    </w:p>
    <w:p>
      <w:pPr>
        <w:spacing w:before="0" w:after="60" w:line="250" w:lineRule="auto"/>
      </w:pPr>
      <w:r>
        <w:rPr>
          <w:rFonts w:ascii="Times New Roman" w:hAnsi="Times New Roman"/>
          <w:b w:val="0"/>
          <w:i w:val="0"/>
          <w:sz w:val="18"/>
        </w:rPr>
        <w:t>A simple capital-efficiency check remains demanding. Q2 AI capex was about $6.18 for every dollar of segment revenue and nearly ten times the quarter's incremental cloud-infrastructure revenue. Those ratios will fall if contracted capacity ramps on schedule, but the depreciation clock starts before full utilization is guaranteed. We therefore require sequential evidence on booked revenue conversion, power delivery, and cash gross profit before assigning the segment a software-like multiple.</w:t>
      </w:r>
    </w:p>
    <w:p>
      <w:pPr>
        <w:keepNext/>
        <w:spacing w:before="60" w:after="40" w:line="250" w:lineRule="auto"/>
        <w:jc w:val="center"/>
      </w:pPr>
      <w:r>
        <w:rPr>
          <w:rFonts w:ascii="Times New Roman" w:hAnsi="Times New Roman"/>
          <w:b/>
          <w:i w:val="0"/>
          <w:color w:val="0B2545"/>
          <w:sz w:val="17"/>
        </w:rPr>
        <w:t>Figure 6 - AI revenue vs. AI capital expenditures</w:t>
      </w:r>
    </w:p>
    <w:p>
      <w:pPr>
        <w:spacing w:after="0"/>
        <w:jc w:val="center"/>
      </w:pPr>
      <w:r>
        <w:drawing>
          <wp:inline xmlns:a="http://schemas.openxmlformats.org/drawingml/2006/main" xmlns:pic="http://schemas.openxmlformats.org/drawingml/2006/picture">
            <wp:extent cx="4800600" cy="2402058"/>
            <wp:docPr id="6" name="Picture 6" descr="Grouped bars compare AI segment revenue and capital expenditures across three quarters."/>
            <wp:cNvGraphicFramePr>
              <a:graphicFrameLocks noChangeAspect="1"/>
            </wp:cNvGraphicFramePr>
            <a:graphic>
              <a:graphicData uri="http://schemas.openxmlformats.org/drawingml/2006/picture">
                <pic:pic>
                  <pic:nvPicPr>
                    <pic:cNvPr id="0" name="spcx_q2_chart6_ai_revenue_capex.png"/>
                    <pic:cNvPicPr/>
                  </pic:nvPicPr>
                  <pic:blipFill>
                    <a:blip r:embed="rId20"/>
                    <a:stretch>
                      <a:fillRect/>
                    </a:stretch>
                  </pic:blipFill>
                  <pic:spPr>
                    <a:xfrm>
                      <a:off x="0" y="0"/>
                      <a:ext cx="4800600" cy="2402058"/>
                    </a:xfrm>
                    <a:prstGeom prst="rect"/>
                  </pic:spPr>
                </pic:pic>
              </a:graphicData>
            </a:graphic>
          </wp:inline>
        </w:drawing>
      </w:r>
    </w:p>
    <w:p>
      <w:pPr>
        <w:spacing w:before="40" w:after="80"/>
      </w:pPr>
      <w:r>
        <w:rPr>
          <w:rFonts w:ascii="Times New Roman" w:hAnsi="Times New Roman"/>
          <w:b w:val="0"/>
          <w:i/>
          <w:color w:val="667085"/>
          <w:sz w:val="14"/>
        </w:rPr>
        <w:t xml:space="preserve">Source: </w:t>
      </w:r>
      <w:hyperlink r:id="rId11">
        <w:r>
          <w:rPr>
            <w:rFonts w:ascii="Times New Roman" w:hAnsi="Times New Roman"/>
            <w:color w:val="0563C1"/>
            <w:u w:val="single"/>
            <w:sz w:val="14"/>
          </w:rPr>
          <w:t>Q2 earnings release (4 Aug 2026), AI segment schedule</w:t>
        </w:r>
      </w:hyperlink>
      <w:r>
        <w:rPr>
          <w:rFonts w:ascii="Times New Roman" w:hAnsi="Times New Roman"/>
          <w:b w:val="0"/>
          <w:i/>
          <w:color w:val="667085"/>
          <w:sz w:val="14"/>
        </w:rPr>
        <w:t xml:space="preserve">; </w:t>
      </w:r>
      <w:hyperlink r:id="rId12">
        <w:r>
          <w:rPr>
            <w:rFonts w:ascii="Times New Roman" w:hAnsi="Times New Roman"/>
            <w:color w:val="0563C1"/>
            <w:u w:val="single"/>
            <w:sz w:val="14"/>
          </w:rPr>
          <w:t>Form 10-Q (4 Aug 2026), AI risk-factor update</w:t>
        </w:r>
      </w:hyperlink>
    </w:p>
    <w:p>
      <w:r>
        <w:br w:type="page"/>
      </w:r>
    </w:p>
    <w:p>
      <w:pPr>
        <w:pStyle w:val="Heading1"/>
      </w:pPr>
      <w:r>
        <w:rPr>
          <w:rFonts w:ascii="Times New Roman" w:hAnsi="Times New Roman"/>
          <w:b/>
          <w:i w:val="0"/>
          <w:color w:val="005288"/>
          <w:sz w:val="28"/>
        </w:rPr>
        <w:t>6. Cash flow and balance sheet: funded, not self-funding</w:t>
      </w:r>
    </w:p>
    <w:p>
      <w:pPr>
        <w:spacing w:before="0" w:after="60" w:line="250" w:lineRule="auto"/>
      </w:pPr>
      <w:r>
        <w:rPr>
          <w:rFonts w:ascii="Times New Roman" w:hAnsi="Times New Roman"/>
          <w:b w:val="0"/>
          <w:i w:val="0"/>
          <w:sz w:val="18"/>
        </w:rPr>
        <w:t>H1 operating cash flow was $3.466B, up from $351M a year ago. Capital expenditures of $28.476B produced approximate free cash flow of $(25.010)B. This calculation excludes acquisitions and financing flows and is the most important counterweight to the adjusted EBITDA narrative. The company is producing operating cash, but the investment program remains far larger.</w:t>
      </w:r>
    </w:p>
    <w:p>
      <w:pPr>
        <w:spacing w:before="0" w:after="60" w:line="250" w:lineRule="auto"/>
      </w:pPr>
      <w:r>
        <w:rPr>
          <w:rFonts w:ascii="Times New Roman" w:hAnsi="Times New Roman"/>
          <w:b w:val="0"/>
          <w:i w:val="0"/>
          <w:sz w:val="18"/>
        </w:rPr>
        <w:t>Liquidity is unusually strong after the IPO and bond issuance. Cash and equivalents were $93.522B and marketable securities $6.487B, totaling $100.009B. Debt and finance leases were $39.364B, implying roughly $60.6B of net cash before acquisition consideration. The IPO generated $85.675B of net proceeds, while the June bond issuance refinanced bridge borrowing and extended maturities.</w:t>
      </w:r>
    </w:p>
    <w:p>
      <w:pPr>
        <w:spacing w:before="0" w:after="60" w:line="250" w:lineRule="auto"/>
      </w:pPr>
      <w:r>
        <w:rPr>
          <w:rFonts w:ascii="Times New Roman" w:hAnsi="Times New Roman"/>
          <w:b w:val="0"/>
          <w:i w:val="0"/>
          <w:sz w:val="18"/>
        </w:rPr>
        <w:t>At the H1 free-cash-flow run-rate, liquidity provides meaningful but finite runway. Our FY2026 capex estimate rises to $65B, broadly assuming the Q2 investment cadence remains elevated. If AI utilization, Starship milestones, or Starlink cash conversion disappoint, management would need to moderate spending or return to capital markets. Balance-sheet capacity lowers near-term solvency risk; it does not resolve return-on-capital risk.</w:t>
      </w:r>
    </w:p>
    <w:p>
      <w:pPr>
        <w:spacing w:before="0" w:after="60" w:line="250" w:lineRule="auto"/>
      </w:pPr>
      <w:r>
        <w:rPr>
          <w:rFonts w:ascii="Times New Roman" w:hAnsi="Times New Roman"/>
          <w:b w:val="0"/>
          <w:i w:val="0"/>
          <w:sz w:val="18"/>
        </w:rPr>
        <w:t>Liquidity should also be viewed against committed strategic uses. The Cursor consideration, continued Starship development, satellite replenishment, and multi-gigawatt data-center construction compete for the same balance sheet. Even before acquisition cash outflows, our $65B FY2026 capex estimate would consume most of reported cash and marketable securities within two years if operating cash flow did not scale. The financing question is therefore about sequencing and returns, not immediate access to capital.</w:t>
      </w:r>
    </w:p>
    <w:p>
      <w:pPr>
        <w:keepNext/>
        <w:spacing w:before="60" w:after="40" w:line="250" w:lineRule="auto"/>
        <w:jc w:val="center"/>
      </w:pPr>
      <w:r>
        <w:rPr>
          <w:rFonts w:ascii="Times New Roman" w:hAnsi="Times New Roman"/>
          <w:b/>
          <w:i w:val="0"/>
          <w:color w:val="0B2545"/>
          <w:sz w:val="17"/>
        </w:rPr>
        <w:t>Figure 7 - H1 2026 operating cash flow, capex, and free cash flow</w:t>
      </w:r>
    </w:p>
    <w:p>
      <w:pPr>
        <w:spacing w:after="0"/>
        <w:jc w:val="center"/>
      </w:pPr>
      <w:r>
        <w:drawing>
          <wp:inline xmlns:a="http://schemas.openxmlformats.org/drawingml/2006/main" xmlns:pic="http://schemas.openxmlformats.org/drawingml/2006/picture">
            <wp:extent cx="4983480" cy="2608212"/>
            <wp:docPr id="7" name="Picture 7" descr="Bar chart showing positive operating cash flow offset by much larger capital expenditures and negative free cash flow."/>
            <wp:cNvGraphicFramePr>
              <a:graphicFrameLocks noChangeAspect="1"/>
            </wp:cNvGraphicFramePr>
            <a:graphic>
              <a:graphicData uri="http://schemas.openxmlformats.org/drawingml/2006/picture">
                <pic:pic>
                  <pic:nvPicPr>
                    <pic:cNvPr id="0" name="spcx_q2_chart8_cash_flow.png"/>
                    <pic:cNvPicPr/>
                  </pic:nvPicPr>
                  <pic:blipFill>
                    <a:blip r:embed="rId21"/>
                    <a:stretch>
                      <a:fillRect/>
                    </a:stretch>
                  </pic:blipFill>
                  <pic:spPr>
                    <a:xfrm>
                      <a:off x="0" y="0"/>
                      <a:ext cx="4983480" cy="2608212"/>
                    </a:xfrm>
                    <a:prstGeom prst="rect"/>
                  </pic:spPr>
                </pic:pic>
              </a:graphicData>
            </a:graphic>
          </wp:inline>
        </w:drawing>
      </w:r>
    </w:p>
    <w:p>
      <w:pPr>
        <w:spacing w:before="40" w:after="80"/>
      </w:pPr>
      <w:r>
        <w:rPr>
          <w:rFonts w:ascii="Times New Roman" w:hAnsi="Times New Roman"/>
          <w:b w:val="0"/>
          <w:i/>
          <w:color w:val="667085"/>
          <w:sz w:val="14"/>
        </w:rPr>
        <w:t xml:space="preserve">Source: </w:t>
      </w:r>
      <w:hyperlink r:id="rId11">
        <w:r>
          <w:rPr>
            <w:rFonts w:ascii="Times New Roman" w:hAnsi="Times New Roman"/>
            <w:color w:val="0563C1"/>
            <w:u w:val="single"/>
            <w:sz w:val="14"/>
          </w:rPr>
          <w:t>Q2 earnings release (4 Aug 2026), selected cash-flow information</w:t>
        </w:r>
      </w:hyperlink>
      <w:r>
        <w:rPr>
          <w:rFonts w:ascii="Times New Roman" w:hAnsi="Times New Roman"/>
          <w:b w:val="0"/>
          <w:i/>
          <w:color w:val="667085"/>
          <w:sz w:val="14"/>
        </w:rPr>
        <w:t xml:space="preserve">; </w:t>
      </w:r>
      <w:hyperlink r:id="rId12">
        <w:r>
          <w:rPr>
            <w:rFonts w:ascii="Times New Roman" w:hAnsi="Times New Roman"/>
            <w:color w:val="0563C1"/>
            <w:u w:val="single"/>
            <w:sz w:val="14"/>
          </w:rPr>
          <w:t>Form 10-Q (4 Aug 2026), cash-flow statement</w:t>
        </w:r>
      </w:hyperlink>
    </w:p>
    <w:p>
      <w:r>
        <w:br w:type="page"/>
      </w:r>
    </w:p>
    <w:p>
      <w:pPr>
        <w:pStyle w:val="Heading1"/>
      </w:pPr>
      <w:r>
        <w:rPr>
          <w:rFonts w:ascii="Times New Roman" w:hAnsi="Times New Roman"/>
          <w:b/>
          <w:i w:val="0"/>
          <w:color w:val="005288"/>
          <w:sz w:val="28"/>
        </w:rPr>
        <w:t>7. Management outlook and catalyst calendar</w:t>
      </w:r>
    </w:p>
    <w:p>
      <w:pPr>
        <w:spacing w:before="0" w:after="60" w:line="250" w:lineRule="auto"/>
      </w:pPr>
      <w:r>
        <w:rPr>
          <w:rFonts w:ascii="Times New Roman" w:hAnsi="Times New Roman"/>
          <w:b w:val="0"/>
          <w:i w:val="0"/>
          <w:sz w:val="18"/>
        </w:rPr>
        <w:t>SpaceX did not provide conventional quarterly revenue or EPS guidance. Instead, management framed long-duration operating targets. On the 4 August call, Elon Musk said the company's internal projection for $1T of annual revenue moved forward to 2030 from 2031, with a non-zero probability of 2029. He also described a path toward as much as 10 GW of compute capacity by the end of 2027 and said SpaceX would standardize on Nvidia's Vera Rubin architecture.</w:t>
      </w:r>
    </w:p>
    <w:p>
      <w:pPr>
        <w:spacing w:before="0" w:after="60" w:line="250" w:lineRule="auto"/>
      </w:pPr>
      <w:r>
        <w:rPr>
          <w:rFonts w:ascii="Times New Roman" w:hAnsi="Times New Roman"/>
          <w:b w:val="0"/>
          <w:i w:val="0"/>
          <w:sz w:val="18"/>
        </w:rPr>
        <w:t>Gwynne Shotwell reiterated a goal of landing people on the Moon in 2028. The earnings release highlighted two successful Starship V3 tests in the prior 90 days and management's belief that full reusability can lower cost to orbit by 99% or more vs. historical averages. These statements are strategically important but sit well beyond the normal forecasting window and carry unusually high execution risk.</w:t>
      </w:r>
    </w:p>
    <w:p>
      <w:pPr>
        <w:pStyle w:val="Heading2"/>
      </w:pPr>
      <w:r>
        <w:rPr>
          <w:rFonts w:ascii="Times New Roman" w:hAnsi="Times New Roman"/>
          <w:b/>
          <w:i w:val="0"/>
          <w:color w:val="0B2545"/>
          <w:sz w:val="23"/>
        </w:rPr>
        <w:t>Near-term catalysts</w:t>
      </w:r>
    </w:p>
    <w:p>
      <w:pPr>
        <w:numPr>
          <w:ilvl w:val="0"/>
          <w:numId w:val="10"/>
        </w:numPr>
        <w:spacing w:after="80" w:line="247" w:lineRule="auto"/>
      </w:pPr>
      <w:r>
        <w:rPr>
          <w:rFonts w:ascii="Times New Roman" w:hAnsi="Times New Roman"/>
          <w:b/>
          <w:i w:val="0"/>
          <w:color w:val="0B2545"/>
          <w:sz w:val="17"/>
        </w:rPr>
        <w:t xml:space="preserve">6 August 2026 - first major post-IPO unlock tranche. </w:t>
      </w:r>
      <w:r>
        <w:rPr>
          <w:rFonts w:ascii="Times New Roman" w:hAnsi="Times New Roman"/>
          <w:b w:val="0"/>
          <w:i w:val="0"/>
          <w:sz w:val="17"/>
        </w:rPr>
        <w:t>The release of eligible insider and employee shares can increase free float sharply and may dominate near-term price discovery even after a fundamental beat.</w:t>
      </w:r>
    </w:p>
    <w:p>
      <w:pPr>
        <w:numPr>
          <w:ilvl w:val="0"/>
          <w:numId w:val="10"/>
        </w:numPr>
        <w:spacing w:after="80" w:line="247" w:lineRule="auto"/>
      </w:pPr>
      <w:r>
        <w:rPr>
          <w:rFonts w:ascii="Times New Roman" w:hAnsi="Times New Roman"/>
          <w:b/>
          <w:i w:val="0"/>
          <w:color w:val="0B2545"/>
          <w:sz w:val="17"/>
        </w:rPr>
        <w:t xml:space="preserve">Q3 2026 - expected Cursor transaction close. </w:t>
      </w:r>
      <w:r>
        <w:rPr>
          <w:rFonts w:ascii="Times New Roman" w:hAnsi="Times New Roman"/>
          <w:b w:val="0"/>
          <w:i w:val="0"/>
          <w:sz w:val="17"/>
        </w:rPr>
        <w:t>The acquisition could accelerate enterprise distribution and recurring software revenue, but investors need clarity on consideration, integration, and incremental operating expense.</w:t>
      </w:r>
    </w:p>
    <w:p>
      <w:pPr>
        <w:numPr>
          <w:ilvl w:val="0"/>
          <w:numId w:val="10"/>
        </w:numPr>
        <w:spacing w:after="80" w:line="247" w:lineRule="auto"/>
      </w:pPr>
      <w:r>
        <w:rPr>
          <w:rFonts w:ascii="Times New Roman" w:hAnsi="Times New Roman"/>
          <w:b/>
          <w:i w:val="0"/>
          <w:color w:val="0B2545"/>
          <w:sz w:val="17"/>
        </w:rPr>
        <w:t xml:space="preserve">Second half 2026 - cloud capacity ramp and compute build-out. </w:t>
      </w:r>
      <w:r>
        <w:rPr>
          <w:rFonts w:ascii="Times New Roman" w:hAnsi="Times New Roman"/>
          <w:b w:val="0"/>
          <w:i w:val="0"/>
          <w:sz w:val="17"/>
        </w:rPr>
        <w:t>Quarterly AI revenue, contracted sales conversion, and utilization will determine whether Q2's positive adjusted EBITDA is durable.</w:t>
      </w:r>
    </w:p>
    <w:p>
      <w:pPr>
        <w:numPr>
          <w:ilvl w:val="0"/>
          <w:numId w:val="10"/>
        </w:numPr>
        <w:spacing w:after="80" w:line="247" w:lineRule="auto"/>
      </w:pPr>
      <w:r>
        <w:rPr>
          <w:rFonts w:ascii="Times New Roman" w:hAnsi="Times New Roman"/>
          <w:b/>
          <w:i w:val="0"/>
          <w:color w:val="0B2545"/>
          <w:sz w:val="17"/>
        </w:rPr>
        <w:t xml:space="preserve">Starship flight cadence and satellite V3 deployment. </w:t>
      </w:r>
      <w:r>
        <w:rPr>
          <w:rFonts w:ascii="Times New Roman" w:hAnsi="Times New Roman"/>
          <w:b w:val="0"/>
          <w:i w:val="0"/>
          <w:sz w:val="17"/>
        </w:rPr>
        <w:t>Successful reusability milestones would improve the economic case for launch, Starlink capacity, and future orbital compute; delays would extend R&amp;D losses.</w:t>
      </w:r>
    </w:p>
    <w:p>
      <w:pPr>
        <w:spacing w:before="0" w:after="60" w:line="250" w:lineRule="auto"/>
      </w:pPr>
      <w:r>
        <w:rPr>
          <w:rFonts w:ascii="Times New Roman" w:hAnsi="Times New Roman"/>
          <w:b w:val="0"/>
          <w:i/>
          <w:color w:val="667085"/>
          <w:sz w:val="16"/>
        </w:rPr>
        <w:t>Transcript status: the company stated that a transcript would be available the day after the call, but an official transcript was not discoverable in the IR index at this report's cut-off. Call commentary above was cross-checked against the official webcast notice and same-day Axios/AP coverage; no unmatched third-party transcript was used.</w:t>
      </w:r>
    </w:p>
    <w:p>
      <w:pPr>
        <w:spacing w:before="40" w:after="80"/>
      </w:pPr>
      <w:r>
        <w:rPr>
          <w:rFonts w:ascii="Times New Roman" w:hAnsi="Times New Roman"/>
          <w:b w:val="0"/>
          <w:i/>
          <w:color w:val="667085"/>
          <w:sz w:val="14"/>
        </w:rPr>
        <w:t xml:space="preserve">Source: </w:t>
      </w:r>
      <w:hyperlink r:id="rId22">
        <w:r>
          <w:rPr>
            <w:rFonts w:ascii="Times New Roman" w:hAnsi="Times New Roman"/>
            <w:color w:val="0563C1"/>
            <w:u w:val="single"/>
            <w:sz w:val="14"/>
          </w:rPr>
          <w:t>Official webcast/replay notice</w:t>
        </w:r>
      </w:hyperlink>
      <w:r>
        <w:rPr>
          <w:rFonts w:ascii="Times New Roman" w:hAnsi="Times New Roman"/>
          <w:b w:val="0"/>
          <w:i/>
          <w:color w:val="667085"/>
          <w:sz w:val="14"/>
        </w:rPr>
        <w:t xml:space="preserve">; </w:t>
      </w:r>
      <w:hyperlink r:id="rId11">
        <w:r>
          <w:rPr>
            <w:rFonts w:ascii="Times New Roman" w:hAnsi="Times New Roman"/>
            <w:color w:val="0563C1"/>
            <w:u w:val="single"/>
            <w:sz w:val="14"/>
          </w:rPr>
          <w:t>Q2 earnings release</w:t>
        </w:r>
      </w:hyperlink>
      <w:r>
        <w:rPr>
          <w:rFonts w:ascii="Times New Roman" w:hAnsi="Times New Roman"/>
          <w:b w:val="0"/>
          <w:i/>
          <w:color w:val="667085"/>
          <w:sz w:val="14"/>
        </w:rPr>
        <w:t xml:space="preserve">; </w:t>
      </w:r>
      <w:hyperlink r:id="rId13">
        <w:r>
          <w:rPr>
            <w:rFonts w:ascii="Times New Roman" w:hAnsi="Times New Roman"/>
            <w:color w:val="0563C1"/>
            <w:u w:val="single"/>
            <w:sz w:val="14"/>
          </w:rPr>
          <w:t>Axios call coverage</w:t>
        </w:r>
      </w:hyperlink>
      <w:r>
        <w:rPr>
          <w:rFonts w:ascii="Times New Roman" w:hAnsi="Times New Roman"/>
          <w:b w:val="0"/>
          <w:i/>
          <w:color w:val="667085"/>
          <w:sz w:val="14"/>
        </w:rPr>
        <w:t xml:space="preserve">; </w:t>
      </w:r>
      <w:hyperlink r:id="rId23">
        <w:r>
          <w:rPr>
            <w:rFonts w:ascii="Times New Roman" w:hAnsi="Times New Roman"/>
            <w:color w:val="0563C1"/>
            <w:u w:val="single"/>
            <w:sz w:val="14"/>
          </w:rPr>
          <w:t>AP call coverage</w:t>
        </w:r>
      </w:hyperlink>
      <w:r>
        <w:rPr>
          <w:rFonts w:ascii="Times New Roman" w:hAnsi="Times New Roman"/>
          <w:b w:val="0"/>
          <w:i/>
          <w:color w:val="667085"/>
          <w:sz w:val="14"/>
        </w:rPr>
        <w:t>. Call and release dated 4 August 2026</w:t>
      </w:r>
    </w:p>
    <w:p>
      <w:r>
        <w:br w:type="page"/>
      </w:r>
    </w:p>
    <w:p>
      <w:pPr>
        <w:pStyle w:val="Heading1"/>
      </w:pPr>
      <w:r>
        <w:rPr>
          <w:rFonts w:ascii="Times New Roman" w:hAnsi="Times New Roman"/>
          <w:b/>
          <w:i w:val="0"/>
          <w:color w:val="005288"/>
          <w:sz w:val="28"/>
        </w:rPr>
        <w:t>8. Updated thesis and risk assessment</w:t>
      </w:r>
    </w:p>
    <w:p>
      <w:pPr>
        <w:numPr>
          <w:ilvl w:val="0"/>
          <w:numId w:val="10"/>
        </w:numPr>
        <w:spacing w:after="80" w:line="247" w:lineRule="auto"/>
      </w:pPr>
      <w:r>
        <w:rPr>
          <w:rFonts w:ascii="Times New Roman" w:hAnsi="Times New Roman"/>
          <w:b/>
          <w:i w:val="0"/>
          <w:color w:val="0B2545"/>
          <w:sz w:val="17"/>
        </w:rPr>
        <w:t xml:space="preserve">Thesis pillar 1 - Starlink global scale: strengthened. </w:t>
      </w:r>
      <w:r>
        <w:rPr>
          <w:rFonts w:ascii="Times New Roman" w:hAnsi="Times New Roman"/>
          <w:b w:val="0"/>
          <w:i w:val="0"/>
          <w:sz w:val="17"/>
        </w:rPr>
        <w:t>Subscriber growth, stable sequential ARPU, and 79% operating-income growth demonstrate strong unit economics. Enterprise, aviation, mobile, and government channels broaden the addressable market beyond residential broadband.</w:t>
      </w:r>
    </w:p>
    <w:p>
      <w:pPr>
        <w:numPr>
          <w:ilvl w:val="0"/>
          <w:numId w:val="10"/>
        </w:numPr>
        <w:spacing w:after="80" w:line="247" w:lineRule="auto"/>
      </w:pPr>
      <w:r>
        <w:rPr>
          <w:rFonts w:ascii="Times New Roman" w:hAnsi="Times New Roman"/>
          <w:b/>
          <w:i w:val="0"/>
          <w:color w:val="0B2545"/>
          <w:sz w:val="17"/>
        </w:rPr>
        <w:t xml:space="preserve">Thesis pillar 2 - integrated platform advantage: strengthened, but early. </w:t>
      </w:r>
      <w:r>
        <w:rPr>
          <w:rFonts w:ascii="Times New Roman" w:hAnsi="Times New Roman"/>
          <w:b w:val="0"/>
          <w:i w:val="0"/>
          <w:sz w:val="17"/>
        </w:rPr>
        <w:t>SpaceX can deploy satellites internally, monetize connectivity, and reuse infrastructure and capital-market access across AI. The Q2 AI revenue inflection is the first financial evidence of this platform logic.</w:t>
      </w:r>
    </w:p>
    <w:p>
      <w:pPr>
        <w:numPr>
          <w:ilvl w:val="0"/>
          <w:numId w:val="10"/>
        </w:numPr>
        <w:spacing w:after="80" w:line="247" w:lineRule="auto"/>
      </w:pPr>
      <w:r>
        <w:rPr>
          <w:rFonts w:ascii="Times New Roman" w:hAnsi="Times New Roman"/>
          <w:b/>
          <w:i w:val="0"/>
          <w:color w:val="0B2545"/>
          <w:sz w:val="17"/>
        </w:rPr>
        <w:t xml:space="preserve">Thesis pillar 3 - self-funded compounding: weakened. </w:t>
      </w:r>
      <w:r>
        <w:rPr>
          <w:rFonts w:ascii="Times New Roman" w:hAnsi="Times New Roman"/>
          <w:b w:val="0"/>
          <w:i w:val="0"/>
          <w:sz w:val="17"/>
        </w:rPr>
        <w:t>H1 free cash flow of approximately $(25)B and $15.8B of quarterly AI capex show that strategic breadth has not yet translated into self-funding growth. Adjusted EBITDA substantially overstates cash economics during the build-out.</w:t>
      </w:r>
    </w:p>
    <w:p>
      <w:pPr>
        <w:pStyle w:val="Heading2"/>
      </w:pPr>
      <w:r>
        <w:rPr>
          <w:rFonts w:ascii="Times New Roman" w:hAnsi="Times New Roman"/>
          <w:b/>
          <w:i w:val="0"/>
          <w:color w:val="0B2545"/>
          <w:sz w:val="23"/>
        </w:rPr>
        <w:t>Principal risks</w:t>
      </w:r>
    </w:p>
    <w:p>
      <w:pPr>
        <w:spacing w:before="0" w:after="60" w:line="250" w:lineRule="auto"/>
      </w:pPr>
      <w:r>
        <w:rPr>
          <w:rFonts w:ascii="Times New Roman" w:hAnsi="Times New Roman"/>
          <w:b w:val="0"/>
          <w:i w:val="0"/>
          <w:sz w:val="18"/>
        </w:rPr>
        <w:t>Valuation and duration remain the leading risks. At roughly $1.5T market capitalization, investors are underwriting years of high growth and successful commercialization across multiple frontier technologies. AI customer concentration, cancellable cloud agreements after ramp periods, GPU obsolescence, power constraints, Starship technical milestones, regulatory approvals, government-contract timing, dual-class governance, and management key-person risk can all impair the path.</w:t>
      </w:r>
    </w:p>
    <w:p>
      <w:pPr>
        <w:spacing w:before="0" w:after="60" w:line="250" w:lineRule="auto"/>
      </w:pPr>
      <w:r>
        <w:rPr>
          <w:rFonts w:ascii="Times New Roman" w:hAnsi="Times New Roman"/>
          <w:b w:val="0"/>
          <w:i w:val="0"/>
          <w:sz w:val="18"/>
        </w:rPr>
        <w:t>Near-term technical risk is unusually high because the first large unlock follows immediately after earnings. The stock has already fallen below the $135 IPO price and almost 50% from its $225.64 high. A cheaper entry price improves expected return but does not eliminate the possibility of further multiple compression as free float expands.</w:t>
      </w:r>
    </w:p>
    <w:p>
      <w:pPr>
        <w:spacing w:before="0" w:after="60" w:line="250" w:lineRule="auto"/>
      </w:pPr>
      <w:r>
        <w:rPr>
          <w:rFonts w:ascii="Times New Roman" w:hAnsi="Times New Roman"/>
          <w:b w:val="0"/>
          <w:i w:val="0"/>
          <w:sz w:val="18"/>
        </w:rPr>
        <w:t>Our upgrade is therefore tactical on entry point but strategic on duration. The post-earnings decline improves asymmetry versus the unchanged $150 target, while the operating beat raises confidence that Starlink can carry group investment through the next milestone cycle. Position sizing should still reflect an unusually wide distribution of outcomes. Investors unable to tolerate a drawdown toward the $80 bear case should wait for evidence that AI capex growth has peaked.</w:t>
      </w:r>
    </w:p>
    <w:p>
      <w:pPr>
        <w:keepNext/>
        <w:spacing w:before="60" w:after="40" w:line="250" w:lineRule="auto"/>
        <w:jc w:val="center"/>
      </w:pPr>
      <w:r>
        <w:rPr>
          <w:rFonts w:ascii="Times New Roman" w:hAnsi="Times New Roman"/>
          <w:b/>
          <w:i w:val="0"/>
          <w:color w:val="0B2545"/>
          <w:sz w:val="17"/>
        </w:rPr>
        <w:t>Figure 8 - SPCX share-price performance since IPO</w:t>
      </w:r>
    </w:p>
    <w:p>
      <w:pPr>
        <w:spacing w:after="0"/>
        <w:jc w:val="center"/>
      </w:pPr>
      <w:r>
        <w:drawing>
          <wp:inline xmlns:a="http://schemas.openxmlformats.org/drawingml/2006/main" xmlns:pic="http://schemas.openxmlformats.org/drawingml/2006/picture">
            <wp:extent cx="5074920" cy="2486492"/>
            <wp:docPr id="8" name="Picture 8" descr="Line chart of SPCX closes since the June 2026 IPO, with IPO price and Q2 results marked."/>
            <wp:cNvGraphicFramePr>
              <a:graphicFrameLocks noChangeAspect="1"/>
            </wp:cNvGraphicFramePr>
            <a:graphic>
              <a:graphicData uri="http://schemas.openxmlformats.org/drawingml/2006/picture">
                <pic:pic>
                  <pic:nvPicPr>
                    <pic:cNvPr id="0" name="spcx_q2_chart10_price_since_ipo.png"/>
                    <pic:cNvPicPr/>
                  </pic:nvPicPr>
                  <pic:blipFill>
                    <a:blip r:embed="rId24"/>
                    <a:stretch>
                      <a:fillRect/>
                    </a:stretch>
                  </pic:blipFill>
                  <pic:spPr>
                    <a:xfrm>
                      <a:off x="0" y="0"/>
                      <a:ext cx="5074920" cy="2486492"/>
                    </a:xfrm>
                    <a:prstGeom prst="rect"/>
                  </pic:spPr>
                </pic:pic>
              </a:graphicData>
            </a:graphic>
          </wp:inline>
        </w:drawing>
      </w:r>
    </w:p>
    <w:p>
      <w:pPr>
        <w:spacing w:before="40" w:after="80"/>
      </w:pPr>
      <w:r>
        <w:rPr>
          <w:rFonts w:ascii="Times New Roman" w:hAnsi="Times New Roman"/>
          <w:b w:val="0"/>
          <w:i/>
          <w:color w:val="667085"/>
          <w:sz w:val="14"/>
        </w:rPr>
        <w:t xml:space="preserve">Source: </w:t>
      </w:r>
      <w:hyperlink r:id="rId25">
        <w:r>
          <w:rPr>
            <w:rFonts w:ascii="Times New Roman" w:hAnsi="Times New Roman"/>
            <w:color w:val="0563C1"/>
            <w:u w:val="single"/>
            <w:sz w:val="14"/>
          </w:rPr>
          <w:t>yfinance market data, accessed 5 Aug 2026</w:t>
        </w:r>
      </w:hyperlink>
      <w:r>
        <w:rPr>
          <w:rFonts w:ascii="Times New Roman" w:hAnsi="Times New Roman"/>
          <w:b w:val="0"/>
          <w:i/>
          <w:color w:val="667085"/>
          <w:sz w:val="14"/>
        </w:rPr>
        <w:t xml:space="preserve">; </w:t>
      </w:r>
      <w:hyperlink r:id="rId26">
        <w:r>
          <w:rPr>
            <w:rFonts w:ascii="Times New Roman" w:hAnsi="Times New Roman"/>
            <w:color w:val="0563C1"/>
            <w:u w:val="single"/>
            <w:sz w:val="14"/>
          </w:rPr>
          <w:t>Longbridge live quote, accessed 5 Aug 2026</w:t>
        </w:r>
      </w:hyperlink>
      <w:r>
        <w:rPr>
          <w:rFonts w:ascii="Times New Roman" w:hAnsi="Times New Roman"/>
          <w:b w:val="0"/>
          <w:i/>
          <w:color w:val="667085"/>
          <w:sz w:val="14"/>
        </w:rPr>
        <w:t xml:space="preserve">; </w:t>
      </w:r>
      <w:hyperlink r:id="rId27">
        <w:r>
          <w:rPr>
            <w:rFonts w:ascii="Times New Roman" w:hAnsi="Times New Roman"/>
            <w:color w:val="0563C1"/>
            <w:u w:val="single"/>
            <w:sz w:val="14"/>
          </w:rPr>
          <w:t>Nasdaq listing page</w:t>
        </w:r>
      </w:hyperlink>
    </w:p>
    <w:p>
      <w:r>
        <w:br w:type="page"/>
      </w:r>
    </w:p>
    <w:p>
      <w:pPr>
        <w:pStyle w:val="Heading1"/>
      </w:pPr>
      <w:r>
        <w:rPr>
          <w:rFonts w:ascii="Times New Roman" w:hAnsi="Times New Roman"/>
          <w:b/>
          <w:i w:val="0"/>
          <w:color w:val="005288"/>
          <w:sz w:val="28"/>
        </w:rPr>
        <w:t>9. Estimate revisions: both growth and spending reset higher</w:t>
      </w:r>
    </w:p>
    <w:p>
      <w:pPr>
        <w:spacing w:before="0" w:after="60" w:line="250" w:lineRule="auto"/>
      </w:pPr>
      <w:r>
        <w:rPr>
          <w:rFonts w:ascii="Times New Roman" w:hAnsi="Times New Roman"/>
          <w:b w:val="0"/>
          <w:i w:val="0"/>
          <w:sz w:val="18"/>
        </w:rPr>
        <w:t>We raise FY2026 revenue to $35.0B from $22.0B and adjusted EBITDA to $15.5B from $5.5B, reflecting the Q2 beat, $14.1B of contracted AI sales, and continued Starlink momentum. We also raise capex to $65B from $35B. Our model assumes H2 revenue of $22.5B, a meaningful acceleration that still sits well below management's long-duration aspirations.</w:t>
      </w:r>
    </w:p>
    <w:tbl>
      <w:tblPr>
        <w:tblStyle w:val="TableGrid"/>
        <w:tblW w:type="dxa" w:w="9360"/>
        <w:jc w:val="center"/>
        <w:tblLayout w:type="fixed"/>
        <w:tblLook w:firstColumn="1" w:firstRow="1" w:lastColumn="0" w:lastRow="0" w:noHBand="0" w:noVBand="1" w:val="04A0"/>
        <w:tblInd w:w="120" w:type="dxa"/>
      </w:tblPr>
      <w:tblGrid>
        <w:gridCol w:w="1450"/>
        <w:gridCol w:w="1050"/>
        <w:gridCol w:w="1050"/>
        <w:gridCol w:w="1050"/>
        <w:gridCol w:w="1050"/>
        <w:gridCol w:w="3710"/>
      </w:tblGrid>
      <w:tr>
        <w:trPr>
          <w:tblHeader w:val="true"/>
        </w:trPr>
        <w:tc>
          <w:tcPr>
            <w:tcW w:type="dxa" w:w="1450"/>
            <w:shd w:fill="0B2545"/>
            <w:tcMar>
              <w:top w:w="80" w:type="dxa"/>
              <w:start w:w="120" w:type="dxa"/>
              <w:bottom w:w="80" w:type="dxa"/>
              <w:end w:w="120" w:type="dxa"/>
            </w:tcMar>
            <w:vAlign w:val="center"/>
          </w:tcPr>
          <w:p>
            <w:pPr>
              <w:spacing w:after="0"/>
              <w:jc w:val="center"/>
            </w:pPr>
            <w:r>
              <w:rPr>
                <w:rFonts w:ascii="Times New Roman" w:hAnsi="Times New Roman"/>
                <w:b/>
                <w:i w:val="0"/>
                <w:color w:val="FFFFFF"/>
                <w:sz w:val="15"/>
              </w:rPr>
              <w:t>Metric</w:t>
            </w:r>
          </w:p>
        </w:tc>
        <w:tc>
          <w:tcPr>
            <w:tcW w:type="dxa" w:w="1050"/>
            <w:shd w:fill="0B2545"/>
            <w:tcMar>
              <w:top w:w="80" w:type="dxa"/>
              <w:start w:w="120" w:type="dxa"/>
              <w:bottom w:w="80" w:type="dxa"/>
              <w:end w:w="120" w:type="dxa"/>
            </w:tcMar>
            <w:vAlign w:val="center"/>
          </w:tcPr>
          <w:p>
            <w:pPr>
              <w:spacing w:after="0"/>
              <w:jc w:val="center"/>
            </w:pPr>
            <w:r>
              <w:rPr>
                <w:rFonts w:ascii="Times New Roman" w:hAnsi="Times New Roman"/>
                <w:b/>
                <w:i w:val="0"/>
                <w:color w:val="FFFFFF"/>
                <w:sz w:val="15"/>
              </w:rPr>
              <w:t>FY26 old</w:t>
            </w:r>
          </w:p>
        </w:tc>
        <w:tc>
          <w:tcPr>
            <w:tcW w:type="dxa" w:w="1050"/>
            <w:shd w:fill="0B2545"/>
            <w:tcMar>
              <w:top w:w="80" w:type="dxa"/>
              <w:start w:w="120" w:type="dxa"/>
              <w:bottom w:w="80" w:type="dxa"/>
              <w:end w:w="120" w:type="dxa"/>
            </w:tcMar>
            <w:vAlign w:val="center"/>
          </w:tcPr>
          <w:p>
            <w:pPr>
              <w:spacing w:after="0"/>
              <w:jc w:val="center"/>
            </w:pPr>
            <w:r>
              <w:rPr>
                <w:rFonts w:ascii="Times New Roman" w:hAnsi="Times New Roman"/>
                <w:b/>
                <w:i w:val="0"/>
                <w:color w:val="FFFFFF"/>
                <w:sz w:val="15"/>
              </w:rPr>
              <w:t>FY26 new</w:t>
            </w:r>
          </w:p>
        </w:tc>
        <w:tc>
          <w:tcPr>
            <w:tcW w:type="dxa" w:w="1050"/>
            <w:shd w:fill="0B2545"/>
            <w:tcMar>
              <w:top w:w="80" w:type="dxa"/>
              <w:start w:w="120" w:type="dxa"/>
              <w:bottom w:w="80" w:type="dxa"/>
              <w:end w:w="120" w:type="dxa"/>
            </w:tcMar>
            <w:vAlign w:val="center"/>
          </w:tcPr>
          <w:p>
            <w:pPr>
              <w:spacing w:after="0"/>
              <w:jc w:val="center"/>
            </w:pPr>
            <w:r>
              <w:rPr>
                <w:rFonts w:ascii="Times New Roman" w:hAnsi="Times New Roman"/>
                <w:b/>
                <w:i w:val="0"/>
                <w:color w:val="FFFFFF"/>
                <w:sz w:val="15"/>
              </w:rPr>
              <w:t>FY27 old</w:t>
            </w:r>
          </w:p>
        </w:tc>
        <w:tc>
          <w:tcPr>
            <w:tcW w:type="dxa" w:w="1050"/>
            <w:shd w:fill="0B2545"/>
            <w:tcMar>
              <w:top w:w="80" w:type="dxa"/>
              <w:start w:w="120" w:type="dxa"/>
              <w:bottom w:w="80" w:type="dxa"/>
              <w:end w:w="120" w:type="dxa"/>
            </w:tcMar>
            <w:vAlign w:val="center"/>
          </w:tcPr>
          <w:p>
            <w:pPr>
              <w:spacing w:after="0"/>
              <w:jc w:val="center"/>
            </w:pPr>
            <w:r>
              <w:rPr>
                <w:rFonts w:ascii="Times New Roman" w:hAnsi="Times New Roman"/>
                <w:b/>
                <w:i w:val="0"/>
                <w:color w:val="FFFFFF"/>
                <w:sz w:val="15"/>
              </w:rPr>
              <w:t>FY27 new</w:t>
            </w:r>
          </w:p>
        </w:tc>
        <w:tc>
          <w:tcPr>
            <w:tcW w:type="dxa" w:w="3710"/>
            <w:shd w:fill="0B2545"/>
            <w:tcMar>
              <w:top w:w="80" w:type="dxa"/>
              <w:start w:w="120" w:type="dxa"/>
              <w:bottom w:w="80" w:type="dxa"/>
              <w:end w:w="120" w:type="dxa"/>
            </w:tcMar>
            <w:vAlign w:val="center"/>
          </w:tcPr>
          <w:p>
            <w:pPr>
              <w:spacing w:after="0"/>
              <w:jc w:val="center"/>
            </w:pPr>
            <w:r>
              <w:rPr>
                <w:rFonts w:ascii="Times New Roman" w:hAnsi="Times New Roman"/>
                <w:b/>
                <w:i w:val="0"/>
                <w:color w:val="FFFFFF"/>
                <w:sz w:val="15"/>
              </w:rPr>
              <w:t>Post-Q2 rationale</w:t>
            </w:r>
          </w:p>
        </w:tc>
      </w:tr>
      <w:tr>
        <w:tc>
          <w:tcPr>
            <w:tcW w:type="dxa" w:w="1450"/>
            <w:tcMar>
              <w:top w:w="80" w:type="dxa"/>
              <w:start w:w="120" w:type="dxa"/>
              <w:bottom w:w="80" w:type="dxa"/>
              <w:end w:w="120" w:type="dxa"/>
            </w:tcMar>
            <w:vAlign w:val="center"/>
          </w:tcPr>
          <w:p>
            <w:pPr>
              <w:spacing w:after="0" w:line="240" w:lineRule="auto"/>
              <w:jc w:val="left"/>
            </w:pPr>
            <w:r>
              <w:rPr>
                <w:rFonts w:ascii="Times New Roman" w:hAnsi="Times New Roman"/>
                <w:b w:val="0"/>
                <w:i w:val="0"/>
                <w:sz w:val="15"/>
              </w:rPr>
              <w:t>Revenue</w:t>
            </w:r>
          </w:p>
        </w:tc>
        <w:tc>
          <w:tcPr>
            <w:tcW w:type="dxa" w:w="105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$22.0B</w:t>
            </w:r>
          </w:p>
        </w:tc>
        <w:tc>
          <w:tcPr>
            <w:tcW w:type="dxa" w:w="105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$35.0B</w:t>
            </w:r>
          </w:p>
        </w:tc>
        <w:tc>
          <w:tcPr>
            <w:tcW w:type="dxa" w:w="105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$28.0B</w:t>
            </w:r>
          </w:p>
        </w:tc>
        <w:tc>
          <w:tcPr>
            <w:tcW w:type="dxa" w:w="105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$58.0B</w:t>
            </w:r>
          </w:p>
        </w:tc>
        <w:tc>
          <w:tcPr>
            <w:tcW w:type="dxa" w:w="371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AI contracts + Starlink scale</w:t>
            </w:r>
          </w:p>
        </w:tc>
      </w:tr>
      <w:tr>
        <w:tc>
          <w:tcPr>
            <w:tcW w:type="dxa" w:w="1450"/>
            <w:shd w:fill="F2F4F7"/>
            <w:tcMar>
              <w:top w:w="80" w:type="dxa"/>
              <w:start w:w="120" w:type="dxa"/>
              <w:bottom w:w="80" w:type="dxa"/>
              <w:end w:w="120" w:type="dxa"/>
            </w:tcMar>
            <w:vAlign w:val="center"/>
          </w:tcPr>
          <w:p>
            <w:pPr>
              <w:spacing w:after="0" w:line="240" w:lineRule="auto"/>
              <w:jc w:val="left"/>
            </w:pPr>
            <w:r>
              <w:rPr>
                <w:rFonts w:ascii="Times New Roman" w:hAnsi="Times New Roman"/>
                <w:b w:val="0"/>
                <w:i w:val="0"/>
                <w:sz w:val="15"/>
              </w:rPr>
              <w:t>Adj. EBITDA</w:t>
            </w:r>
          </w:p>
        </w:tc>
        <w:tc>
          <w:tcPr>
            <w:tcW w:type="dxa" w:w="105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$5.5B</w:t>
            </w:r>
          </w:p>
        </w:tc>
        <w:tc>
          <w:tcPr>
            <w:tcW w:type="dxa" w:w="105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$15.5B</w:t>
            </w:r>
          </w:p>
        </w:tc>
        <w:tc>
          <w:tcPr>
            <w:tcW w:type="dxa" w:w="105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$9.0B</w:t>
            </w:r>
          </w:p>
        </w:tc>
        <w:tc>
          <w:tcPr>
            <w:tcW w:type="dxa" w:w="105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$26.0B</w:t>
            </w:r>
          </w:p>
        </w:tc>
        <w:tc>
          <w:tcPr>
            <w:tcW w:type="dxa" w:w="371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AI turns positive; mix leverage</w:t>
            </w:r>
          </w:p>
        </w:tc>
      </w:tr>
      <w:tr>
        <w:tc>
          <w:tcPr>
            <w:tcW w:type="dxa" w:w="1450"/>
            <w:tcMar>
              <w:top w:w="80" w:type="dxa"/>
              <w:start w:w="120" w:type="dxa"/>
              <w:bottom w:w="80" w:type="dxa"/>
              <w:end w:w="120" w:type="dxa"/>
            </w:tcMar>
            <w:vAlign w:val="center"/>
          </w:tcPr>
          <w:p>
            <w:pPr>
              <w:spacing w:after="0" w:line="240" w:lineRule="auto"/>
              <w:jc w:val="left"/>
            </w:pPr>
            <w:r>
              <w:rPr>
                <w:rFonts w:ascii="Times New Roman" w:hAnsi="Times New Roman"/>
                <w:b w:val="0"/>
                <w:i w:val="0"/>
                <w:sz w:val="15"/>
              </w:rPr>
              <w:t>Operating income</w:t>
            </w:r>
          </w:p>
        </w:tc>
        <w:tc>
          <w:tcPr>
            <w:tcW w:type="dxa" w:w="105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$(6.0)B</w:t>
            </w:r>
          </w:p>
        </w:tc>
        <w:tc>
          <w:tcPr>
            <w:tcW w:type="dxa" w:w="105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$(3.0)B</w:t>
            </w:r>
          </w:p>
        </w:tc>
        <w:tc>
          <w:tcPr>
            <w:tcW w:type="dxa" w:w="105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$(3.0)B</w:t>
            </w:r>
          </w:p>
        </w:tc>
        <w:tc>
          <w:tcPr>
            <w:tcW w:type="dxa" w:w="105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$4.0B</w:t>
            </w:r>
          </w:p>
        </w:tc>
        <w:tc>
          <w:tcPr>
            <w:tcW w:type="dxa" w:w="371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Q2 near breakeven; D&amp;A remains high</w:t>
            </w:r>
          </w:p>
        </w:tc>
      </w:tr>
      <w:tr>
        <w:tc>
          <w:tcPr>
            <w:tcW w:type="dxa" w:w="1450"/>
            <w:shd w:fill="F2F4F7"/>
            <w:tcMar>
              <w:top w:w="80" w:type="dxa"/>
              <w:start w:w="120" w:type="dxa"/>
              <w:bottom w:w="80" w:type="dxa"/>
              <w:end w:w="120" w:type="dxa"/>
            </w:tcMar>
            <w:vAlign w:val="center"/>
          </w:tcPr>
          <w:p>
            <w:pPr>
              <w:spacing w:after="0" w:line="240" w:lineRule="auto"/>
              <w:jc w:val="left"/>
            </w:pPr>
            <w:r>
              <w:rPr>
                <w:rFonts w:ascii="Times New Roman" w:hAnsi="Times New Roman"/>
                <w:b w:val="0"/>
                <w:i w:val="0"/>
                <w:sz w:val="15"/>
              </w:rPr>
              <w:t>Net income</w:t>
            </w:r>
          </w:p>
        </w:tc>
        <w:tc>
          <w:tcPr>
            <w:tcW w:type="dxa" w:w="105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$(10.0)B</w:t>
            </w:r>
          </w:p>
        </w:tc>
        <w:tc>
          <w:tcPr>
            <w:tcW w:type="dxa" w:w="105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$(6.0)B</w:t>
            </w:r>
          </w:p>
        </w:tc>
        <w:tc>
          <w:tcPr>
            <w:tcW w:type="dxa" w:w="105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$(5.0)B</w:t>
            </w:r>
          </w:p>
        </w:tc>
        <w:tc>
          <w:tcPr>
            <w:tcW w:type="dxa" w:w="105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$0.0B</w:t>
            </w:r>
          </w:p>
        </w:tc>
        <w:tc>
          <w:tcPr>
            <w:tcW w:type="dxa" w:w="371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Operating improvement; higher interest</w:t>
            </w:r>
          </w:p>
        </w:tc>
      </w:tr>
      <w:tr>
        <w:tc>
          <w:tcPr>
            <w:tcW w:type="dxa" w:w="1450"/>
            <w:tcMar>
              <w:top w:w="80" w:type="dxa"/>
              <w:start w:w="120" w:type="dxa"/>
              <w:bottom w:w="80" w:type="dxa"/>
              <w:end w:w="120" w:type="dxa"/>
            </w:tcMar>
            <w:vAlign w:val="center"/>
          </w:tcPr>
          <w:p>
            <w:pPr>
              <w:spacing w:after="0" w:line="240" w:lineRule="auto"/>
              <w:jc w:val="left"/>
            </w:pPr>
            <w:r>
              <w:rPr>
                <w:rFonts w:ascii="Times New Roman" w:hAnsi="Times New Roman"/>
                <w:b/>
                <w:i w:val="0"/>
                <w:sz w:val="15"/>
              </w:rPr>
              <w:t>Capital expenditures</w:t>
            </w:r>
          </w:p>
        </w:tc>
        <w:tc>
          <w:tcPr>
            <w:tcW w:type="dxa" w:w="105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$35.0B</w:t>
            </w:r>
          </w:p>
        </w:tc>
        <w:tc>
          <w:tcPr>
            <w:tcW w:type="dxa" w:w="105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$65.0B</w:t>
            </w:r>
          </w:p>
        </w:tc>
        <w:tc>
          <w:tcPr>
            <w:tcW w:type="dxa" w:w="105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$30.0B</w:t>
            </w:r>
          </w:p>
        </w:tc>
        <w:tc>
          <w:tcPr>
            <w:tcW w:type="dxa" w:w="105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$75.0B</w:t>
            </w:r>
          </w:p>
        </w:tc>
        <w:tc>
          <w:tcPr>
            <w:tcW w:type="dxa" w:w="371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AI compute and power build-out</w:t>
            </w:r>
          </w:p>
        </w:tc>
      </w:tr>
    </w:tbl>
    <w:p>
      <w:pPr>
        <w:spacing w:before="40" w:after="80"/>
      </w:pPr>
      <w:r>
        <w:rPr>
          <w:rFonts w:ascii="Times New Roman" w:hAnsi="Times New Roman"/>
          <w:b w:val="0"/>
          <w:i/>
          <w:color w:val="667085"/>
          <w:sz w:val="14"/>
        </w:rPr>
        <w:t xml:space="preserve">Source: </w:t>
      </w:r>
      <w:hyperlink r:id="rId11">
        <w:r>
          <w:rPr>
            <w:rFonts w:ascii="Times New Roman" w:hAnsi="Times New Roman"/>
            <w:color w:val="0563C1"/>
            <w:u w:val="single"/>
            <w:sz w:val="14"/>
          </w:rPr>
          <w:t>Q2 earnings release</w:t>
        </w:r>
      </w:hyperlink>
      <w:r>
        <w:rPr>
          <w:rFonts w:ascii="Times New Roman" w:hAnsi="Times New Roman"/>
          <w:b w:val="0"/>
          <w:i/>
          <w:color w:val="667085"/>
          <w:sz w:val="14"/>
        </w:rPr>
        <w:t xml:space="preserve">; </w:t>
      </w:r>
      <w:hyperlink r:id="rId12">
        <w:r>
          <w:rPr>
            <w:rFonts w:ascii="Times New Roman" w:hAnsi="Times New Roman"/>
            <w:color w:val="0563C1"/>
            <w:u w:val="single"/>
            <w:sz w:val="14"/>
          </w:rPr>
          <w:t>Form 10-Q</w:t>
        </w:r>
      </w:hyperlink>
      <w:r>
        <w:rPr>
          <w:rFonts w:ascii="Times New Roman" w:hAnsi="Times New Roman"/>
          <w:b w:val="0"/>
          <w:i/>
          <w:color w:val="667085"/>
          <w:sz w:val="14"/>
        </w:rPr>
        <w:t xml:space="preserve">; </w:t>
      </w:r>
      <w:hyperlink r:id="rId28">
        <w:r>
          <w:rPr>
            <w:rFonts w:ascii="Times New Roman" w:hAnsi="Times New Roman"/>
            <w:color w:val="0563C1"/>
            <w:u w:val="single"/>
            <w:sz w:val="14"/>
          </w:rPr>
          <w:t>S-1 baseline</w:t>
        </w:r>
      </w:hyperlink>
      <w:r>
        <w:rPr>
          <w:rFonts w:ascii="Times New Roman" w:hAnsi="Times New Roman"/>
          <w:b w:val="0"/>
          <w:i/>
          <w:color w:val="667085"/>
          <w:sz w:val="14"/>
        </w:rPr>
        <w:t>. Old estimates from SPCX Q1 2026 earnings update dated 14 Jun 2026; new estimates are independent analyst estimates dated 5 Aug 2026</w:t>
      </w:r>
    </w:p>
    <w:p>
      <w:pPr>
        <w:spacing w:before="0" w:after="60" w:line="250" w:lineRule="auto"/>
      </w:pPr>
      <w:r>
        <w:rPr>
          <w:rFonts w:ascii="Times New Roman" w:hAnsi="Times New Roman"/>
          <w:b w:val="0"/>
          <w:i w:val="0"/>
          <w:sz w:val="18"/>
        </w:rPr>
        <w:t>FY2027 estimates assume Starlink subscribers and enterprise mix continue expanding, AI contracted sales convert into revenue, and depreciation catches up with the 2026 capex surge. We forecast GAAP operating profitability in 2027 but only breakeven net income because interest and other below-the-line costs remain material. The model is highly sensitive to AI utilization and capex timing; it should be interpreted as a scenario, not company guidance.</w:t>
      </w:r>
    </w:p>
    <w:p>
      <w:pPr>
        <w:keepNext/>
        <w:spacing w:before="60" w:after="40" w:line="250" w:lineRule="auto"/>
        <w:jc w:val="center"/>
      </w:pPr>
      <w:r>
        <w:rPr>
          <w:rFonts w:ascii="Times New Roman" w:hAnsi="Times New Roman"/>
          <w:b/>
          <w:i w:val="0"/>
          <w:color w:val="0B2545"/>
          <w:sz w:val="17"/>
        </w:rPr>
        <w:t>Figure 9 - Old vs. post-Q2 financial estimates</w:t>
      </w:r>
    </w:p>
    <w:p>
      <w:pPr>
        <w:spacing w:after="0"/>
        <w:jc w:val="center"/>
      </w:pPr>
      <w:r>
        <w:drawing>
          <wp:inline xmlns:a="http://schemas.openxmlformats.org/drawingml/2006/main" xmlns:pic="http://schemas.openxmlformats.org/drawingml/2006/picture">
            <wp:extent cx="5074920" cy="2803220"/>
            <wp:docPr id="9" name="Picture 9" descr="Horizontal bars compare prior and post-Q2 estimates for revenue, adjusted EBITDA, and capex in 2026 and 2027."/>
            <wp:cNvGraphicFramePr>
              <a:graphicFrameLocks noChangeAspect="1"/>
            </wp:cNvGraphicFramePr>
            <a:graphic>
              <a:graphicData uri="http://schemas.openxmlformats.org/drawingml/2006/picture">
                <pic:pic>
                  <pic:nvPicPr>
                    <pic:cNvPr id="0" name="spcx_q2_chart9_estimate_revisions.png"/>
                    <pic:cNvPicPr/>
                  </pic:nvPicPr>
                  <pic:blipFill>
                    <a:blip r:embed="rId29"/>
                    <a:stretch>
                      <a:fillRect/>
                    </a:stretch>
                  </pic:blipFill>
                  <pic:spPr>
                    <a:xfrm>
                      <a:off x="0" y="0"/>
                      <a:ext cx="5074920" cy="2803220"/>
                    </a:xfrm>
                    <a:prstGeom prst="rect"/>
                  </pic:spPr>
                </pic:pic>
              </a:graphicData>
            </a:graphic>
          </wp:inline>
        </w:drawing>
      </w:r>
    </w:p>
    <w:p>
      <w:pPr>
        <w:spacing w:before="40" w:after="80"/>
      </w:pPr>
      <w:r>
        <w:rPr>
          <w:rFonts w:ascii="Times New Roman" w:hAnsi="Times New Roman"/>
          <w:b w:val="0"/>
          <w:i/>
          <w:color w:val="667085"/>
          <w:sz w:val="14"/>
        </w:rPr>
        <w:t xml:space="preserve">Source: </w:t>
      </w:r>
      <w:hyperlink r:id="rId28">
        <w:r>
          <w:rPr>
            <w:rFonts w:ascii="Times New Roman" w:hAnsi="Times New Roman"/>
            <w:color w:val="0563C1"/>
            <w:u w:val="single"/>
            <w:sz w:val="14"/>
          </w:rPr>
          <w:t>SPCX Q1 2026 earnings update (14 Jun 2026), prior estimates</w:t>
        </w:r>
      </w:hyperlink>
      <w:r>
        <w:rPr>
          <w:rFonts w:ascii="Times New Roman" w:hAnsi="Times New Roman"/>
          <w:b w:val="0"/>
          <w:i/>
          <w:color w:val="667085"/>
          <w:sz w:val="14"/>
        </w:rPr>
        <w:t xml:space="preserve">; </w:t>
      </w:r>
      <w:hyperlink r:id="rId11">
        <w:r>
          <w:rPr>
            <w:rFonts w:ascii="Times New Roman" w:hAnsi="Times New Roman"/>
            <w:color w:val="0563C1"/>
            <w:u w:val="single"/>
            <w:sz w:val="14"/>
          </w:rPr>
          <w:t>Q2 earnings release and 10-Q (4 Aug 2026)</w:t>
        </w:r>
      </w:hyperlink>
    </w:p>
    <w:p>
      <w:r>
        <w:br w:type="page"/>
      </w:r>
    </w:p>
    <w:p>
      <w:pPr>
        <w:pStyle w:val="Heading1"/>
      </w:pPr>
      <w:r>
        <w:rPr>
          <w:rFonts w:ascii="Times New Roman" w:hAnsi="Times New Roman"/>
          <w:b/>
          <w:i w:val="0"/>
          <w:color w:val="005288"/>
          <w:sz w:val="28"/>
        </w:rPr>
        <w:t>10. Valuation and price target</w:t>
      </w:r>
    </w:p>
    <w:p>
      <w:pPr>
        <w:spacing w:before="0" w:after="60" w:line="250" w:lineRule="auto"/>
      </w:pPr>
      <w:r>
        <w:rPr>
          <w:rFonts w:ascii="Times New Roman" w:hAnsi="Times New Roman"/>
          <w:b w:val="0"/>
          <w:i w:val="0"/>
          <w:sz w:val="18"/>
        </w:rPr>
        <w:t>We maintain a $150 12-month price target and upgrade SPCX to Outperform after the post-results decline. At the reference price, SpaceX trades at approximately 43x our FY2026 revenue estimate and 97x FY2026 adjusted EBITDA. Traditional near-term multiples are extreme and are distorted by heavy depreciation, so we use a scenario-weighted sum-of-the-parts framework.</w:t>
      </w:r>
    </w:p>
    <w:p>
      <w:pPr>
        <w:spacing w:before="0" w:after="60" w:line="250" w:lineRule="auto"/>
      </w:pPr>
      <w:r>
        <w:rPr>
          <w:rFonts w:ascii="Times New Roman" w:hAnsi="Times New Roman"/>
          <w:b w:val="0"/>
          <w:i w:val="0"/>
          <w:sz w:val="18"/>
        </w:rPr>
        <w:t>Our operating SOTP values Connectivity at roughly $420B, based on 30x FY2027 adjusted EBITDA of approximately $14B; Space at $140B, including an explicit $100B Starship option value; and AI at approximately $725B, or 25x FY2027 revenue of about $29B. Adding roughly $61B of net cash yields about $1.35T, or $103 per share, before platform value. We apply a 45% strategic premium for vertical integration, cross-segment distribution, and capital-market access, producing a base value near $150 per share.</w:t>
      </w:r>
    </w:p>
    <w:p>
      <w:pPr>
        <w:spacing w:before="0" w:after="60" w:line="250" w:lineRule="auto"/>
      </w:pPr>
      <w:r>
        <w:rPr>
          <w:rFonts w:ascii="Times New Roman" w:hAnsi="Times New Roman"/>
          <w:b w:val="0"/>
          <w:i w:val="0"/>
          <w:sz w:val="18"/>
        </w:rPr>
        <w:t>The bear case of $80 assumes slower AI utilization, capex remains elevated, and the platform premium disappears. The bull case of $225 assumes sustained Starlink margins, fast conversion of AI contracted sales, and successful Starship reuse milestones. The wide range is unavoidable: most value rests in duration-sensitive optionality rather than current free cash flow.</w:t>
      </w:r>
    </w:p>
    <w:p>
      <w:pPr>
        <w:keepNext/>
        <w:spacing w:before="60" w:after="40" w:line="250" w:lineRule="auto"/>
        <w:jc w:val="center"/>
      </w:pPr>
      <w:r>
        <w:rPr>
          <w:rFonts w:ascii="Times New Roman" w:hAnsi="Times New Roman"/>
          <w:b/>
          <w:i w:val="0"/>
          <w:color w:val="0B2545"/>
          <w:sz w:val="17"/>
        </w:rPr>
        <w:t>Figure 10 - Twelve-month valuation scenarios</w:t>
      </w:r>
    </w:p>
    <w:p>
      <w:pPr>
        <w:spacing w:after="0"/>
        <w:jc w:val="center"/>
      </w:pPr>
      <w:r>
        <w:drawing>
          <wp:inline xmlns:a="http://schemas.openxmlformats.org/drawingml/2006/main" xmlns:pic="http://schemas.openxmlformats.org/drawingml/2006/picture">
            <wp:extent cx="4800600" cy="2515138"/>
            <wp:docPr id="10" name="Picture 10" descr="Bar chart showing bear, base, and bull per-share valuation scenarios with the reference price marked."/>
            <wp:cNvGraphicFramePr>
              <a:graphicFrameLocks noChangeAspect="1"/>
            </wp:cNvGraphicFramePr>
            <a:graphic>
              <a:graphicData uri="http://schemas.openxmlformats.org/drawingml/2006/picture">
                <pic:pic>
                  <pic:nvPicPr>
                    <pic:cNvPr id="0" name="spcx_q2_chart11_valuation_scenarios.png"/>
                    <pic:cNvPicPr/>
                  </pic:nvPicPr>
                  <pic:blipFill>
                    <a:blip r:embed="rId30"/>
                    <a:stretch>
                      <a:fillRect/>
                    </a:stretch>
                  </pic:blipFill>
                  <pic:spPr>
                    <a:xfrm>
                      <a:off x="0" y="0"/>
                      <a:ext cx="4800600" cy="2515138"/>
                    </a:xfrm>
                    <a:prstGeom prst="rect"/>
                  </pic:spPr>
                </pic:pic>
              </a:graphicData>
            </a:graphic>
          </wp:inline>
        </w:drawing>
      </w:r>
    </w:p>
    <w:p>
      <w:pPr>
        <w:spacing w:before="40" w:after="80"/>
      </w:pPr>
      <w:r>
        <w:rPr>
          <w:rFonts w:ascii="Times New Roman" w:hAnsi="Times New Roman"/>
          <w:b w:val="0"/>
          <w:i/>
          <w:color w:val="667085"/>
          <w:sz w:val="14"/>
        </w:rPr>
        <w:t xml:space="preserve">Source: </w:t>
      </w:r>
      <w:hyperlink r:id="rId12">
        <w:r>
          <w:rPr>
            <w:rFonts w:ascii="Times New Roman" w:hAnsi="Times New Roman"/>
            <w:color w:val="0563C1"/>
            <w:u w:val="single"/>
            <w:sz w:val="14"/>
          </w:rPr>
          <w:t>Independent analyst SOTP dated 5 Aug 2026</w:t>
        </w:r>
      </w:hyperlink>
      <w:r>
        <w:rPr>
          <w:rFonts w:ascii="Times New Roman" w:hAnsi="Times New Roman"/>
          <w:b w:val="0"/>
          <w:i/>
          <w:color w:val="667085"/>
          <w:sz w:val="14"/>
        </w:rPr>
        <w:t xml:space="preserve">; </w:t>
      </w:r>
      <w:hyperlink r:id="rId11">
        <w:r>
          <w:rPr>
            <w:rFonts w:ascii="Times New Roman" w:hAnsi="Times New Roman"/>
            <w:color w:val="0563C1"/>
            <w:u w:val="single"/>
            <w:sz w:val="14"/>
          </w:rPr>
          <w:t>Q2 earnings release (4 Aug 2026)</w:t>
        </w:r>
      </w:hyperlink>
      <w:r>
        <w:rPr>
          <w:rFonts w:ascii="Times New Roman" w:hAnsi="Times New Roman"/>
          <w:b w:val="0"/>
          <w:i/>
          <w:color w:val="667085"/>
          <w:sz w:val="14"/>
        </w:rPr>
        <w:t xml:space="preserve">; </w:t>
      </w:r>
      <w:hyperlink r:id="rId25">
        <w:r>
          <w:rPr>
            <w:rFonts w:ascii="Times New Roman" w:hAnsi="Times New Roman"/>
            <w:color w:val="0563C1"/>
            <w:u w:val="single"/>
            <w:sz w:val="14"/>
          </w:rPr>
          <w:t>Dynamic market data</w:t>
        </w:r>
      </w:hyperlink>
    </w:p>
    <w:p>
      <w:pPr>
        <w:spacing w:before="0" w:after="80" w:line="250" w:lineRule="auto"/>
      </w:pPr>
      <w:r>
        <w:rPr>
          <w:rFonts w:ascii="Times New Roman" w:hAnsi="Times New Roman"/>
          <w:b/>
          <w:i w:val="0"/>
          <w:color w:val="005288"/>
          <w:sz w:val="18"/>
        </w:rPr>
        <w:t>Rating / target: Outperform / $150 (prior: Market Perform / $150). Reference price: $115.10. Implied upside: 30.3%.</w:t>
      </w:r>
    </w:p>
    <w:p>
      <w:r>
        <w:br w:type="page"/>
      </w:r>
    </w:p>
    <w:p>
      <w:pPr>
        <w:pStyle w:val="Heading1"/>
      </w:pPr>
      <w:r>
        <w:rPr>
          <w:rFonts w:ascii="Times New Roman" w:hAnsi="Times New Roman"/>
          <w:b/>
          <w:i w:val="0"/>
          <w:color w:val="005288"/>
          <w:sz w:val="28"/>
        </w:rPr>
        <w:t>Sources and references</w:t>
      </w:r>
    </w:p>
    <w:p>
      <w:pPr>
        <w:spacing w:before="0" w:after="80" w:line="250" w:lineRule="auto"/>
      </w:pPr>
      <w:r>
        <w:rPr>
          <w:rFonts w:ascii="Times New Roman" w:hAnsi="Times New Roman"/>
          <w:b/>
          <w:i w:val="0"/>
          <w:color w:val="0B2545"/>
          <w:sz w:val="21"/>
        </w:rPr>
        <w:t>Primary earnings materials</w:t>
      </w:r>
    </w:p>
    <w:p>
      <w:pPr>
        <w:pStyle w:val="ListBullet"/>
        <w:spacing w:after="40"/>
      </w:pPr>
      <w:hyperlink r:id="rId11">
        <w:r>
          <w:rPr>
            <w:rFonts w:ascii="Times New Roman" w:hAnsi="Times New Roman"/>
            <w:color w:val="0563C1"/>
            <w:u w:val="single"/>
            <w:sz w:val="17"/>
          </w:rPr>
          <w:t>SpaceX Q2 2026 earnings release (4 August 2026)</w:t>
        </w:r>
      </w:hyperlink>
    </w:p>
    <w:p>
      <w:pPr>
        <w:pStyle w:val="ListBullet"/>
        <w:spacing w:after="40"/>
      </w:pPr>
      <w:hyperlink r:id="rId12">
        <w:r>
          <w:rPr>
            <w:rFonts w:ascii="Times New Roman" w:hAnsi="Times New Roman"/>
            <w:color w:val="0563C1"/>
            <w:u w:val="single"/>
            <w:sz w:val="17"/>
          </w:rPr>
          <w:t>Form 10-Q for quarter ended 30 June 2026 (filed 4 August 2026)</w:t>
        </w:r>
      </w:hyperlink>
    </w:p>
    <w:p>
      <w:pPr>
        <w:pStyle w:val="ListBullet"/>
        <w:spacing w:after="40"/>
      </w:pPr>
      <w:hyperlink r:id="rId31">
        <w:r>
          <w:rPr>
            <w:rFonts w:ascii="Times New Roman" w:hAnsi="Times New Roman"/>
            <w:color w:val="0563C1"/>
            <w:u w:val="single"/>
            <w:sz w:val="17"/>
          </w:rPr>
          <w:t>Form 8-K and Exhibit 99.1 filing index (filed 4 August 2026)</w:t>
        </w:r>
      </w:hyperlink>
    </w:p>
    <w:p>
      <w:pPr>
        <w:pStyle w:val="ListBullet"/>
        <w:spacing w:after="40"/>
      </w:pPr>
      <w:hyperlink r:id="rId22">
        <w:r>
          <w:rPr>
            <w:rFonts w:ascii="Times New Roman" w:hAnsi="Times New Roman"/>
            <w:color w:val="0563C1"/>
            <w:u w:val="single"/>
            <w:sz w:val="17"/>
          </w:rPr>
          <w:t>Official earnings webcast and replay notice (call 4 August 2026)</w:t>
        </w:r>
      </w:hyperlink>
    </w:p>
    <w:p>
      <w:pPr>
        <w:pStyle w:val="ListBullet"/>
        <w:spacing w:after="40"/>
      </w:pPr>
      <w:hyperlink r:id="rId28">
        <w:r>
          <w:rPr>
            <w:rFonts w:ascii="Times New Roman" w:hAnsi="Times New Roman"/>
            <w:color w:val="0563C1"/>
            <w:u w:val="single"/>
            <w:sz w:val="17"/>
          </w:rPr>
          <w:t>Form S-1 registration statement (filed 20 May 2026; prior-estimate baseline)</w:t>
        </w:r>
      </w:hyperlink>
    </w:p>
    <w:p>
      <w:pPr>
        <w:spacing w:before="100" w:after="80" w:line="250" w:lineRule="auto"/>
      </w:pPr>
      <w:r>
        <w:rPr>
          <w:rFonts w:ascii="Times New Roman" w:hAnsi="Times New Roman"/>
          <w:b/>
          <w:i w:val="0"/>
          <w:color w:val="0B2545"/>
          <w:sz w:val="21"/>
        </w:rPr>
        <w:t>Consensus, call verification, and market data</w:t>
      </w:r>
    </w:p>
    <w:p>
      <w:pPr>
        <w:pStyle w:val="ListBullet"/>
        <w:spacing w:after="40"/>
      </w:pPr>
      <w:hyperlink r:id="rId13">
        <w:r>
          <w:rPr>
            <w:rFonts w:ascii="Times New Roman" w:hAnsi="Times New Roman"/>
            <w:color w:val="0563C1"/>
            <w:u w:val="single"/>
            <w:sz w:val="17"/>
          </w:rPr>
          <w:t>Axios / S&amp;P Visible Alpha Q2 results and call coverage (4 August 2026)</w:t>
        </w:r>
      </w:hyperlink>
    </w:p>
    <w:p>
      <w:pPr>
        <w:pStyle w:val="ListBullet"/>
        <w:spacing w:after="40"/>
      </w:pPr>
      <w:hyperlink r:id="rId14">
        <w:r>
          <w:rPr>
            <w:rFonts w:ascii="Times New Roman" w:hAnsi="Times New Roman"/>
            <w:color w:val="0563C1"/>
            <w:u w:val="single"/>
            <w:sz w:val="17"/>
          </w:rPr>
          <w:t>Kiplinger pre-earnings revenue and EPS consensus (31 July 2026)</w:t>
        </w:r>
      </w:hyperlink>
    </w:p>
    <w:p>
      <w:pPr>
        <w:pStyle w:val="ListBullet"/>
        <w:spacing w:after="40"/>
      </w:pPr>
      <w:hyperlink r:id="rId23">
        <w:r>
          <w:rPr>
            <w:rFonts w:ascii="Times New Roman" w:hAnsi="Times New Roman"/>
            <w:color w:val="0563C1"/>
            <w:u w:val="single"/>
            <w:sz w:val="17"/>
          </w:rPr>
          <w:t>Associated Press earnings-call coverage (4 August 2026)</w:t>
        </w:r>
      </w:hyperlink>
    </w:p>
    <w:p>
      <w:pPr>
        <w:pStyle w:val="ListBullet"/>
        <w:spacing w:after="40"/>
      </w:pPr>
      <w:hyperlink r:id="rId25">
        <w:r>
          <w:rPr>
            <w:rFonts w:ascii="Times New Roman" w:hAnsi="Times New Roman"/>
            <w:color w:val="0563C1"/>
            <w:u w:val="single"/>
            <w:sz w:val="17"/>
          </w:rPr>
          <w:t>Yahoo Finance / yfinance dynamic market data (accessed 5 August 2026)</w:t>
        </w:r>
      </w:hyperlink>
    </w:p>
    <w:p>
      <w:pPr>
        <w:pStyle w:val="ListBullet"/>
        <w:spacing w:after="40"/>
      </w:pPr>
      <w:hyperlink r:id="rId26">
        <w:r>
          <w:rPr>
            <w:rFonts w:ascii="Times New Roman" w:hAnsi="Times New Roman"/>
            <w:color w:val="0563C1"/>
            <w:u w:val="single"/>
            <w:sz w:val="17"/>
          </w:rPr>
          <w:t>Longbridge live quote and historical market data (accessed 5 August 2026)</w:t>
        </w:r>
      </w:hyperlink>
    </w:p>
    <w:p>
      <w:pPr>
        <w:pStyle w:val="ListBullet"/>
        <w:spacing w:after="40"/>
      </w:pPr>
      <w:hyperlink r:id="rId27">
        <w:r>
          <w:rPr>
            <w:rFonts w:ascii="Times New Roman" w:hAnsi="Times New Roman"/>
            <w:color w:val="0563C1"/>
            <w:u w:val="single"/>
            <w:sz w:val="17"/>
          </w:rPr>
          <w:t>Nasdaq SPCX listing page</w:t>
        </w:r>
      </w:hyperlink>
    </w:p>
    <w:p>
      <w:pPr>
        <w:spacing w:before="120" w:after="80" w:line="250" w:lineRule="auto"/>
      </w:pPr>
      <w:r>
        <w:rPr>
          <w:rFonts w:ascii="Times New Roman" w:hAnsi="Times New Roman"/>
          <w:b/>
          <w:i w:val="0"/>
          <w:color w:val="0B2545"/>
          <w:sz w:val="21"/>
        </w:rPr>
        <w:t>Methodology notes</w:t>
      </w:r>
    </w:p>
    <w:p>
      <w:pPr>
        <w:spacing w:before="0" w:after="60" w:line="250" w:lineRule="auto"/>
      </w:pPr>
      <w:r>
        <w:rPr>
          <w:rFonts w:ascii="Times New Roman" w:hAnsi="Times New Roman"/>
          <w:b w:val="0"/>
          <w:i w:val="0"/>
          <w:sz w:val="17"/>
        </w:rPr>
        <w:t>Beat/miss uses pre-results public consensus. Free cash flow is operating cash flow less capital expenditures. Adjusted EBITDA is company-defined and reconciled in the earnings release; it excludes large depreciation, share-based compensation, interest, and other items. Forecasts and valuation are independent analyst estimates, not company guidance. All dates, quarter labels, and filing identifiers were verified against the company release and SEC documents.</w:t>
      </w:r>
    </w:p>
    <w:p>
      <w:pPr>
        <w:spacing w:before="160" w:after="40" w:line="250" w:lineRule="auto"/>
      </w:pPr>
      <w:r>
        <w:rPr>
          <w:rFonts w:ascii="Times New Roman" w:hAnsi="Times New Roman"/>
          <w:b/>
          <w:i w:val="0"/>
          <w:color w:val="667085"/>
          <w:sz w:val="17"/>
        </w:rPr>
        <w:t>DISCLAIMER</w:t>
      </w:r>
    </w:p>
    <w:p>
      <w:pPr>
        <w:spacing w:before="0" w:after="60" w:line="250" w:lineRule="auto"/>
      </w:pPr>
      <w:r>
        <w:rPr>
          <w:rFonts w:ascii="Times New Roman" w:hAnsi="Times New Roman"/>
          <w:b w:val="0"/>
          <w:i w:val="0"/>
          <w:color w:val="667085"/>
          <w:sz w:val="15"/>
        </w:rPr>
        <w:t>This report is for informational purposes only and does not constitute investment advice, an offer, or a solicitation. Estimates and price targets are based on publicly available information and may change without notice. The analyst is not a licensed investment adviser and has no position in SPCX. Investors should conduct independent due diligence and consider their own objectives and risk tolerance.</w:t>
      </w:r>
    </w:p>
    <w:sectPr w:rsidR="00FC693F" w:rsidRPr="0006063C" w:rsidSect="00034616">
      <w:headerReference w:type="default" r:id="rId9"/>
      <w:footerReference w:type="default" r:id="rId10"/>
      <w:pgSz w:w="12240" w:h="15840"/>
      <w:pgMar w:top="1037" w:right="1440" w:bottom="1037" w:left="1440"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val="0"/>
        <w:i w:val="0"/>
        <w:color w:val="667085"/>
        <w:sz w:val="15"/>
      </w:rPr>
      <w:t xml:space="preserve">Equity Research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b/>
        <w:i w:val="0"/>
        <w:color w:val="667085"/>
        <w:sz w:val="15"/>
      </w:rPr>
      <w:t>SpaceX (SPCX) | Q2 2026 Earnings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space"/>
      <w:pPr>
        <w:tabs>
          <w:tab w:val="num" w:pos="540"/>
        </w:tabs>
        <w:ind w:left="720" w:hanging="180"/>
      </w:pPr>
      <w:rPr>
        <w:rFonts w:ascii="Times New Roman" w:hAnsi="Times New Roman"/>
        <w:color w:val="005288"/>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0"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Times New Roman" w:hAnsi="Times New Roman"/>
      <w:b/>
      <w:bCs/>
      <w:color w:val="005288"/>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Times New Roman" w:hAnsi="Times New Roman"/>
      <w:b/>
      <w:bCs/>
      <w:color w:val="0B2545"/>
      <w:sz w:val="23"/>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Times New Roman" w:hAnsi="Times New Roman"/>
      <w:b/>
      <w:bCs/>
      <w:color w:val="0B254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ec.gov/Archives/edgar/data/1181412/000162828026052515/earningsreleaseq22608042.htm" TargetMode="External"/><Relationship Id="rId12" Type="http://schemas.openxmlformats.org/officeDocument/2006/relationships/hyperlink" Target="https://www.sec.gov/Archives/edgar/data/1181412/000162828026052535/spcx-20260630.htm" TargetMode="External"/><Relationship Id="rId13" Type="http://schemas.openxmlformats.org/officeDocument/2006/relationships/hyperlink" Target="https://www.axios.com/2026/08/04/spacex-earnings-elon-musk" TargetMode="External"/><Relationship Id="rId14" Type="http://schemas.openxmlformats.org/officeDocument/2006/relationships/hyperlink" Target="https://www.kiplinger.com/investing/stocks/17494/next-week-earnings-calendar-stocks" TargetMode="Externa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hyperlink" Target="https://ir.spacex.com/updates/releases-details/2026/SpaceX-to-Post-Second-Quarter-2026-Results-and-Host-Webcast-on-August-4-2026-2026-g8layJlbFm/default.aspx" TargetMode="External"/><Relationship Id="rId23" Type="http://schemas.openxmlformats.org/officeDocument/2006/relationships/hyperlink" Target="https://apnews.com/article/3b7b66a3e522e51d75caebc40af7e09e" TargetMode="External"/><Relationship Id="rId24" Type="http://schemas.openxmlformats.org/officeDocument/2006/relationships/image" Target="media/image8.png"/><Relationship Id="rId25" Type="http://schemas.openxmlformats.org/officeDocument/2006/relationships/hyperlink" Target="https://finance.yahoo.com/quote/SPCX/" TargetMode="External"/><Relationship Id="rId26" Type="http://schemas.openxmlformats.org/officeDocument/2006/relationships/hyperlink" Target="https://longbridge.com/quote/SPCX.US" TargetMode="External"/><Relationship Id="rId27" Type="http://schemas.openxmlformats.org/officeDocument/2006/relationships/hyperlink" Target="https://www.nasdaq.com/market-activity/stocks/spcx" TargetMode="External"/><Relationship Id="rId28" Type="http://schemas.openxmlformats.org/officeDocument/2006/relationships/hyperlink" Target="https://www.sec.gov/Archives/edgar/data/1181412/000162828026036936/spaceexplorationtechnologi.htm" TargetMode="External"/><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hyperlink" Target="https://www.sec.gov/Archives/edgar/data/1181412/000162828026052515/0001628280-26-052515-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SPCX Q2 2026 Earnings Update</dc:title>
  <dc:subject>SpaceX Q2 2026 results, estimates, valuation, and investment thesis</dc:subject>
  <dc:creator>Equity Research</dc:creator>
  <cp:keywords/>
  <dc:description>generated by python-docx</dc:description>
  <cp:lastModifiedBy/>
  <cp:revision>1</cp:revision>
  <dcterms:created xsi:type="dcterms:W3CDTF">2013-12-23T23:15:00Z</dcterms:created>
  <dcterms:modified xsi:type="dcterms:W3CDTF">2013-12-23T23:15:00Z</dcterms:modified>
  <cp:category/>
</cp:coreProperties>
</file>