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黑体"/>
          <w:b/>
          <w:color w:val="1B5E20"/>
          <w:sz w:val="32"/>
        </w:rPr>
        <w:t>英伟达 (NVDA)</w:t>
      </w:r>
    </w:p>
    <w:p>
      <w:pPr>
        <w:spacing w:after="40" w:before="0"/>
        <w:jc w:val="center"/>
      </w:pPr>
      <w:r>
        <w:rPr>
          <w:rFonts w:ascii="Times New Roman" w:hAnsi="Times New Roman" w:eastAsia="黑体"/>
          <w:b/>
          <w:sz w:val="28"/>
        </w:rPr>
        <w:t>2027财年第一季度业绩更新报告</w:t>
      </w:r>
    </w:p>
    <w:p>
      <w:pPr>
        <w:spacing w:after="200" w:before="0"/>
        <w:jc w:val="center"/>
      </w:pPr>
      <w:r>
        <w:rPr>
          <w:rFonts w:ascii="Times New Roman" w:hAnsi="Times New Roman" w:eastAsia="黑体"/>
          <w:b/>
          <w:color w:val="1B5E20"/>
          <w:sz w:val="24"/>
        </w:rPr>
        <w:t>Blackwell加速交付推动收入创纪录816亿美元 — 超预期并上调指引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日期：2026年6月6日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评级：维持 跑赢大盘 (OUTPERFORM)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股价（截至2026年6月5日）：$205.1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目标价：$280（此前$260）— 上调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市值：$4968B  |  52周区间：$140.85 – $236.54</w:t>
      </w:r>
    </w:p>
    <w:p>
      <w:pPr>
        <w:spacing w:after="8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120"/>
      </w:pPr>
      <w:r>
        <w:rPr>
          <w:rFonts w:ascii="Times New Roman" w:hAnsi="Times New Roman" w:eastAsia="黑体"/>
          <w:b/>
          <w:color w:val="1B5E20"/>
          <w:sz w:val="24"/>
        </w:rPr>
        <w:t>业绩摘要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实际值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市场共识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差异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$816亿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$788亿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+$28亿 (+3.6%)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Non-GAAP每股收益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$1.87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$1.77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+$0.10 (+5.7%)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Non-GAAP毛利率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74.8%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+20个基点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资料来源：公司业绩发布（2026年5月20日）；Bloomberg市场共识（2026年5月19日收盘）。</w:t>
      </w:r>
    </w:p>
    <w:p>
      <w:pPr>
        <w:spacing w:after="40" w:before="0"/>
      </w:pPr>
      <w:r>
        <w:rPr>
          <w:rFonts w:ascii="Times New Roman" w:hAnsi="Times New Roman" w:eastAsia="宋体"/>
          <w:sz w:val="22"/>
        </w:rPr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收入创纪录816亿美元，超市场共识3.6%，受益于Blackwell系统在超大规模客户中的强劲需求</w:t>
      </w:r>
      <w:r>
        <w:br/>
      </w:r>
      <w:r>
        <w:rPr>
          <w:rFonts w:ascii="Times New Roman" w:hAnsi="Times New Roman" w:eastAsia="宋体"/>
          <w:sz w:val="21"/>
        </w:rPr>
        <w:t>2027财年第一季度收入同比增长85%、环比增长20%至816亿美元，超过市场共识788亿美元约28亿美元。数据中心收入达到752亿美元（同比+92%），占总收入的92%。管理层指出Blackwell部署是"公司历史上最快的产品爬坡"，GB300 NVL72需求尤为强劲。超大规模客户贡献约380亿美元，ACIE（AI云、工业及企业）贡献370亿美元（环比+31%），表明客户基础正从头部云厂商向更广泛市场扩展。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Non-GAAP毛利率扩展至75.0%，完全恢复至H20出口管制影响前水平</w:t>
      </w:r>
      <w:r>
        <w:br/>
      </w:r>
      <w:r>
        <w:rPr>
          <w:rFonts w:ascii="Times New Roman" w:hAnsi="Times New Roman" w:eastAsia="宋体"/>
          <w:sz w:val="21"/>
        </w:rPr>
        <w:t>Non-GAAP毛利率75.0%，较受H20影响的2026财年第一季度（61.0%）同比提升1,400个基点，与2026财年第四季度（75.2%）基本持平。在公司历史上规模最大的产品代际切换（Hopper→Blackwell）期间保持毛利率稳定，充分展示了定价能力和制造良率的持续改善。管理层指引第二季度Non-GAAP毛利率为75.0%（±50个基点），预示盈利能力将在Blackwell爬坡期间持续维持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第二季度指引约910亿美元，大幅超出市场预期，信号表明增长仍在加速</w:t>
      </w:r>
      <w:r>
        <w:br/>
      </w:r>
      <w:r>
        <w:rPr>
          <w:rFonts w:ascii="Times New Roman" w:hAnsi="Times New Roman" w:eastAsia="宋体"/>
          <w:sz w:val="21"/>
        </w:rPr>
        <w:t>管理层指引2027财年第二季度收入约910亿美元（±2%），环比增长约11.5%，显著高于财报前市场预期的约850亿美元。该指引不包含来自中国的数据中心计算收入（受出口管制影响）。同时宣布800亿美元新增股票回购授权和将季度股息大幅提高至每股0.25美元（提升25倍），资本回报框架凸显管理层对持续盈利能力的信心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维持跑赢大盘评级，目标价上调至$280，基于上修的FY2027E/FY2028E预测</w:t>
      </w:r>
      <w:r>
        <w:br/>
      </w:r>
      <w:r>
        <w:rPr>
          <w:rFonts w:ascii="Times New Roman" w:hAnsi="Times New Roman" w:eastAsia="宋体"/>
          <w:sz w:val="21"/>
        </w:rPr>
        <w:t>我们将FY2027E收入预测上调至3,650亿美元（此前3,400亿美元），Non-GAAP每股收益上调至$8.80（此前$8.20），反映第一季度超预期表现和上调的指引。目标价$280（此前$260）基于FY2028E Non-GAAP每股收益$10.50的32倍市盈率，依据英伟达在AI基础设施领域的主导地位、推理/主权AI/边缘机器人等领域不断扩大的可触达市场，以及毛利率持续高于74%的支撑。</w:t>
      </w:r>
    </w:p>
    <w:p>
      <w:pPr>
        <w:spacing w:after="80" w:before="200"/>
      </w:pPr>
      <w:r>
        <w:rPr>
          <w:rFonts w:ascii="Times New Roman" w:hAnsi="Times New Roman" w:eastAsia="黑体"/>
          <w:b/>
          <w:color w:val="1B5E20"/>
          <w:sz w:val="22"/>
        </w:rPr>
        <w:t>更新后的财务预测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FY2027E（旧）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FY2027E（新）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变动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FY2028E（新）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收入（$B）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$340.0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$365.0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+7.4%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$440.0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收入增长率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57.4%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69.0%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+1,160 bps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20.5%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Non-GAAP毛利率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74.5%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+50 bps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74.5%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Non-GAAP营业利润（$B）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$225.0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$245.0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+8.9%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$290.0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Non-GAAP营业利润率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66.2%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67.1%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+90 bps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65.9%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Non-GAAP每股收益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$8.20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$8.80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+7.3%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$10.50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市盈率（倍）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26.8x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25.0x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-1.8x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20.9x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注："E"=预测。旧预测来自FY2026第四季度业绩更新。资料来源：公司数据、分析师预测。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1B5E20"/>
          <w:sz w:val="28"/>
        </w:rPr>
        <w:t>详细业绩分析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收入分析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收入816亿美元，同比增长85%、环比增长20%，为连续第三个季度同比增速加快，也是连续第十四个季度环比增长。135亿美元的环比增量创下公司新纪录。超出市场共识788亿美元的原因主要是数据中心需求强于预期，尤其是超大规模客户和主权AI客户部署Blackwell系统的需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业务板块</w:t>
            </w:r>
          </w:p>
        </w:tc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FY26</w:t>
            </w:r>
          </w:p>
        </w:tc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Q2 FY26</w:t>
            </w:r>
          </w:p>
        </w:tc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Q3 FY26</w:t>
            </w:r>
          </w:p>
        </w:tc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Q4 FY26</w:t>
            </w:r>
          </w:p>
        </w:tc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FY27</w:t>
            </w:r>
          </w:p>
        </w:tc>
        <w:tc>
          <w:tcPr>
            <w:tcW w:type="dxa" w:w="1344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同比变化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总收入 ($B)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$44.1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$46.7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$57.0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$68.1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$81.6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+85%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数据中心 ($B)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$39.1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$42.0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$51.2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$62.3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$75.2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+92%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边缘计算 ($B)*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$5.0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$4.7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$5.8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$5.8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$6.4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+29%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数据中心占比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89%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90%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90%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91%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92%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+3pp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*边缘计算包括游戏、专业可视化、汽车与机器人业务（Q1 FY27起新分部）。此前期间已重新分类以便比较。资料来源：公司财报。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图1 — 季度收入走势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9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1_quarter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资料来源：公司财报；Bloomberg市场共识（2026年5月19日）。</w:t>
      </w:r>
    </w:p>
    <w:p>
      <w:pPr>
        <w:spacing w:after="120" w:before="200"/>
      </w:pPr>
      <w:r>
        <w:rPr>
          <w:rFonts w:ascii="Times New Roman" w:hAnsi="Times New Roman" w:eastAsia="黑体"/>
          <w:b/>
          <w:sz w:val="24"/>
        </w:rPr>
        <w:t>数据中心业务深度分析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数据中心收入752亿美元（同比+92%，环比+21%）是核心增长引擎。其中计算收入达604亿美元（同比+77%，环比+18%），受Blackwell GPU加速部署驱动。网络收入同比增长近两倍至148亿美元（同比+199%，环比+35%），反映出随着GPU集群规模扩展至数万片加速器，高带宽互联（NVLink、InfiniBand、Spectrum-X以太网）变得日益关键。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按客户类型划分，超大规模客户贡献约380亿美元（占数据中心收入的约50%），ACIE板块（AI云、工业及企业）贡献370亿美元（环比+31%）。ACIE的快速增长表明AI工作负载需求正从头部超大规模客户向主权AI项目、企业部署和AI原生云提供商等更广泛领域扩展。CFO Colette Kress指出"GB300 NVL72需求尤为强劲"，前沿建设者正部署"数百和数千片"Blackwell GPU。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盈利能力分析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Non-GAAP毛利率75.0%，与FY2026第四季度（75.2%）基本持平，较受H20影响的FY2026第一季度（61.0%）大幅回升。在Blackwell有史以来最快的产品爬坡期间保持毛利率稳定，展示了强劲的定价能力和制造良率改善。GAAP毛利率为74.9%。营业费用总额76亿美元（GAAP），其中研发支出63亿美元——反映出在下一代GPU架构（Rubin/Vera）和软件平台方面的持续大力投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68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FY26</w:t>
            </w:r>
          </w:p>
        </w:tc>
        <w:tc>
          <w:tcPr>
            <w:tcW w:type="dxa" w:w="1568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Q3 FY26</w:t>
            </w:r>
          </w:p>
        </w:tc>
        <w:tc>
          <w:tcPr>
            <w:tcW w:type="dxa" w:w="1568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Q4 FY26</w:t>
            </w:r>
          </w:p>
        </w:tc>
        <w:tc>
          <w:tcPr>
            <w:tcW w:type="dxa" w:w="1568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FY27</w:t>
            </w:r>
          </w:p>
        </w:tc>
        <w:tc>
          <w:tcPr>
            <w:tcW w:type="dxa" w:w="1568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同比变化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GAAP毛利率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60.5%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73.4%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74.9%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+1,440 bps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Non-GAAP毛利率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61.0%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73.6%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75.2%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+1,400 bps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GAAP营业利润率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49.0%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63.2%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65.0%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65.6%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+1,660 bps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Non-GAAP营业利润率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52.8%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64.9%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67.7%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65.9%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 w:eastAsia="宋体"/>
                <w:sz w:val="18"/>
              </w:rPr>
              <w:t>+1,310 bps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资料来源：公司财报。Q1 FY26毛利率受45亿美元H20库存减值影响。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图2 — 季度每股收益走势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4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2_quarterly_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资料来源：公司财报；Bloomberg市场共识（2026年5月19日）。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图3 — 季度利润率走势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9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3_margin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1B5E20"/>
          <w:sz w:val="28"/>
        </w:rPr>
        <w:t>关键指标与指引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关键运营指标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FY27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Q4 FY26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数据中心计算收入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$60.4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$51.2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+18% 环比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数据中心网络收入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$14.8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$11.0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+35% 环比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自由现金流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$49.0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$34.9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+40% 环比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经营性现金流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~$51.0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$36.2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+41% 环比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股票回购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~$20.0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~$11.0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摊薄股份数 (B)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~24.4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24.4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持平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资料来源：公司业绩发布（2026年5月20日）；10-Q（2026年5月28日提交）。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图4 — 收入结构：数据中心 vs. 其他板块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9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4_segment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图5 — 数据中心收入及同比增长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1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5_dc_revenue_grow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资料来源：公司财报。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FY2027第二季度指引分析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管理层指引FY2027第二季度收入约910亿美元（±2%），隐含环比增长约11.5%，显著高于财报前市场预期的约850亿美元。该指引不包含来自中国的数据中心计算收入（受美国出口管制影响）——这一限制使得有机增长表现更加亮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Q2 FY27E 指引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FY27 实际</w:t>
            </w:r>
          </w:p>
        </w:tc>
        <w:tc>
          <w:tcPr>
            <w:tcW w:type="dxa" w:w="235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隐含环比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~$910亿 (±2%)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$816亿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+11.5%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GAAP毛利率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74.9% (±50 bps)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74.9%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持平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Non-GAAP毛利率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75.0% (±50 bps)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持平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Non-GAAP营业费用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~$83亿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~$75亿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+10.7%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资料来源：公司Q1 FY2027业绩发布及CFO评论（2026年5月20日）。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该指引值得关注的原因包括：（1）在收入基数已经非常庞大的情况下仍暗示持续环比加速；（2）毛利率指引约75%，表明Blackwell生产爬坡未造成毛利率压力；（3）营业费用升至约83亿美元，反映了在Rubin/Vera下一代架构和CUDA软件生态扩展方面的持续重投入；（4）明确排除中国计算收入，提供了清晰的有机增长视角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图6 — Q1 FY2027收入超预期分解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851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6_beat_waterf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8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资料来源：公司财报；Bloomberg市场共识（2026年5月19日）。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1B5E20"/>
          <w:sz w:val="28"/>
        </w:rPr>
        <w:t>更新投资论点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论点影响评估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论点一：英伟达是AI基础设施建设的最大受益者 — 增强</w:t>
      </w:r>
      <w:r>
        <w:br/>
      </w:r>
      <w:r>
        <w:rPr>
          <w:rFonts w:ascii="Times New Roman" w:hAnsi="Times New Roman" w:eastAsia="宋体"/>
          <w:sz w:val="21"/>
        </w:rPr>
        <w:t>Q1 FY2027业绩有力地验证了这一论点。数据中心收入752亿美元（同比+92%）表明AI基础设施投资周期仍在加速而非见顶。客户基础持续扩大——从超大规模客户（380亿美元）到ACIE（370亿美元）——表明AI计算需求并非集中在少数买家，而是正扩展至主权AI项目、企业部署和专业AI云提供商。Blackwell创纪录的爬坡速度进一步巩固了英伟达的技术领先地位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论点二：网络业务成为下一个重要增长引擎 — 增强</w:t>
      </w:r>
      <w:r>
        <w:br/>
      </w:r>
      <w:r>
        <w:rPr>
          <w:rFonts w:ascii="Times New Roman" w:hAnsi="Times New Roman" w:eastAsia="宋体"/>
          <w:sz w:val="21"/>
        </w:rPr>
        <w:t>网络收入148亿美元（同比+199%，环比+35%）验证了我们的论点：随着GPU集群扩展至数万片加速器，高带宽互联变得至关重要。NVLink、InfiniBand和Spectrum-X以太网解决方案越来越多地作为Blackwell集成系统的一部分销售。网络收入现占数据中心收入的约20%，高于一年前的约13%，展示了GPU之外的显著可触达市场扩展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论点三：毛利率在产品换代期间维持73%以上 — 不变</w:t>
      </w:r>
      <w:r>
        <w:br/>
      </w:r>
      <w:r>
        <w:rPr>
          <w:rFonts w:ascii="Times New Roman" w:hAnsi="Times New Roman" w:eastAsia="宋体"/>
          <w:sz w:val="21"/>
        </w:rPr>
        <w:t>Non-GAAP毛利率75.0%远高于我们73%下限论点。在Hopper到Blackwell换代期间保持稳定尤为突出，因为新产品爬坡历史上往往造成毛利率波动。管理层第二季度指引75.0%（±50 bps）提供了持续毛利率的可见性。但我们维持FY2027全年74.5%的保守假设，以应对推理GPU规模化带来的潜在产品组合变化。</w:t>
      </w:r>
    </w:p>
    <w:p>
      <w:pPr>
        <w:spacing w:after="120" w:before="200"/>
      </w:pPr>
      <w:r>
        <w:rPr>
          <w:rFonts w:ascii="Times New Roman" w:hAnsi="Times New Roman" w:eastAsia="黑体"/>
          <w:b/>
          <w:sz w:val="24"/>
        </w:rPr>
        <w:t>风险评估更新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核心风险基本不变但需持续关注：（1）出口管制风险——指引中排除中国数据中心计算收入凸显了持续的监管逆风，但英伟达已证明有能力在无中国市场的情况下实现强劲增长；（2）客户集中度——尽管ACIE增长令人鼓舞，超大规模客户仍贡献约50%的数据中心收入，如果云资本开支放缓存在周期性风险；（3）竞争——AMD的MI400和来自谷歌（TPU）、亚马逊（Trainium）、微软（Maia）的定制ASIC构成长期竞争威胁，但短期内份额流失似乎有限；（4）估值——约25倍FY2027E市盈率已反映了显著的持续增长预期，留给执行失误的空间有限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图7 — 季度自由现金流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622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7_free_cash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图8 — Q1 FY2027数据中心收入结构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5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8_dc_m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5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资料来源：公司业绩发布（2026年5月20日）。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1B5E20"/>
          <w:sz w:val="28"/>
        </w:rPr>
        <w:t>估值与更新预测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估值框架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目标价$280（此前$260）基于混合估值方法：</w:t>
        <w:br/>
        <w:br/>
        <w:t>DCF分析（40%权重）：基于FY2027E-FY2032E现金流的更新DCF得出公允价值$295。核心假设：5年收入复合增长率22%、终端EBIT利润率62%、WACC 10.5%、终端增长率3.5%。</w:t>
        <w:br/>
        <w:br/>
        <w:t>市盈率（40%权重）：FY2028E Non-GAAP每股收益$10.50乘以32倍得$336。考虑执行风险给予20%折扣，得$269。</w:t>
        <w:br/>
        <w:br/>
        <w:t>EV/EBITDA（20%权重）：FY2028E EBITDA 3,100亿美元乘以25倍，扣除净现金后得每股$250。</w:t>
        <w:br/>
        <w:br/>
        <w:t>混合目标价：(40% x $295) + (40% x $269) + (20% x $250) = $276，取整为$280。</w:t>
      </w:r>
    </w:p>
    <w:p>
      <w:pPr>
        <w:spacing w:after="120" w:before="160"/>
      </w:pPr>
      <w:r>
        <w:rPr>
          <w:rFonts w:ascii="Times New Roman" w:hAnsi="Times New Roman" w:eastAsia="黑体"/>
          <w:b/>
          <w:sz w:val="24"/>
        </w:rPr>
        <w:t>详细预测更新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FY27E（旧）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FY27E（新）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变动</w:t>
            </w:r>
          </w:p>
        </w:tc>
        <w:tc>
          <w:tcPr>
            <w:tcW w:type="dxa" w:w="1881"/>
            <w:shd w:fill="1B5E20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FY28E（新）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收入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$340.0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$365.0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+7.4%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$440.0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数据中心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$310.0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$335.0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+8.1%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$400.0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边缘计算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$30.0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$30.0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$40.0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毛利润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$253.3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$273.8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+8.1%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$327.8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Non-GAAP毛利率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74.5%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+50 bps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74.5%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Non-GAAP营业费用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$42.0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Non-GAAP营业利润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$225.0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$245.0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+8.9%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$290.0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Non-GAAP营业利润率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66.2%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67.1%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+90 bps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65.9%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Non-GAAP每股收益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$8.20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$8.80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+7.3%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$10.50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自由现金流 ($B)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$195.0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$215.0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+10.3%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$250.0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资料来源：分析师预测。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图9 — FY2027E预测修订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533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9_estimate_revis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资料来源：分析师预测。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图10 — 季度收入环比增长率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622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chart10_sequential_grow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资料来源：公司财报。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1B5E20"/>
          <w:sz w:val="28"/>
        </w:rPr>
        <w:t>资料来源与参考文献</w:t>
      </w:r>
    </w:p>
    <w:p>
      <w:pPr>
        <w:spacing w:after="80" w:before="0"/>
      </w:pPr>
      <w:r>
        <w:rPr>
          <w:rFonts w:ascii="Times New Roman" w:hAnsi="Times New Roman" w:eastAsia="黑体"/>
          <w:b/>
          <w:sz w:val="21"/>
        </w:rPr>
        <w:t>业绩资料（Q1 FY2027）：</w:t>
      </w:r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19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业绩新闻稿（2026年5月20日）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0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Form 8-K — 新闻稿（2026年5月20日提交）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1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CFO评论（2026年5月20日）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2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Form 10-Q（2026年5月28日提交）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3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Q1 FY2027业绩电话会议记录（2026年5月20日）</w:t>
        </w:r>
      </w:hyperlink>
    </w:p>
    <w:p>
      <w:pPr>
        <w:spacing w:after="8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0"/>
      </w:pPr>
      <w:r>
        <w:rPr>
          <w:rFonts w:ascii="Times New Roman" w:hAnsi="Times New Roman" w:eastAsia="黑体"/>
          <w:b/>
          <w:sz w:val="21"/>
        </w:rPr>
        <w:t>往期参考资料：</w:t>
      </w:r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4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FY2026第四季度业绩发布（2026年2月26日）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5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FY2026第四季度 Form 8-K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6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FY2026第三季度业绩发布（2025年11月）</w:t>
        </w:r>
      </w:hyperlink>
    </w:p>
    <w:p>
      <w:pPr>
        <w:spacing w:after="8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0"/>
      </w:pPr>
      <w:r>
        <w:rPr>
          <w:rFonts w:ascii="Times New Roman" w:hAnsi="Times New Roman" w:eastAsia="黑体"/>
          <w:b/>
          <w:sz w:val="21"/>
        </w:rPr>
        <w:t>共识与市场数据：</w:t>
      </w:r>
    </w:p>
    <w:p>
      <w:pPr>
        <w:spacing w:after="120" w:before="0"/>
      </w:pPr>
      <w:r>
        <w:rPr>
          <w:rFonts w:ascii="Times New Roman" w:hAnsi="Times New Roman" w:eastAsia="宋体"/>
          <w:sz w:val="20"/>
        </w:rPr>
        <w:t>• Bloomberg市场共识预测（截至2026年5月19日收盘）</w:t>
        <w:br/>
        <w:t>• Yahoo Finance / yfinance 实时市场数据</w:t>
        <w:br/>
        <w:t>• 英伟达投资者关系：https://investor.nvidia.com</w:t>
      </w:r>
    </w:p>
    <w:p>
      <w:pPr>
        <w:spacing w:after="120" w:before="0"/>
      </w:pPr>
      <w:r>
        <w:rPr>
          <w:rFonts w:ascii="Times New Roman" w:hAnsi="Times New Roman" w:eastAsia="宋体"/>
          <w:sz w:val="22"/>
        </w:rPr>
      </w:r>
    </w:p>
    <w:p>
      <w:pPr>
        <w:spacing w:after="40" w:before="0"/>
      </w:pPr>
      <w:r>
        <w:rPr>
          <w:rFonts w:ascii="Times New Roman" w:hAnsi="Times New Roman" w:eastAsia="黑体"/>
          <w:b/>
          <w:color w:val="757575"/>
          <w:sz w:val="18"/>
        </w:rPr>
        <w:t>免责声明</w:t>
      </w:r>
    </w:p>
    <w:p>
      <w:pPr>
        <w:spacing w:after="80" w:before="0"/>
      </w:pPr>
      <w:r>
        <w:rPr>
          <w:rFonts w:ascii="Times New Roman" w:hAnsi="Times New Roman" w:eastAsia="宋体"/>
          <w:color w:val="999999"/>
          <w:sz w:val="16"/>
        </w:rPr>
        <w:t>本报告仅供信息参考，不构成投资建议。分析师不是持牌投资顾问。所有预测和目标价均基于公开信息，代表分析师的独立评估。过往表现不代表未来结果。投资者在做出投资决策前应进行独立的尽职调查。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nvidianews.nvidia.com/news/nvidia-announces-financial-results-for-first-quarter-fiscal-2027" TargetMode="External"/><Relationship Id="rId20" Type="http://schemas.openxmlformats.org/officeDocument/2006/relationships/hyperlink" Target="https://www.sec.gov/Archives/edgar/data/0001045810/000104581026000051/q1fy27pr.htm" TargetMode="External"/><Relationship Id="rId21" Type="http://schemas.openxmlformats.org/officeDocument/2006/relationships/hyperlink" Target="https://www.sec.gov/Archives/edgar/data/0001045810/000104581026000051/q1fy27cfocommentary.htm" TargetMode="External"/><Relationship Id="rId22" Type="http://schemas.openxmlformats.org/officeDocument/2006/relationships/hyperlink" Target="https://www.sec.gov/Archives/edgar/data/0001045810/000104581026000052/nvda-20260426.htm" TargetMode="External"/><Relationship Id="rId23" Type="http://schemas.openxmlformats.org/officeDocument/2006/relationships/hyperlink" Target="https://seekingalpha.com/article/4907259-nvidia-corporation-nvda-q1-2027-earnings-call-transcript" TargetMode="External"/><Relationship Id="rId24" Type="http://schemas.openxmlformats.org/officeDocument/2006/relationships/hyperlink" Target="https://nvidianews.nvidia.com/news/nvidia-announces-financial-results-for-fourth-quarter-and-fiscal-2026" TargetMode="External"/><Relationship Id="rId25" Type="http://schemas.openxmlformats.org/officeDocument/2006/relationships/hyperlink" Target="https://www.sec.gov/Archives/edgar/data/0001045810/000104581026000019/q4fy26pr.htm" TargetMode="External"/><Relationship Id="rId26" Type="http://schemas.openxmlformats.org/officeDocument/2006/relationships/hyperlink" Target="https://nvidianews.nvidia.com/news/nvidia-announces-financial-results-for-third-quarter-fiscal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