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黑体" w:hAnsi="黑体" w:eastAsia="黑体"/>
          <w:b/>
          <w:color w:val="003DA5"/>
          <w:sz w:val="44"/>
        </w:rPr>
        <w:t>贰光科技  (COHR: NYSE)</w:t>
      </w:r>
    </w:p>
    <w:p>
      <w:pPr>
        <w:spacing w:after="120"/>
      </w:pPr>
      <w:r>
        <w:rPr>
          <w:rFonts w:ascii="宋体" w:hAnsi="宋体" w:eastAsia="宋体"/>
          <w:color w:val="8E8E93"/>
          <w:sz w:val="20"/>
        </w:rPr>
        <w:t>权益研究  |  光子学与光通信</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E8F0FE"/>
            <w:tcBorders>
              <w:top w:val="single" w:sz="4" w:space="0" w:color="C0D0F0"/>
              <w:bottom w:val="single" w:sz="4" w:space="0" w:color="C0D0F0"/>
              <w:left w:val="single" w:sz="4" w:space="0" w:color="C0D0F0"/>
              <w:right w:val="single" w:sz="4" w:space="0" w:color="C0D0F0"/>
            </w:tcBorders>
          </w:tcPr>
          <w:p>
            <w:pPr>
              <w:jc w:val="center"/>
            </w:pPr>
            <w:r>
              <w:rPr>
                <w:rFonts w:ascii="Calibri" w:hAnsi="Calibri"/>
                <w:color w:val="8E8E93"/>
                <w:sz w:val="16"/>
              </w:rPr>
              <w:t>评级</w:t>
              <w:br/>
            </w:r>
            <w:r>
              <w:rPr>
                <w:rFonts w:ascii="Calibri" w:hAnsi="Calibri"/>
                <w:b/>
                <w:color w:val="1E8A44"/>
                <w:sz w:val="20"/>
              </w:rPr>
              <w:t>增持</w:t>
            </w:r>
          </w:p>
        </w:tc>
        <w:tc>
          <w:tcPr>
            <w:tcW w:type="dxa" w:w="1872"/>
            <w:shd w:val="clear" w:color="auto" w:fill="E8F0FE"/>
            <w:tcBorders>
              <w:top w:val="single" w:sz="4" w:space="0" w:color="C0D0F0"/>
              <w:bottom w:val="single" w:sz="4" w:space="0" w:color="C0D0F0"/>
              <w:left w:val="single" w:sz="4" w:space="0" w:color="C0D0F0"/>
              <w:right w:val="single" w:sz="4" w:space="0" w:color="C0D0F0"/>
            </w:tcBorders>
          </w:tcPr>
          <w:p>
            <w:pPr>
              <w:jc w:val="center"/>
            </w:pPr>
            <w:r>
              <w:rPr>
                <w:rFonts w:ascii="Calibri" w:hAnsi="Calibri"/>
                <w:color w:val="8E8E93"/>
                <w:sz w:val="16"/>
              </w:rPr>
              <w:t>目标价</w:t>
              <w:br/>
            </w:r>
            <w:r>
              <w:rPr>
                <w:rFonts w:ascii="Calibri" w:hAnsi="Calibri"/>
                <w:b/>
                <w:color w:val="4A90D9"/>
                <w:sz w:val="20"/>
              </w:rPr>
              <w:t>$450.00</w:t>
            </w:r>
          </w:p>
        </w:tc>
        <w:tc>
          <w:tcPr>
            <w:tcW w:type="dxa" w:w="1872"/>
            <w:shd w:val="clear" w:color="auto" w:fill="E8F0FE"/>
            <w:tcBorders>
              <w:top w:val="single" w:sz="4" w:space="0" w:color="C0D0F0"/>
              <w:bottom w:val="single" w:sz="4" w:space="0" w:color="C0D0F0"/>
              <w:left w:val="single" w:sz="4" w:space="0" w:color="C0D0F0"/>
              <w:right w:val="single" w:sz="4" w:space="0" w:color="C0D0F0"/>
            </w:tcBorders>
          </w:tcPr>
          <w:p>
            <w:pPr>
              <w:jc w:val="center"/>
            </w:pPr>
            <w:r>
              <w:rPr>
                <w:rFonts w:ascii="Calibri" w:hAnsi="Calibri"/>
                <w:color w:val="8E8E93"/>
                <w:sz w:val="16"/>
              </w:rPr>
              <w:t>当前股价</w:t>
              <w:br/>
            </w:r>
            <w:r>
              <w:rPr>
                <w:rFonts w:ascii="Calibri" w:hAnsi="Calibri"/>
                <w:b/>
                <w:color w:val="003DA5"/>
                <w:sz w:val="20"/>
              </w:rPr>
              <w:t>$400.57</w:t>
            </w:r>
          </w:p>
        </w:tc>
        <w:tc>
          <w:tcPr>
            <w:tcW w:type="dxa" w:w="1872"/>
            <w:shd w:val="clear" w:color="auto" w:fill="E8F0FE"/>
            <w:tcBorders>
              <w:top w:val="single" w:sz="4" w:space="0" w:color="C0D0F0"/>
              <w:bottom w:val="single" w:sz="4" w:space="0" w:color="C0D0F0"/>
              <w:left w:val="single" w:sz="4" w:space="0" w:color="C0D0F0"/>
              <w:right w:val="single" w:sz="4" w:space="0" w:color="C0D0F0"/>
            </w:tcBorders>
          </w:tcPr>
          <w:p>
            <w:pPr>
              <w:jc w:val="center"/>
            </w:pPr>
            <w:r>
              <w:rPr>
                <w:rFonts w:ascii="Calibri" w:hAnsi="Calibri"/>
                <w:color w:val="8E8E93"/>
                <w:sz w:val="16"/>
              </w:rPr>
              <w:t>52周区间</w:t>
              <w:br/>
            </w:r>
            <w:r>
              <w:rPr>
                <w:rFonts w:ascii="Calibri" w:hAnsi="Calibri"/>
                <w:b/>
                <w:color w:val="8E8E93"/>
                <w:sz w:val="20"/>
              </w:rPr>
              <w:t>$73.66 – $413.0</w:t>
            </w:r>
          </w:p>
        </w:tc>
        <w:tc>
          <w:tcPr>
            <w:tcW w:type="dxa" w:w="1872"/>
            <w:shd w:val="clear" w:color="auto" w:fill="E8F0FE"/>
            <w:tcBorders>
              <w:top w:val="single" w:sz="4" w:space="0" w:color="C0D0F0"/>
              <w:bottom w:val="single" w:sz="4" w:space="0" w:color="C0D0F0"/>
              <w:left w:val="single" w:sz="4" w:space="0" w:color="C0D0F0"/>
              <w:right w:val="single" w:sz="4" w:space="0" w:color="C0D0F0"/>
            </w:tcBorders>
          </w:tcPr>
          <w:p>
            <w:pPr>
              <w:jc w:val="center"/>
            </w:pPr>
            <w:r>
              <w:rPr>
                <w:rFonts w:ascii="Calibri" w:hAnsi="Calibri"/>
                <w:color w:val="8E8E93"/>
                <w:sz w:val="16"/>
              </w:rPr>
              <w:t>市值</w:t>
              <w:br/>
            </w:r>
            <w:r>
              <w:rPr>
                <w:rFonts w:ascii="Calibri" w:hAnsi="Calibri"/>
                <w:b/>
                <w:color w:val="003DA5"/>
                <w:sz w:val="20"/>
              </w:rPr>
              <w:t>$78.4B</w:t>
            </w:r>
          </w:p>
        </w:tc>
      </w:tr>
    </w:tbl>
    <w:p>
      <w:pPr>
        <w:spacing w:after="80"/>
      </w:pPr>
    </w:p>
    <w:p>
      <w:pPr>
        <w:pBdr>
          <w:bottom w:val="single" w:sz="4" w:space="1" w:color="CCCCCC"/>
        </w:pBdr>
        <w:spacing w:after="160"/>
      </w:pPr>
    </w:p>
    <w:p>
      <w:pPr>
        <w:spacing w:after="60"/>
      </w:pPr>
      <w:r>
        <w:rPr>
          <w:rFonts w:ascii="黑体" w:hAnsi="黑体" w:eastAsia="黑体"/>
          <w:b/>
          <w:color w:val="003DA5"/>
          <w:sz w:val="28"/>
        </w:rPr>
        <w:t>Q3 FY2026 业绩更新：营收创历史新高18.1亿美元；英伟达战略合作重塑资产负债表与增长轨迹</w:t>
      </w:r>
    </w:p>
    <w:p>
      <w:pPr>
        <w:spacing w:after="160"/>
      </w:pPr>
      <w:r>
        <w:rPr>
          <w:rFonts w:ascii="宋体" w:hAnsi="宋体" w:eastAsia="宋体"/>
          <w:color w:val="8E8E93"/>
          <w:sz w:val="17"/>
        </w:rPr>
        <w:t>报告日期：2026年5月14日  |  业绩发布：2026年5月6日  |  财务季度截止：2026年3月31日</w:t>
      </w:r>
    </w:p>
    <w:p>
      <w:pPr>
        <w:pBdr>
          <w:bottom w:val="single" w:sz="4" w:space="1" w:color="CCCCCC"/>
        </w:pBdr>
        <w:spacing w:after="160"/>
      </w:pPr>
    </w:p>
    <w:p>
      <w:pPr>
        <w:spacing w:before="240" w:after="80"/>
        <w:pBdr>
          <w:bottom w:val="single" w:sz="6" w:space="1" w:color="003DA5"/>
        </w:pBdr>
      </w:pPr>
      <w:r>
        <w:rPr>
          <w:rFonts w:ascii="黑体" w:hAnsi="黑体" w:eastAsia="黑体"/>
          <w:b/>
          <w:color w:val="003DA5"/>
          <w:sz w:val="26"/>
        </w:rPr>
        <w:t>核心要点</w:t>
      </w:r>
    </w:p>
    <w:p>
      <w:pPr>
        <w:pStyle w:val="ListBullet"/>
        <w:spacing w:after="40"/>
        <w:ind w:left="360"/>
      </w:pPr>
      <w:r>
        <w:rPr>
          <w:rFonts w:ascii="宋体" w:hAnsi="宋体" w:eastAsia="宋体"/>
          <w:sz w:val="20"/>
        </w:rPr>
        <w:t>营收18.1亿美元，超市场一致预期17.8亿美元约3,000万美元（+1.7%），创季度新高，同比增长21%。</w:t>
      </w:r>
    </w:p>
    <w:p>
      <w:pPr>
        <w:pStyle w:val="ListBullet"/>
        <w:spacing w:after="40"/>
        <w:ind w:left="360"/>
      </w:pPr>
      <w:r>
        <w:rPr>
          <w:rFonts w:ascii="宋体" w:hAnsi="宋体" w:eastAsia="宋体"/>
          <w:sz w:val="20"/>
        </w:rPr>
        <w:t>Non-GAAP每股收益1.41美元，超一致预期1.39美元0.02美元（+1.4%），同比增长55%，受益于经营杠杆。</w:t>
      </w:r>
    </w:p>
    <w:p>
      <w:pPr>
        <w:pStyle w:val="ListBullet"/>
        <w:spacing w:after="40"/>
        <w:ind w:left="360"/>
      </w:pPr>
      <w:r>
        <w:rPr>
          <w:rFonts w:ascii="宋体" w:hAnsi="宋体" w:eastAsia="宋体"/>
          <w:sz w:val="20"/>
        </w:rPr>
        <w:t>数据中心与通信部门同比大增36%至约13.6亿美元，占总收入75%，受800G/1.6T光模块放量及AI基础设施需求驱动。</w:t>
      </w:r>
    </w:p>
    <w:p>
      <w:pPr>
        <w:pStyle w:val="ListBullet"/>
        <w:spacing w:after="40"/>
        <w:ind w:left="360"/>
      </w:pPr>
      <w:r>
        <w:rPr>
          <w:rFonts w:ascii="宋体" w:hAnsi="宋体" w:eastAsia="宋体"/>
          <w:sz w:val="20"/>
        </w:rPr>
        <w:t>英伟达战略合作：Q3收到20亿美元股权投资；获得数十亿美元多年期采购承诺，涵盖激光器、CPO及光学元器件。</w:t>
      </w:r>
    </w:p>
    <w:p>
      <w:pPr>
        <w:pStyle w:val="ListBullet"/>
        <w:spacing w:after="40"/>
        <w:ind w:left="360"/>
      </w:pPr>
      <w:r>
        <w:rPr>
          <w:rFonts w:ascii="宋体" w:hAnsi="宋体" w:eastAsia="宋体"/>
          <w:sz w:val="20"/>
        </w:rPr>
        <w:t>Q4 FY2026指引：营收19.1亿–20.5亿美元（中值19.8亿），Non-GAAP每股收益1.52–1.72美元，预示持续双位数环比加速增长。</w:t>
      </w:r>
    </w:p>
    <w:p>
      <w:pPr>
        <w:pStyle w:val="ListBullet"/>
        <w:spacing w:after="40"/>
        <w:ind w:left="360"/>
      </w:pPr>
      <w:r>
        <w:rPr>
          <w:rFonts w:ascii="宋体" w:hAnsi="宋体" w:eastAsia="宋体"/>
          <w:color w:val="1E8A44"/>
          <w:sz w:val="20"/>
        </w:rPr>
        <w:t>杠杆率从1.7x骤降至0.5x，英伟达入股资金到账后资产负债表已成竞争优势。</w:t>
      </w:r>
    </w:p>
    <w:p>
      <w:pPr>
        <w:spacing w:before="240" w:after="80"/>
        <w:pBdr>
          <w:bottom w:val="single" w:sz="6" w:space="1" w:color="003DA5"/>
        </w:pBdr>
      </w:pPr>
      <w:r>
        <w:rPr>
          <w:rFonts w:ascii="黑体" w:hAnsi="黑体" w:eastAsia="黑体"/>
          <w:b/>
          <w:color w:val="003DA5"/>
          <w:sz w:val="26"/>
        </w:rPr>
        <w:t>业绩概览</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指标</w:t>
            </w:r>
          </w:p>
        </w:tc>
        <w:tc>
          <w:tcPr>
            <w:tcW w:type="dxa" w:w="1560"/>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Q3 FY26 实际</w:t>
            </w:r>
          </w:p>
        </w:tc>
        <w:tc>
          <w:tcPr>
            <w:tcW w:type="dxa" w:w="1560"/>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一致预期</w:t>
            </w:r>
          </w:p>
        </w:tc>
        <w:tc>
          <w:tcPr>
            <w:tcW w:type="dxa" w:w="1560"/>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超预期幅度</w:t>
            </w:r>
          </w:p>
        </w:tc>
        <w:tc>
          <w:tcPr>
            <w:tcW w:type="dxa" w:w="1560"/>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Q3 FY25</w:t>
            </w:r>
          </w:p>
        </w:tc>
        <w:tc>
          <w:tcPr>
            <w:tcW w:type="dxa" w:w="1560"/>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同比变化</w:t>
            </w:r>
          </w:p>
        </w:tc>
      </w:tr>
      <w:tr>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营收</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$18.1亿</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$17.8亿</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+1.7%</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$15.0亿</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+21.0%</w:t>
            </w:r>
          </w:p>
        </w:tc>
      </w:tr>
      <w:tr>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EPS</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$1.41</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$1.39</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+$0.02</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$0.91</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+55.0%</w:t>
            </w:r>
          </w:p>
        </w:tc>
      </w:tr>
      <w:tr>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GAAP EPS</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$0.97</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$0.38</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+155%</w:t>
            </w:r>
          </w:p>
        </w:tc>
      </w:tr>
      <w:tr>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Non-GAAP毛利率</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39.6%</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~39.2%</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+40bps</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38.1%</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+150bps</w:t>
            </w:r>
          </w:p>
        </w:tc>
      </w:tr>
      <w:tr>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Non-GAAP经营利润率</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20.3%</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18.7%</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+160bps</w:t>
            </w:r>
          </w:p>
        </w:tc>
      </w:tr>
      <w:tr>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Non-GAAP经营利润</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$3.66亿</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$2.79亿</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+31.1%</w:t>
            </w:r>
          </w:p>
        </w:tc>
      </w:tr>
    </w:tbl>
    <w:p/>
    <w:p>
      <w:pPr>
        <w:jc w:val="center"/>
      </w:pPr>
      <w:r>
        <w:drawing>
          <wp:inline xmlns:a="http://schemas.openxmlformats.org/drawingml/2006/main" xmlns:pic="http://schemas.openxmlformats.org/drawingml/2006/picture">
            <wp:extent cx="5943600" cy="2945067"/>
            <wp:docPr id="1" name="Picture 1"/>
            <wp:cNvGraphicFramePr>
              <a:graphicFrameLocks noChangeAspect="1"/>
            </wp:cNvGraphicFramePr>
            <a:graphic>
              <a:graphicData uri="http://schemas.openxmlformats.org/drawingml/2006/picture">
                <pic:pic>
                  <pic:nvPicPr>
                    <pic:cNvPr id="0" name="cohr_chart5_beat_miss.png"/>
                    <pic:cNvPicPr/>
                  </pic:nvPicPr>
                  <pic:blipFill>
                    <a:blip r:embed="rId9"/>
                    <a:stretch>
                      <a:fillRect/>
                    </a:stretch>
                  </pic:blipFill>
                  <pic:spPr>
                    <a:xfrm>
                      <a:off x="0" y="0"/>
                      <a:ext cx="5943600" cy="2945067"/>
                    </a:xfrm>
                    <a:prstGeom prst="rect"/>
                  </pic:spPr>
                </pic:pic>
              </a:graphicData>
            </a:graphic>
          </wp:inline>
        </w:drawing>
      </w:r>
    </w:p>
    <w:p>
      <w:pPr>
        <w:spacing w:after="120"/>
        <w:jc w:val="center"/>
      </w:pPr>
      <w:r>
        <w:rPr>
          <w:i/>
          <w:color w:val="8E8E93"/>
          <w:sz w:val="17"/>
        </w:rPr>
        <w:t>图1：Q3 FY2026业绩 vs. 市场一致预期</w:t>
      </w:r>
    </w:p>
    <w:p>
      <w:r>
        <w:br w:type="page"/>
      </w:r>
    </w:p>
    <w:p>
      <w:r>
        <w:rPr>
          <w:rFonts w:ascii="黑体" w:hAnsi="黑体" w:eastAsia="黑体"/>
          <w:b/>
          <w:color w:val="003DA5"/>
          <w:sz w:val="36"/>
        </w:rPr>
        <w:t>详细业绩分析</w:t>
      </w:r>
    </w:p>
    <w:p>
      <w:pPr>
        <w:spacing w:before="240" w:after="80"/>
        <w:pBdr>
          <w:bottom w:val="single" w:sz="6" w:space="1" w:color="003DA5"/>
        </w:pBdr>
      </w:pPr>
      <w:r>
        <w:rPr>
          <w:rFonts w:ascii="黑体" w:hAnsi="黑体" w:eastAsia="黑体"/>
          <w:b/>
          <w:color w:val="003DA5"/>
          <w:sz w:val="26"/>
        </w:rPr>
        <w:t>营收 — AI数据中心需求驱动的创纪录季度</w:t>
      </w:r>
    </w:p>
    <w:p>
      <w:pPr>
        <w:spacing w:after="80"/>
      </w:pPr>
      <w:r>
        <w:rPr>
          <w:rFonts w:ascii="宋体" w:hAnsi="宋体" w:eastAsia="宋体"/>
          <w:b w:val="0"/>
          <w:i w:val="0"/>
          <w:sz w:val="20"/>
        </w:rPr>
        <w:t>Coherent在Q3 FY2026实现创纪录季度营收18.1亿美元，超过市场一致预期17.8亿美元约3,000万美元（+1.7%）。营收同比增长21%，环比增长7.1%，连续第四个季度实现环比加速增长。按pro forma口径计算，同比增速约为27%，充分体现了有机增长的强劲动能。</w:t>
      </w:r>
    </w:p>
    <w:p>
      <w:pPr>
        <w:spacing w:after="80"/>
      </w:pPr>
      <w:r>
        <w:rPr>
          <w:rFonts w:ascii="宋体" w:hAnsi="宋体" w:eastAsia="宋体"/>
          <w:b w:val="0"/>
          <w:i w:val="0"/>
          <w:sz w:val="20"/>
        </w:rPr>
        <w:t>营收超预期主要由数据中心与通信部门贡献，该部门收入约13.6亿美元（同比+36%），目前占总收入的75%。其中，数据中心相关收入环比增长13%、同比增长37%；通信相关收入环比增长16%、同比增长60%。1.6T光模块首次对环比增长产生实质性贡献，叠加已有的800G收入流。</w:t>
      </w:r>
    </w:p>
    <w:p>
      <w:pPr>
        <w:jc w:val="center"/>
      </w:pPr>
      <w:r>
        <w:drawing>
          <wp:inline xmlns:a="http://schemas.openxmlformats.org/drawingml/2006/main" xmlns:pic="http://schemas.openxmlformats.org/drawingml/2006/picture">
            <wp:extent cx="5943600" cy="2947276"/>
            <wp:docPr id="2" name="Picture 2"/>
            <wp:cNvGraphicFramePr>
              <a:graphicFrameLocks noChangeAspect="1"/>
            </wp:cNvGraphicFramePr>
            <a:graphic>
              <a:graphicData uri="http://schemas.openxmlformats.org/drawingml/2006/picture">
                <pic:pic>
                  <pic:nvPicPr>
                    <pic:cNvPr id="0" name="cohr_chart1_revenue.png"/>
                    <pic:cNvPicPr/>
                  </pic:nvPicPr>
                  <pic:blipFill>
                    <a:blip r:embed="rId10"/>
                    <a:stretch>
                      <a:fillRect/>
                    </a:stretch>
                  </pic:blipFill>
                  <pic:spPr>
                    <a:xfrm>
                      <a:off x="0" y="0"/>
                      <a:ext cx="5943600" cy="2947276"/>
                    </a:xfrm>
                    <a:prstGeom prst="rect"/>
                  </pic:spPr>
                </pic:pic>
              </a:graphicData>
            </a:graphic>
          </wp:inline>
        </w:drawing>
      </w:r>
    </w:p>
    <w:p>
      <w:pPr>
        <w:spacing w:after="120"/>
        <w:jc w:val="center"/>
      </w:pPr>
      <w:r>
        <w:rPr>
          <w:i/>
          <w:color w:val="8E8E93"/>
          <w:sz w:val="17"/>
        </w:rPr>
        <w:t>图2：季度营收走势（Q4 FY2024 – Q3 FY2026）</w:t>
      </w:r>
    </w:p>
    <w:p>
      <w:pPr>
        <w:spacing w:before="240" w:after="80"/>
        <w:pBdr>
          <w:bottom w:val="single" w:sz="6" w:space="1" w:color="003DA5"/>
        </w:pBdr>
      </w:pPr>
      <w:r>
        <w:rPr>
          <w:rFonts w:ascii="黑体" w:hAnsi="黑体" w:eastAsia="黑体"/>
          <w:b/>
          <w:color w:val="003DA5"/>
          <w:sz w:val="26"/>
        </w:rPr>
        <w:t>分部业绩</w:t>
      </w:r>
    </w:p>
    <w:p>
      <w:pPr>
        <w:spacing w:before="160" w:after="40"/>
      </w:pPr>
      <w:r>
        <w:rPr>
          <w:rFonts w:ascii="黑体" w:hAnsi="黑体" w:eastAsia="黑体"/>
          <w:b/>
          <w:color w:val="4A90D9"/>
          <w:sz w:val="22"/>
        </w:rPr>
        <w:t>数据中心与通信（约13.6亿美元，占比75%）</w:t>
      </w:r>
    </w:p>
    <w:p>
      <w:pPr>
        <w:spacing w:after="80"/>
      </w:pPr>
      <w:r>
        <w:rPr>
          <w:rFonts w:ascii="宋体" w:hAnsi="宋体" w:eastAsia="宋体"/>
          <w:b w:val="0"/>
          <w:i w:val="0"/>
          <w:sz w:val="20"/>
        </w:rPr>
        <w:t>该部门是公司的主要增长引擎，受益于超大规模AI训练集群对光互连的强劲需求。管理层表示客户订单已延伸至2028年日历年，长期协议覆盖至本十年末。Coherent的磷化铟产能在本季度提前翻倍，6英寸晶圆产线扩张持续推进。英伟达合作提供了显著的需求可见性，通过涵盖高功率CW激光器、外部激光源模块、光纤阵列单元及共封装光学（CPO）组件的数十亿美元多年期采购承诺。</w:t>
      </w:r>
    </w:p>
    <w:p>
      <w:pPr>
        <w:spacing w:before="160" w:after="40"/>
      </w:pPr>
      <w:r>
        <w:rPr>
          <w:rFonts w:ascii="黑体" w:hAnsi="黑体" w:eastAsia="黑体"/>
          <w:b/>
          <w:color w:val="4A90D9"/>
          <w:sz w:val="22"/>
        </w:rPr>
        <w:t>工业部门（4.44亿美元，占比25%）</w:t>
      </w:r>
    </w:p>
    <w:p>
      <w:pPr>
        <w:spacing w:after="80"/>
      </w:pPr>
      <w:r>
        <w:rPr>
          <w:rFonts w:ascii="宋体" w:hAnsi="宋体" w:eastAsia="宋体"/>
          <w:b w:val="0"/>
          <w:i w:val="0"/>
          <w:sz w:val="20"/>
        </w:rPr>
        <w:t>工业部门同比下降16%，反映了更广泛工业终端市场的持续疲软。管理层将该部门定性为稳定但非近期增长核心。公司正战略性地将产品组合和制造产能向更高增长的数据中心应用重新调配。</w:t>
      </w:r>
    </w:p>
    <w:p>
      <w:pPr>
        <w:jc w:val="center"/>
      </w:pPr>
      <w:r>
        <w:drawing>
          <wp:inline xmlns:a="http://schemas.openxmlformats.org/drawingml/2006/main" xmlns:pic="http://schemas.openxmlformats.org/drawingml/2006/picture">
            <wp:extent cx="5943600" cy="2509224"/>
            <wp:docPr id="3" name="Picture 3"/>
            <wp:cNvGraphicFramePr>
              <a:graphicFrameLocks noChangeAspect="1"/>
            </wp:cNvGraphicFramePr>
            <a:graphic>
              <a:graphicData uri="http://schemas.openxmlformats.org/drawingml/2006/picture">
                <pic:pic>
                  <pic:nvPicPr>
                    <pic:cNvPr id="0" name="cohr_chart3_segments.png"/>
                    <pic:cNvPicPr/>
                  </pic:nvPicPr>
                  <pic:blipFill>
                    <a:blip r:embed="rId11"/>
                    <a:stretch>
                      <a:fillRect/>
                    </a:stretch>
                  </pic:blipFill>
                  <pic:spPr>
                    <a:xfrm>
                      <a:off x="0" y="0"/>
                      <a:ext cx="5943600" cy="2509224"/>
                    </a:xfrm>
                    <a:prstGeom prst="rect"/>
                  </pic:spPr>
                </pic:pic>
              </a:graphicData>
            </a:graphic>
          </wp:inline>
        </w:drawing>
      </w:r>
    </w:p>
    <w:p>
      <w:pPr>
        <w:spacing w:after="120"/>
        <w:jc w:val="center"/>
      </w:pPr>
      <w:r>
        <w:rPr>
          <w:i/>
          <w:color w:val="8E8E93"/>
          <w:sz w:val="17"/>
        </w:rPr>
        <w:t>图3：收入结构与分部同比增长 — Q3 FY2026</w:t>
      </w:r>
    </w:p>
    <w:p>
      <w:pPr>
        <w:jc w:val="center"/>
      </w:pPr>
      <w:r>
        <w:drawing>
          <wp:inline xmlns:a="http://schemas.openxmlformats.org/drawingml/2006/main" xmlns:pic="http://schemas.openxmlformats.org/drawingml/2006/picture">
            <wp:extent cx="5943600" cy="2947276"/>
            <wp:docPr id="4" name="Picture 4"/>
            <wp:cNvGraphicFramePr>
              <a:graphicFrameLocks noChangeAspect="1"/>
            </wp:cNvGraphicFramePr>
            <a:graphic>
              <a:graphicData uri="http://schemas.openxmlformats.org/drawingml/2006/picture">
                <pic:pic>
                  <pic:nvPicPr>
                    <pic:cNvPr id="0" name="cohr_chart10_datacenter.png"/>
                    <pic:cNvPicPr/>
                  </pic:nvPicPr>
                  <pic:blipFill>
                    <a:blip r:embed="rId12"/>
                    <a:stretch>
                      <a:fillRect/>
                    </a:stretch>
                  </pic:blipFill>
                  <pic:spPr>
                    <a:xfrm>
                      <a:off x="0" y="0"/>
                      <a:ext cx="5943600" cy="2947276"/>
                    </a:xfrm>
                    <a:prstGeom prst="rect"/>
                  </pic:spPr>
                </pic:pic>
              </a:graphicData>
            </a:graphic>
          </wp:inline>
        </w:drawing>
      </w:r>
    </w:p>
    <w:p>
      <w:pPr>
        <w:spacing w:after="120"/>
        <w:jc w:val="center"/>
      </w:pPr>
      <w:r>
        <w:rPr>
          <w:i/>
          <w:color w:val="8E8E93"/>
          <w:sz w:val="17"/>
        </w:rPr>
        <w:t>图4：数据中心与通信收入增长轨迹</w:t>
      </w:r>
    </w:p>
    <w:p>
      <w:r>
        <w:br w:type="page"/>
      </w:r>
    </w:p>
    <w:p>
      <w:r>
        <w:rPr>
          <w:rFonts w:ascii="黑体" w:hAnsi="黑体" w:eastAsia="黑体"/>
          <w:b/>
          <w:color w:val="003DA5"/>
          <w:sz w:val="36"/>
        </w:rPr>
        <w:t>利润率、盈利能力与业绩指引</w:t>
      </w:r>
    </w:p>
    <w:p>
      <w:pPr>
        <w:spacing w:before="240" w:after="80"/>
        <w:pBdr>
          <w:bottom w:val="single" w:sz="6" w:space="1" w:color="003DA5"/>
        </w:pBdr>
      </w:pPr>
      <w:r>
        <w:rPr>
          <w:rFonts w:ascii="黑体" w:hAnsi="黑体" w:eastAsia="黑体"/>
          <w:b/>
          <w:color w:val="003DA5"/>
          <w:sz w:val="26"/>
        </w:rPr>
        <w:t>利润率扩张 — 连续六个季度改善</w:t>
      </w:r>
    </w:p>
    <w:p>
      <w:pPr>
        <w:spacing w:after="80"/>
      </w:pPr>
      <w:r>
        <w:rPr>
          <w:rFonts w:ascii="宋体" w:hAnsi="宋体" w:eastAsia="宋体"/>
          <w:b w:val="0"/>
          <w:i w:val="0"/>
          <w:sz w:val="20"/>
        </w:rPr>
        <w:t>Non-GAAP毛利率扩张至39.6%，同比提升150个基点，环比提升60个基点。GAAP毛利率达37.7%，同比提升243个基点。持续的利润率扩张反映了产品组合向更高毛利的AI数据中心光学组件倾斜、磷化铟平台的制造规模效益，以及严格的成本管控。</w:t>
      </w:r>
    </w:p>
    <w:p>
      <w:pPr>
        <w:spacing w:after="80"/>
      </w:pPr>
      <w:r>
        <w:rPr>
          <w:rFonts w:ascii="宋体" w:hAnsi="宋体" w:eastAsia="宋体"/>
          <w:b w:val="0"/>
          <w:i w:val="0"/>
          <w:sz w:val="20"/>
        </w:rPr>
        <w:t>Non-GAAP经营利润率扩张至20.3%，同比提升163个基点。Non-GAAP经营利润达3.66亿美元，同比增长31.1%。公司展现出显著的经营杠杆效应，运营费用增速大幅慢于收入增速。</w:t>
      </w:r>
    </w:p>
    <w:p>
      <w:pPr>
        <w:jc w:val="center"/>
      </w:pPr>
      <w:r>
        <w:drawing>
          <wp:inline xmlns:a="http://schemas.openxmlformats.org/drawingml/2006/main" xmlns:pic="http://schemas.openxmlformats.org/drawingml/2006/picture">
            <wp:extent cx="5943600" cy="2947276"/>
            <wp:docPr id="5" name="Picture 5"/>
            <wp:cNvGraphicFramePr>
              <a:graphicFrameLocks noChangeAspect="1"/>
            </wp:cNvGraphicFramePr>
            <a:graphic>
              <a:graphicData uri="http://schemas.openxmlformats.org/drawingml/2006/picture">
                <pic:pic>
                  <pic:nvPicPr>
                    <pic:cNvPr id="0" name="cohr_chart4_margins.png"/>
                    <pic:cNvPicPr/>
                  </pic:nvPicPr>
                  <pic:blipFill>
                    <a:blip r:embed="rId13"/>
                    <a:stretch>
                      <a:fillRect/>
                    </a:stretch>
                  </pic:blipFill>
                  <pic:spPr>
                    <a:xfrm>
                      <a:off x="0" y="0"/>
                      <a:ext cx="5943600" cy="2947276"/>
                    </a:xfrm>
                    <a:prstGeom prst="rect"/>
                  </pic:spPr>
                </pic:pic>
              </a:graphicData>
            </a:graphic>
          </wp:inline>
        </w:drawing>
      </w:r>
    </w:p>
    <w:p>
      <w:pPr>
        <w:spacing w:after="120"/>
        <w:jc w:val="center"/>
      </w:pPr>
      <w:r>
        <w:rPr>
          <w:i/>
          <w:color w:val="8E8E93"/>
          <w:sz w:val="17"/>
        </w:rPr>
        <w:t>图5：利润率走势 — 持续扩张</w:t>
      </w:r>
    </w:p>
    <w:p>
      <w:pPr>
        <w:spacing w:before="240" w:after="80"/>
        <w:pBdr>
          <w:bottom w:val="single" w:sz="6" w:space="1" w:color="003DA5"/>
        </w:pBdr>
      </w:pPr>
      <w:r>
        <w:rPr>
          <w:rFonts w:ascii="黑体" w:hAnsi="黑体" w:eastAsia="黑体"/>
          <w:b/>
          <w:color w:val="003DA5"/>
          <w:sz w:val="26"/>
        </w:rPr>
        <w:t>前三季度（YTD）业绩</w:t>
      </w:r>
    </w:p>
    <w:p>
      <w:pPr>
        <w:spacing w:after="80"/>
      </w:pPr>
      <w:r>
        <w:rPr>
          <w:rFonts w:ascii="宋体" w:hAnsi="宋体" w:eastAsia="宋体"/>
          <w:b w:val="0"/>
          <w:i w:val="0"/>
          <w:sz w:val="20"/>
        </w:rPr>
        <w:t>截至2026年3月31日的九个月内，Coherent实现营收50.7亿美元（同比+18.5%），GAAP摊薄每股收益2.92美元（去年同期为0.30美元），Non-GAAP摊薄每股收益3.86美元（同比+52.6%）。GAAP盈利能力的大幅改善既反映了经营面的提升，也体现了与前II-VI收购相关的重组/整合费用减少。</w:t>
      </w:r>
    </w:p>
    <w:p>
      <w:pPr>
        <w:spacing w:before="240" w:after="80"/>
        <w:pBdr>
          <w:bottom w:val="single" w:sz="6" w:space="1" w:color="003DA5"/>
        </w:pBdr>
      </w:pPr>
      <w:r>
        <w:rPr>
          <w:rFonts w:ascii="黑体" w:hAnsi="黑体" w:eastAsia="黑体"/>
          <w:b/>
          <w:color w:val="003DA5"/>
          <w:sz w:val="26"/>
        </w:rPr>
        <w:t>Q4 FY2026 业绩指引</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指标</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Q4 FY26 指引（低值）</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Q4 FY26 指引（高值）</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中值</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隐含环比</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营收</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$19.1亿</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$20.5亿</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$19.8亿</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+9.4%</w:t>
            </w:r>
          </w:p>
        </w:tc>
      </w:tr>
      <w:tr>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Non-GAAP毛利率</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39.0%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41.0%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40.0%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+40bps</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Non-GAAP运营费用</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$3.60亿</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$3.80亿</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$3.70亿</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r>
      <w:tr>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EPS</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$1.52</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$1.72</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$1.62</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+14.9%</w:t>
            </w:r>
          </w:p>
        </w:tc>
      </w:tr>
    </w:tbl>
    <w:p/>
    <w:p>
      <w:pPr>
        <w:spacing w:after="80"/>
      </w:pPr>
      <w:r>
        <w:rPr>
          <w:rFonts w:ascii="宋体" w:hAnsi="宋体" w:eastAsia="宋体"/>
          <w:b w:val="0"/>
          <w:i w:val="0"/>
          <w:sz w:val="20"/>
        </w:rPr>
        <w:t>Q4指引意味着持续加速，营收中值19.8亿美元代表约9.4%的环比增长及显著的同比扩张。隐含的FY2026全年营收约为70.5亿美元（同比+21%），隐含的全年Non-GAAP每股收益约为5.48美元。</w:t>
      </w:r>
    </w:p>
    <w:p>
      <w:pPr>
        <w:spacing w:after="80"/>
      </w:pPr>
      <w:r>
        <w:rPr>
          <w:rFonts w:ascii="宋体" w:hAnsi="宋体" w:eastAsia="宋体"/>
          <w:b w:val="0"/>
          <w:i w:val="0"/>
          <w:sz w:val="20"/>
        </w:rPr>
        <w:t>Non-GAAP毛利率指引39–41%表明中值可能突破40%，将创下新高。管理层指出Q4资本支出将进一步增加，以支持英伟达合作及更广泛的光模块需求。</w:t>
      </w:r>
    </w:p>
    <w:p>
      <w:pPr>
        <w:jc w:val="center"/>
      </w:pPr>
      <w:r>
        <w:drawing>
          <wp:inline xmlns:a="http://schemas.openxmlformats.org/drawingml/2006/main" xmlns:pic="http://schemas.openxmlformats.org/drawingml/2006/picture">
            <wp:extent cx="5943600" cy="2929441"/>
            <wp:docPr id="6" name="Picture 6"/>
            <wp:cNvGraphicFramePr>
              <a:graphicFrameLocks noChangeAspect="1"/>
            </wp:cNvGraphicFramePr>
            <a:graphic>
              <a:graphicData uri="http://schemas.openxmlformats.org/drawingml/2006/picture">
                <pic:pic>
                  <pic:nvPicPr>
                    <pic:cNvPr id="0" name="cohr_chart6_guidance.png"/>
                    <pic:cNvPicPr/>
                  </pic:nvPicPr>
                  <pic:blipFill>
                    <a:blip r:embed="rId14"/>
                    <a:stretch>
                      <a:fillRect/>
                    </a:stretch>
                  </pic:blipFill>
                  <pic:spPr>
                    <a:xfrm>
                      <a:off x="0" y="0"/>
                      <a:ext cx="5943600" cy="2929441"/>
                    </a:xfrm>
                    <a:prstGeom prst="rect"/>
                  </pic:spPr>
                </pic:pic>
              </a:graphicData>
            </a:graphic>
          </wp:inline>
        </w:drawing>
      </w:r>
    </w:p>
    <w:p>
      <w:pPr>
        <w:spacing w:after="120"/>
        <w:jc w:val="center"/>
      </w:pPr>
      <w:r>
        <w:rPr>
          <w:i/>
          <w:color w:val="8E8E93"/>
          <w:sz w:val="17"/>
        </w:rPr>
        <w:t>图6：FY2026营收轨迹与Q4指引</w:t>
      </w:r>
    </w:p>
    <w:p>
      <w:pPr>
        <w:jc w:val="center"/>
      </w:pPr>
      <w:r>
        <w:drawing>
          <wp:inline xmlns:a="http://schemas.openxmlformats.org/drawingml/2006/main" xmlns:pic="http://schemas.openxmlformats.org/drawingml/2006/picture">
            <wp:extent cx="5943600" cy="2079339"/>
            <wp:docPr id="7" name="Picture 7"/>
            <wp:cNvGraphicFramePr>
              <a:graphicFrameLocks noChangeAspect="1"/>
            </wp:cNvGraphicFramePr>
            <a:graphic>
              <a:graphicData uri="http://schemas.openxmlformats.org/drawingml/2006/picture">
                <pic:pic>
                  <pic:nvPicPr>
                    <pic:cNvPr id="0" name="cohr_chart9_yoy.png"/>
                    <pic:cNvPicPr/>
                  </pic:nvPicPr>
                  <pic:blipFill>
                    <a:blip r:embed="rId15"/>
                    <a:stretch>
                      <a:fillRect/>
                    </a:stretch>
                  </pic:blipFill>
                  <pic:spPr>
                    <a:xfrm>
                      <a:off x="0" y="0"/>
                      <a:ext cx="5943600" cy="2079339"/>
                    </a:xfrm>
                    <a:prstGeom prst="rect"/>
                  </pic:spPr>
                </pic:pic>
              </a:graphicData>
            </a:graphic>
          </wp:inline>
        </w:drawing>
      </w:r>
    </w:p>
    <w:p>
      <w:pPr>
        <w:spacing w:after="120"/>
        <w:jc w:val="center"/>
      </w:pPr>
      <w:r>
        <w:rPr>
          <w:i/>
          <w:color w:val="8E8E93"/>
          <w:sz w:val="17"/>
        </w:rPr>
        <w:t>图7：关键指标同比对比</w:t>
      </w:r>
    </w:p>
    <w:p>
      <w:r>
        <w:br w:type="page"/>
      </w:r>
    </w:p>
    <w:p>
      <w:r>
        <w:rPr>
          <w:rFonts w:ascii="黑体" w:hAnsi="黑体" w:eastAsia="黑体"/>
          <w:b/>
          <w:color w:val="003DA5"/>
          <w:sz w:val="36"/>
        </w:rPr>
        <w:t>投资论点更新</w:t>
      </w:r>
    </w:p>
    <w:p>
      <w:pPr>
        <w:spacing w:before="240" w:after="80"/>
        <w:pBdr>
          <w:bottom w:val="single" w:sz="6" w:space="1" w:color="003DA5"/>
        </w:pBdr>
      </w:pPr>
      <w:r>
        <w:rPr>
          <w:rFonts w:ascii="黑体" w:hAnsi="黑体" w:eastAsia="黑体"/>
          <w:b/>
          <w:color w:val="003DA5"/>
          <w:sz w:val="26"/>
        </w:rPr>
        <w:t>英伟达合作 — 变革性催化剂</w:t>
      </w:r>
    </w:p>
    <w:p>
      <w:pPr>
        <w:spacing w:after="80"/>
      </w:pPr>
      <w:r>
        <w:rPr>
          <w:rFonts w:ascii="宋体" w:hAnsi="宋体" w:eastAsia="宋体"/>
          <w:b w:val="0"/>
          <w:i w:val="0"/>
          <w:sz w:val="20"/>
        </w:rPr>
        <w:t>本季度最重要的事件是英伟达战略合作的落地，该合作于2026年3月2日宣布。英伟达向Coherent投资20亿美元股权，并承诺签署数十亿美元多年期采购协议，采购Coherent的先进激光器和光通信产品。该合作具有多重战略意义：</w:t>
      </w:r>
    </w:p>
    <w:p>
      <w:pPr>
        <w:pStyle w:val="ListBullet"/>
        <w:spacing w:after="40"/>
        <w:ind w:left="360"/>
      </w:pPr>
      <w:r>
        <w:rPr>
          <w:rFonts w:ascii="宋体" w:hAnsi="宋体" w:eastAsia="宋体"/>
          <w:sz w:val="20"/>
        </w:rPr>
        <w:t>需求可见性：客户订单延伸至2028年日历年，长期协议覆盖至本十年末，为光子学公司提供了前所未有的收入可见性。</w:t>
      </w:r>
    </w:p>
    <w:p>
      <w:pPr>
        <w:pStyle w:val="ListBullet"/>
        <w:spacing w:after="40"/>
        <w:ind w:left="360"/>
      </w:pPr>
      <w:r>
        <w:rPr>
          <w:rFonts w:ascii="宋体" w:hAnsi="宋体" w:eastAsia="宋体"/>
          <w:sz w:val="20"/>
        </w:rPr>
        <w:t>CPO拐点：Coherent将共封装光学（CPO）可服务潜在市场规模估值上调至150亿美元。规模化CPO收入将于CY2026下半年开始，升级版CPO收入将于CY2027下半年启动。</w:t>
      </w:r>
    </w:p>
    <w:p>
      <w:pPr>
        <w:pStyle w:val="ListBullet"/>
        <w:spacing w:after="40"/>
        <w:ind w:left="360"/>
      </w:pPr>
      <w:r>
        <w:rPr>
          <w:rFonts w:ascii="宋体" w:hAnsi="宋体" w:eastAsia="宋体"/>
          <w:sz w:val="20"/>
        </w:rPr>
        <w:t>资产负债表转型：20亿美元股权投资使杠杆率从1.7x降至0.5x，为有机产能扩张提供了充足的财务灵活性，无需增加额外债务。</w:t>
      </w:r>
    </w:p>
    <w:p>
      <w:pPr>
        <w:pStyle w:val="ListBullet"/>
        <w:spacing w:after="40"/>
        <w:ind w:left="360"/>
      </w:pPr>
      <w:r>
        <w:rPr>
          <w:rFonts w:ascii="宋体" w:hAnsi="宋体" w:eastAsia="宋体"/>
          <w:sz w:val="20"/>
        </w:rPr>
        <w:t>产能承诺：计划在CY2026将产能翻倍，此后再翻倍，几乎所有扩张均在6英寸晶圆产线上进行，用于先进磷化铟生产。</w:t>
      </w:r>
    </w:p>
    <w:p>
      <w:pPr>
        <w:spacing w:before="240" w:after="80"/>
        <w:pBdr>
          <w:bottom w:val="single" w:sz="6" w:space="1" w:color="003DA5"/>
        </w:pBdr>
      </w:pPr>
      <w:r>
        <w:rPr>
          <w:rFonts w:ascii="黑体" w:hAnsi="黑体" w:eastAsia="黑体"/>
          <w:b/>
          <w:color w:val="003DA5"/>
          <w:sz w:val="26"/>
        </w:rPr>
        <w:t>论点强化 — 维持「增持」评级的理由</w:t>
      </w:r>
    </w:p>
    <w:p>
      <w:pPr>
        <w:spacing w:after="80"/>
      </w:pPr>
      <w:r>
        <w:rPr>
          <w:rFonts w:ascii="宋体" w:hAnsi="宋体" w:eastAsia="宋体"/>
          <w:b w:val="0"/>
          <w:i w:val="0"/>
          <w:sz w:val="20"/>
        </w:rPr>
        <w:t>Q3业绩进一步强化了我们的投资论点。Coherent是为数不多的能够提供光信号全链路垂直整合的光子学平台——从激光外延和芯片制造到模块封装和光模块组装。这使公司成为AI算力基础设施建设的关键供应商。核心论点：</w:t>
      </w:r>
    </w:p>
    <w:p>
      <w:pPr>
        <w:pStyle w:val="ListBullet"/>
        <w:spacing w:after="40"/>
        <w:ind w:left="360"/>
      </w:pPr>
      <w:r>
        <w:rPr>
          <w:rFonts w:ascii="宋体" w:hAnsi="宋体" w:eastAsia="宋体"/>
          <w:sz w:val="20"/>
        </w:rPr>
        <w:t>长期AI需求驱动：超大规模资本支出在AI训练和推理基础设施上持续加速，每一代新GPU都需要更多的光学带宽。</w:t>
      </w:r>
    </w:p>
    <w:p>
      <w:pPr>
        <w:pStyle w:val="ListBullet"/>
        <w:spacing w:after="40"/>
        <w:ind w:left="360"/>
      </w:pPr>
      <w:r>
        <w:rPr>
          <w:rFonts w:ascii="宋体" w:hAnsi="宋体" w:eastAsia="宋体"/>
          <w:sz w:val="20"/>
        </w:rPr>
        <w:t>技术护城河：Coherent的磷化铟垂直整合和CPO路线图提供了难以复制的差异化优势。</w:t>
      </w:r>
    </w:p>
    <w:p>
      <w:pPr>
        <w:pStyle w:val="ListBullet"/>
        <w:spacing w:after="40"/>
        <w:ind w:left="360"/>
      </w:pPr>
      <w:r>
        <w:rPr>
          <w:rFonts w:ascii="宋体" w:hAnsi="宋体" w:eastAsia="宋体"/>
          <w:sz w:val="20"/>
        </w:rPr>
        <w:t>盈利杠杆：Non-GAAP经营利润率20.3%仍有显著提升空间，随着制造利用率提升和产品组合向更高利润率的数据中心产品倾斜。</w:t>
      </w:r>
    </w:p>
    <w:p>
      <w:pPr>
        <w:pStyle w:val="ListBullet"/>
        <w:spacing w:after="40"/>
        <w:ind w:left="360"/>
      </w:pPr>
      <w:r>
        <w:rPr>
          <w:rFonts w:ascii="宋体" w:hAnsi="宋体" w:eastAsia="宋体"/>
          <w:sz w:val="20"/>
        </w:rPr>
        <w:t>估值上行空间：以~30x CY2027E市盈率计算，股价相对于纯AI基础设施同业仍有折价，尽管其AI相关收入占比日益提升。</w:t>
      </w:r>
    </w:p>
    <w:p>
      <w:pPr>
        <w:spacing w:before="240" w:after="80"/>
        <w:pBdr>
          <w:bottom w:val="single" w:sz="6" w:space="1" w:color="003DA5"/>
        </w:pBdr>
      </w:pPr>
      <w:r>
        <w:rPr>
          <w:rFonts w:ascii="黑体" w:hAnsi="黑体" w:eastAsia="黑体"/>
          <w:b/>
          <w:color w:val="003DA5"/>
          <w:sz w:val="26"/>
        </w:rPr>
        <w:t>主要风险</w:t>
      </w:r>
    </w:p>
    <w:p>
      <w:pPr>
        <w:pStyle w:val="ListBullet"/>
        <w:spacing w:after="40"/>
        <w:ind w:left="360"/>
      </w:pPr>
      <w:r>
        <w:rPr>
          <w:rFonts w:ascii="宋体" w:hAnsi="宋体" w:eastAsia="宋体"/>
          <w:sz w:val="20"/>
        </w:rPr>
        <w:t>客户集中度：英伟达合作虽具变革性，但增加了对单一客户的依赖。</w:t>
      </w:r>
    </w:p>
    <w:p>
      <w:pPr>
        <w:pStyle w:val="ListBullet"/>
        <w:spacing w:after="40"/>
        <w:ind w:left="360"/>
      </w:pPr>
      <w:r>
        <w:rPr>
          <w:rFonts w:ascii="宋体" w:hAnsi="宋体" w:eastAsia="宋体"/>
          <w:sz w:val="20"/>
        </w:rPr>
        <w:t>资本开支强度：加速产能投资（Q3达2.90亿美元，Q4将继续增加）可能短期内压制自由现金流。</w:t>
      </w:r>
    </w:p>
    <w:p>
      <w:pPr>
        <w:pStyle w:val="ListBullet"/>
        <w:spacing w:after="40"/>
        <w:ind w:left="360"/>
      </w:pPr>
      <w:r>
        <w:rPr>
          <w:rFonts w:ascii="宋体" w:hAnsi="宋体" w:eastAsia="宋体"/>
          <w:sz w:val="20"/>
        </w:rPr>
        <w:t>工业部门拖累：工业部门（同比-16%）仍是利润率的不利因素，可能面临进一步的周期性压力。</w:t>
      </w:r>
    </w:p>
    <w:p>
      <w:pPr>
        <w:pStyle w:val="ListBullet"/>
        <w:spacing w:after="40"/>
        <w:ind w:left="360"/>
      </w:pPr>
      <w:r>
        <w:rPr>
          <w:rFonts w:ascii="宋体" w:hAnsi="宋体" w:eastAsia="宋体"/>
          <w:sz w:val="20"/>
        </w:rPr>
        <w:t>执行风险：加速时间线下的产能翻倍引入了制造爬坡风险。</w:t>
      </w:r>
    </w:p>
    <w:p>
      <w:pPr>
        <w:pStyle w:val="ListBullet"/>
        <w:spacing w:after="40"/>
        <w:ind w:left="360"/>
      </w:pPr>
      <w:r>
        <w:rPr>
          <w:rFonts w:ascii="宋体" w:hAnsi="宋体" w:eastAsia="宋体"/>
          <w:sz w:val="20"/>
        </w:rPr>
        <w:t>股权稀释：英伟达20亿美元股权投资稀释了现有股东，尽管战略价值可能抵消稀释影响。</w:t>
      </w:r>
    </w:p>
    <w:p>
      <w:pPr>
        <w:jc w:val="center"/>
      </w:pPr>
      <w:r>
        <w:drawing>
          <wp:inline xmlns:a="http://schemas.openxmlformats.org/drawingml/2006/main" xmlns:pic="http://schemas.openxmlformats.org/drawingml/2006/picture">
            <wp:extent cx="5943600" cy="2947276"/>
            <wp:docPr id="8" name="Picture 8"/>
            <wp:cNvGraphicFramePr>
              <a:graphicFrameLocks noChangeAspect="1"/>
            </wp:cNvGraphicFramePr>
            <a:graphic>
              <a:graphicData uri="http://schemas.openxmlformats.org/drawingml/2006/picture">
                <pic:pic>
                  <pic:nvPicPr>
                    <pic:cNvPr id="0" name="cohr_chart2_eps.png"/>
                    <pic:cNvPicPr/>
                  </pic:nvPicPr>
                  <pic:blipFill>
                    <a:blip r:embed="rId16"/>
                    <a:stretch>
                      <a:fillRect/>
                    </a:stretch>
                  </pic:blipFill>
                  <pic:spPr>
                    <a:xfrm>
                      <a:off x="0" y="0"/>
                      <a:ext cx="5943600" cy="2947276"/>
                    </a:xfrm>
                    <a:prstGeom prst="rect"/>
                  </pic:spPr>
                </pic:pic>
              </a:graphicData>
            </a:graphic>
          </wp:inline>
        </w:drawing>
      </w:r>
    </w:p>
    <w:p>
      <w:pPr>
        <w:spacing w:after="120"/>
        <w:jc w:val="center"/>
      </w:pPr>
      <w:r>
        <w:rPr>
          <w:i/>
          <w:color w:val="8E8E93"/>
          <w:sz w:val="17"/>
        </w:rPr>
        <w:t>图8：Non-GAAP每股收益走势 — 盈利加速</w:t>
      </w:r>
    </w:p>
    <w:p>
      <w:r>
        <w:br w:type="page"/>
      </w:r>
    </w:p>
    <w:p>
      <w:r>
        <w:rPr>
          <w:rFonts w:ascii="黑体" w:hAnsi="黑体" w:eastAsia="黑体"/>
          <w:b/>
          <w:color w:val="003DA5"/>
          <w:sz w:val="36"/>
        </w:rPr>
        <w:t>估值与盈利预测更新</w:t>
      </w:r>
    </w:p>
    <w:p>
      <w:pPr>
        <w:spacing w:before="240" w:after="80"/>
        <w:pBdr>
          <w:bottom w:val="single" w:sz="6" w:space="1" w:color="003DA5"/>
        </w:pBdr>
      </w:pPr>
      <w:r>
        <w:rPr>
          <w:rFonts w:ascii="黑体" w:hAnsi="黑体" w:eastAsia="黑体"/>
          <w:b/>
          <w:color w:val="003DA5"/>
          <w:sz w:val="26"/>
        </w:rPr>
        <w:t>财务预测更新</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指标</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FY2025A</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FY2026E（旧）</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FY2026E（新）</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FY2027E</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营收（$B）</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$58.3亿</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$68.5亿</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$70.5亿</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$85.0亿</w:t>
            </w:r>
          </w:p>
        </w:tc>
      </w:tr>
      <w:tr>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营收同比增速</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+12.5%</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+17.5%</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+20.9%</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+20.6%</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Non-GAAP毛利率</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38.0%</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39.0%</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39.5%</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40.5%</w:t>
            </w:r>
          </w:p>
        </w:tc>
      </w:tr>
      <w:tr>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Non-GAAP经营利润率</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18.0%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19.5%</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20.0%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21.5%</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EPS</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$3.42</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$5.20</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$5.48</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$7.20</w:t>
            </w:r>
          </w:p>
        </w:tc>
      </w:tr>
      <w:tr>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EPS同比增速</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+35%</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+52%</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+60%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+31%</w:t>
            </w:r>
          </w:p>
        </w:tc>
      </w:tr>
    </w:tbl>
    <w:p/>
    <w:p>
      <w:pPr>
        <w:spacing w:after="80"/>
      </w:pPr>
      <w:r>
        <w:rPr>
          <w:rFonts w:ascii="宋体" w:hAnsi="宋体" w:eastAsia="宋体"/>
          <w:b w:val="0"/>
          <w:i w:val="0"/>
          <w:sz w:val="20"/>
        </w:rPr>
        <w:t>我们将FY2026营收预测从68.5亿美元上调至70.5亿美元，Non-GAAP每股收益从5.20美元上调至5.48美元，反映了Q3超预期业绩及强于预期的Q4指引。FY2027预测营收85.0亿美元，Non-GAAP每股收益7.20美元，受持续的数据中心增长动能、CY2026/2027下半年CPO收入放量及经营杠杆驱动。</w:t>
      </w:r>
    </w:p>
    <w:p>
      <w:pPr>
        <w:spacing w:before="240" w:after="80"/>
        <w:pBdr>
          <w:bottom w:val="single" w:sz="6" w:space="1" w:color="003DA5"/>
        </w:pBdr>
      </w:pPr>
      <w:r>
        <w:rPr>
          <w:rFonts w:ascii="黑体" w:hAnsi="黑体" w:eastAsia="黑体"/>
          <w:b/>
          <w:color w:val="003DA5"/>
          <w:sz w:val="26"/>
        </w:rPr>
        <w:t>目标价论证 — $450</w:t>
      </w:r>
    </w:p>
    <w:p>
      <w:pPr>
        <w:spacing w:after="80"/>
      </w:pPr>
      <w:r>
        <w:rPr>
          <w:rFonts w:ascii="宋体" w:hAnsi="宋体" w:eastAsia="宋体"/>
          <w:b w:val="0"/>
          <w:i w:val="0"/>
          <w:sz w:val="20"/>
        </w:rPr>
        <w:t>我们的$450目标价基于混合估值方法：</w:t>
      </w:r>
    </w:p>
    <w:p>
      <w:pPr>
        <w:pStyle w:val="ListBullet"/>
        <w:spacing w:after="40"/>
        <w:ind w:left="360"/>
      </w:pPr>
      <w:r>
        <w:rPr>
          <w:rFonts w:ascii="宋体" w:hAnsi="宋体" w:eastAsia="宋体"/>
          <w:sz w:val="20"/>
        </w:rPr>
        <w:t>DCF（权重50%）：使用10%加权平均资本成本和3.5%终端增长率，DCF分析得出约$460/股的公允价值，反映了英伟达多年期承诺支撑的长久期增长特征。</w:t>
      </w:r>
    </w:p>
    <w:p>
      <w:pPr>
        <w:pStyle w:val="ListBullet"/>
        <w:spacing w:after="40"/>
        <w:ind w:left="360"/>
      </w:pPr>
      <w:r>
        <w:rPr>
          <w:rFonts w:ascii="宋体" w:hAnsi="宋体" w:eastAsia="宋体"/>
          <w:sz w:val="20"/>
        </w:rPr>
        <w:t>市盈率（权重30%）：对CY2027E Non-GAAP EPS $7.20给予35x市盈率得到$252。考虑到增长轨迹，我们对CY2026E EPS $5.48给予62.5x溢价倍数，得到$342。</w:t>
      </w:r>
    </w:p>
    <w:p>
      <w:pPr>
        <w:pStyle w:val="ListBullet"/>
        <w:spacing w:after="40"/>
        <w:ind w:left="360"/>
      </w:pPr>
      <w:r>
        <w:rPr>
          <w:rFonts w:ascii="宋体" w:hAnsi="宋体" w:eastAsia="宋体"/>
          <w:sz w:val="20"/>
        </w:rPr>
        <w:t>EV/Revenue（权重20%）：对CY2027E营收85.0亿美元给予8.5x倍数，得到约$472/股的权益价值。</w:t>
      </w:r>
    </w:p>
    <w:p>
      <w:pPr>
        <w:spacing w:after="80"/>
      </w:pPr>
      <w:r>
        <w:rPr>
          <w:rFonts w:ascii="宋体" w:hAnsi="宋体" w:eastAsia="宋体"/>
          <w:b w:val="0"/>
          <w:i w:val="0"/>
          <w:sz w:val="20"/>
        </w:rPr>
        <w:t>混合目标价：约$450，较当前股价有约12%的上行空间。</w:t>
      </w:r>
    </w:p>
    <w:p>
      <w:pPr>
        <w:spacing w:before="240" w:after="80"/>
        <w:pBdr>
          <w:bottom w:val="single" w:sz="6" w:space="1" w:color="003DA5"/>
        </w:pBdr>
      </w:pPr>
      <w:r>
        <w:rPr>
          <w:rFonts w:ascii="黑体" w:hAnsi="黑体" w:eastAsia="黑体"/>
          <w:b/>
          <w:color w:val="003DA5"/>
          <w:sz w:val="26"/>
        </w:rPr>
        <w:t>情景分析</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情景</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核心假设</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FY27E营收</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FY27E EPS</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隐含股价</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乐观情景</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CPO放量超预期；1.6T份额扩大</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$95亿</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$8.50</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$550+</w:t>
            </w:r>
          </w:p>
        </w:tc>
      </w:tr>
      <w:tr>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基准情景</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按指引轨迹；CPO如期推进</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$85亿</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$7.20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$450</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悲观情景</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AI资本支出放缓；CPO延迟</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$72亿</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$5.50</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$300</w:t>
            </w:r>
          </w:p>
        </w:tc>
      </w:tr>
    </w:tbl>
    <w:p/>
    <w:p>
      <w:pPr>
        <w:jc w:val="center"/>
      </w:pPr>
      <w:r>
        <w:drawing>
          <wp:inline xmlns:a="http://schemas.openxmlformats.org/drawingml/2006/main" xmlns:pic="http://schemas.openxmlformats.org/drawingml/2006/picture">
            <wp:extent cx="5943600" cy="2947276"/>
            <wp:docPr id="9" name="Picture 9"/>
            <wp:cNvGraphicFramePr>
              <a:graphicFrameLocks noChangeAspect="1"/>
            </wp:cNvGraphicFramePr>
            <a:graphic>
              <a:graphicData uri="http://schemas.openxmlformats.org/drawingml/2006/picture">
                <pic:pic>
                  <pic:nvPicPr>
                    <pic:cNvPr id="0" name="cohr_chart7_capex.png"/>
                    <pic:cNvPicPr/>
                  </pic:nvPicPr>
                  <pic:blipFill>
                    <a:blip r:embed="rId17"/>
                    <a:stretch>
                      <a:fillRect/>
                    </a:stretch>
                  </pic:blipFill>
                  <pic:spPr>
                    <a:xfrm>
                      <a:off x="0" y="0"/>
                      <a:ext cx="5943600" cy="2947276"/>
                    </a:xfrm>
                    <a:prstGeom prst="rect"/>
                  </pic:spPr>
                </pic:pic>
              </a:graphicData>
            </a:graphic>
          </wp:inline>
        </w:drawing>
      </w:r>
    </w:p>
    <w:p>
      <w:pPr>
        <w:spacing w:after="120"/>
        <w:jc w:val="center"/>
      </w:pPr>
      <w:r>
        <w:rPr>
          <w:i/>
          <w:color w:val="8E8E93"/>
          <w:sz w:val="17"/>
        </w:rPr>
        <w:t>图9：资本支出加速 — AI增长投资</w:t>
      </w:r>
    </w:p>
    <w:p>
      <w:pPr>
        <w:jc w:val="center"/>
      </w:pPr>
      <w:r>
        <w:drawing>
          <wp:inline xmlns:a="http://schemas.openxmlformats.org/drawingml/2006/main" xmlns:pic="http://schemas.openxmlformats.org/drawingml/2006/picture">
            <wp:extent cx="5943600" cy="2947276"/>
            <wp:docPr id="10" name="Picture 10"/>
            <wp:cNvGraphicFramePr>
              <a:graphicFrameLocks noChangeAspect="1"/>
            </wp:cNvGraphicFramePr>
            <a:graphic>
              <a:graphicData uri="http://schemas.openxmlformats.org/drawingml/2006/picture">
                <pic:pic>
                  <pic:nvPicPr>
                    <pic:cNvPr id="0" name="cohr_chart8_leverage.png"/>
                    <pic:cNvPicPr/>
                  </pic:nvPicPr>
                  <pic:blipFill>
                    <a:blip r:embed="rId18"/>
                    <a:stretch>
                      <a:fillRect/>
                    </a:stretch>
                  </pic:blipFill>
                  <pic:spPr>
                    <a:xfrm>
                      <a:off x="0" y="0"/>
                      <a:ext cx="5943600" cy="2947276"/>
                    </a:xfrm>
                    <a:prstGeom prst="rect"/>
                  </pic:spPr>
                </pic:pic>
              </a:graphicData>
            </a:graphic>
          </wp:inline>
        </w:drawing>
      </w:r>
    </w:p>
    <w:p>
      <w:pPr>
        <w:spacing w:after="120"/>
        <w:jc w:val="center"/>
      </w:pPr>
      <w:r>
        <w:rPr>
          <w:i/>
          <w:color w:val="8E8E93"/>
          <w:sz w:val="17"/>
        </w:rPr>
        <w:t>图10：杠杆率 — 英伟达投资后快速去杠杆</w:t>
      </w:r>
    </w:p>
    <w:p>
      <w:r>
        <w:br w:type="page"/>
      </w:r>
    </w:p>
    <w:p>
      <w:r>
        <w:rPr>
          <w:rFonts w:ascii="黑体" w:hAnsi="黑体" w:eastAsia="黑体"/>
          <w:b/>
          <w:color w:val="003DA5"/>
          <w:sz w:val="36"/>
        </w:rPr>
        <w:t>资料来源与参考文献</w:t>
      </w:r>
    </w:p>
    <w:p>
      <w:pPr>
        <w:spacing w:before="240" w:after="80"/>
        <w:pBdr>
          <w:bottom w:val="single" w:sz="6" w:space="1" w:color="003DA5"/>
        </w:pBdr>
      </w:pPr>
      <w:r>
        <w:rPr>
          <w:rFonts w:ascii="黑体" w:hAnsi="黑体" w:eastAsia="黑体"/>
          <w:b/>
          <w:color w:val="003DA5"/>
          <w:sz w:val="26"/>
        </w:rPr>
        <w:t>Q3 FY2026 业绩资料</w:t>
      </w:r>
    </w:p>
    <w:p>
      <w:pPr>
        <w:spacing w:after="80"/>
      </w:pPr>
      <w:r>
        <w:rPr>
          <w:rFonts w:ascii="宋体" w:hAnsi="宋体" w:eastAsia="宋体"/>
          <w:sz w:val="20"/>
        </w:rPr>
        <w:t>业绩新闻稿（2026年5月6日）：</w:t>
      </w:r>
      <w:hyperlink r:id="rId19">
        <w:r>
          <w:rPr>
            <w:rStyle w:val="Hyperlink"/>
            <w:color w:val="4A90D9"/>
            <w:u w:val="single"/>
          </w:rPr>
          <w:t>Coherent Corp Q3 FY2026 新闻稿</w:t>
        </w:r>
      </w:hyperlink>
    </w:p>
    <w:p>
      <w:pPr>
        <w:spacing w:after="80"/>
      </w:pPr>
      <w:r>
        <w:rPr>
          <w:rFonts w:ascii="宋体" w:hAnsi="宋体" w:eastAsia="宋体"/>
          <w:sz w:val="20"/>
        </w:rPr>
        <w:t>10-Q报表（2026年5月6日提交）：</w:t>
      </w:r>
      <w:hyperlink r:id="rId20">
        <w:r>
          <w:rPr>
            <w:rStyle w:val="Hyperlink"/>
            <w:color w:val="4A90D9"/>
            <w:u w:val="single"/>
          </w:rPr>
          <w:t>SEC EDGAR — Coherent Corp 10-Q</w:t>
        </w:r>
      </w:hyperlink>
    </w:p>
    <w:p>
      <w:pPr>
        <w:spacing w:after="80"/>
      </w:pPr>
      <w:r>
        <w:rPr>
          <w:rFonts w:ascii="宋体" w:hAnsi="宋体" w:eastAsia="宋体"/>
          <w:sz w:val="20"/>
        </w:rPr>
        <w:t>业绩电话会纪要（2026年5月6日）：</w:t>
      </w:r>
      <w:hyperlink r:id="rId21">
        <w:r>
          <w:rPr>
            <w:rStyle w:val="Hyperlink"/>
            <w:color w:val="4A90D9"/>
            <w:u w:val="single"/>
          </w:rPr>
          <w:t>Q3 FY2026 业绩电话会纪要 — Motley Fool</w:t>
        </w:r>
      </w:hyperlink>
    </w:p>
    <w:p>
      <w:pPr>
        <w:spacing w:after="80"/>
      </w:pPr>
      <w:r>
        <w:rPr>
          <w:rFonts w:ascii="宋体" w:hAnsi="宋体" w:eastAsia="宋体"/>
          <w:sz w:val="20"/>
        </w:rPr>
        <w:t>英伟达战略合作公告（2026年3月2日）：</w:t>
      </w:r>
      <w:hyperlink r:id="rId22">
        <w:r>
          <w:rPr>
            <w:rStyle w:val="Hyperlink"/>
            <w:color w:val="4A90D9"/>
            <w:u w:val="single"/>
          </w:rPr>
          <w:t>英伟达-Coherent战略合作公告</w:t>
        </w:r>
      </w:hyperlink>
    </w:p>
    <w:p>
      <w:pPr>
        <w:spacing w:before="240" w:after="80"/>
        <w:pBdr>
          <w:bottom w:val="single" w:sz="6" w:space="1" w:color="003DA5"/>
        </w:pBdr>
      </w:pPr>
      <w:r>
        <w:rPr>
          <w:rFonts w:ascii="黑体" w:hAnsi="黑体" w:eastAsia="黑体"/>
          <w:b/>
          <w:color w:val="003DA5"/>
          <w:sz w:val="26"/>
        </w:rPr>
        <w:t>往期资料</w:t>
      </w:r>
    </w:p>
    <w:p>
      <w:pPr>
        <w:spacing w:after="80"/>
      </w:pPr>
      <w:r>
        <w:rPr>
          <w:rFonts w:ascii="宋体" w:hAnsi="宋体" w:eastAsia="宋体"/>
          <w:sz w:val="20"/>
        </w:rPr>
        <w:t>Q2 FY2026 业绩新闻稿：</w:t>
      </w:r>
      <w:hyperlink r:id="rId23">
        <w:r>
          <w:rPr>
            <w:rStyle w:val="Hyperlink"/>
            <w:color w:val="4A90D9"/>
            <w:u w:val="single"/>
          </w:rPr>
          <w:t>Coherent Corp Q2 FY2026 新闻稿</w:t>
        </w:r>
      </w:hyperlink>
    </w:p>
    <w:p>
      <w:pPr>
        <w:spacing w:after="80"/>
      </w:pPr>
      <w:r>
        <w:rPr>
          <w:rFonts w:ascii="宋体" w:hAnsi="宋体" w:eastAsia="宋体"/>
          <w:sz w:val="20"/>
        </w:rPr>
        <w:t>Q1 FY2026 业绩新闻稿：</w:t>
      </w:r>
      <w:hyperlink r:id="rId24">
        <w:r>
          <w:rPr>
            <w:rStyle w:val="Hyperlink"/>
            <w:color w:val="4A90D9"/>
            <w:u w:val="single"/>
          </w:rPr>
          <w:t>Coherent Corp Q1 FY2026 新闻稿</w:t>
        </w:r>
      </w:hyperlink>
    </w:p>
    <w:p>
      <w:pPr>
        <w:spacing w:before="240" w:after="80"/>
        <w:pBdr>
          <w:bottom w:val="single" w:sz="6" w:space="1" w:color="003DA5"/>
        </w:pBdr>
      </w:pPr>
      <w:r>
        <w:rPr>
          <w:rFonts w:ascii="黑体" w:hAnsi="黑体" w:eastAsia="黑体"/>
          <w:b/>
          <w:color w:val="003DA5"/>
          <w:sz w:val="26"/>
        </w:rPr>
        <w:t>市场数据</w:t>
      </w:r>
    </w:p>
    <w:p>
      <w:pPr>
        <w:spacing w:after="80"/>
      </w:pPr>
      <w:r>
        <w:rPr>
          <w:rFonts w:ascii="宋体" w:hAnsi="宋体" w:eastAsia="宋体"/>
          <w:b w:val="0"/>
          <w:i w:val="0"/>
          <w:sz w:val="20"/>
        </w:rPr>
        <w:t>股价截至2026年5月14日：$400.57</w:t>
      </w:r>
    </w:p>
    <w:p>
      <w:pPr>
        <w:spacing w:after="80"/>
      </w:pPr>
      <w:r>
        <w:rPr>
          <w:rFonts w:ascii="宋体" w:hAnsi="宋体" w:eastAsia="宋体"/>
          <w:b w:val="0"/>
          <w:i w:val="0"/>
          <w:sz w:val="20"/>
        </w:rPr>
        <w:t>市值：$78.4B</w:t>
      </w:r>
    </w:p>
    <w:p>
      <w:pPr>
        <w:spacing w:after="80"/>
      </w:pPr>
      <w:r>
        <w:rPr>
          <w:rFonts w:ascii="宋体" w:hAnsi="宋体" w:eastAsia="宋体"/>
          <w:b w:val="0"/>
          <w:i w:val="0"/>
          <w:sz w:val="20"/>
        </w:rPr>
        <w:t>一致预期来源：Bloomberg终端，截至2026年5月5日。</w:t>
      </w:r>
    </w:p>
    <w:p>
      <w:pPr>
        <w:spacing w:after="80"/>
      </w:pPr>
      <w:r>
        <w:rPr>
          <w:rFonts w:ascii="宋体" w:hAnsi="宋体" w:eastAsia="宋体"/>
          <w:b w:val="0"/>
          <w:i w:val="0"/>
          <w:sz w:val="20"/>
        </w:rPr>
        <w:t>除特别注明外，所有财务数据均来自公司公开披露文件。</w:t>
      </w:r>
    </w:p>
    <w:p>
      <w:pPr>
        <w:pBdr>
          <w:bottom w:val="single" w:sz="4" w:space="1" w:color="CCCCCC"/>
        </w:pBdr>
        <w:spacing w:after="160"/>
      </w:pPr>
    </w:p>
    <w:p>
      <w:pPr>
        <w:spacing w:after="40"/>
      </w:pPr>
      <w:r>
        <w:rPr>
          <w:rFonts w:ascii="宋体" w:hAnsi="宋体" w:eastAsia="宋体"/>
          <w:b w:val="0"/>
          <w:i/>
          <w:color w:val="8E8E93"/>
          <w:sz w:val="16"/>
        </w:rPr>
        <w:t>免责声明：本报告仅供参考，不构成投资建议。本文所表达的分析、意见和估计基于公开可获取的信息，如有变更，恕不另行通知。过往表现不代表未来业绩。投资者在做出投资决策前应自行进行尽职调查。</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www.coherent.com/news/press-releases/third-quarter-fiscal-year-2026-results" TargetMode="External"/><Relationship Id="rId20" Type="http://schemas.openxmlformats.org/officeDocument/2006/relationships/hyperlink" Target="https://www.stocktitan.net/sec-filings/COHR/10-q-coherent-corp-quarterly-earnings-report-dfc9ceaf3a93.html" TargetMode="External"/><Relationship Id="rId21" Type="http://schemas.openxmlformats.org/officeDocument/2006/relationships/hyperlink" Target="https://www.fool.com/earnings/call-transcripts/2026/05/06/coherent-cohr-q3-2026-earnings-transcript/" TargetMode="External"/><Relationship Id="rId22" Type="http://schemas.openxmlformats.org/officeDocument/2006/relationships/hyperlink" Target="https://nvidianews.nvidia.com/news/nvidia-and-coherent-announce-strategic-partnership-to-develop-optics-technology-to-scale-next-generation-data-center-architecture" TargetMode="External"/><Relationship Id="rId23" Type="http://schemas.openxmlformats.org/officeDocument/2006/relationships/hyperlink" Target="https://www.coherent.com/news/press-releases/second-quarter-fiscal-year-2026-results" TargetMode="External"/><Relationship Id="rId24" Type="http://schemas.openxmlformats.org/officeDocument/2006/relationships/hyperlink" Target="https://www.coherent.com/news/press-releases/first-quarter-fiscal-year-2026-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