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03DA5"/>
          <w:sz w:val="44"/>
        </w:rPr>
        <w:t>COHERENT CORP.  (COHR: NYSE)</w:t>
      </w:r>
    </w:p>
    <w:p>
      <w:pPr>
        <w:spacing w:after="120"/>
      </w:pPr>
      <w:r>
        <w:rPr>
          <w:rFonts w:ascii="Calibri" w:hAnsi="Calibri"/>
          <w:color w:val="8E8E93"/>
          <w:sz w:val="20"/>
        </w:rPr>
        <w:t>Equity Research  |  Photonics &amp; Optical Networking</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E8F0FE"/>
            <w:tcBorders>
              <w:top w:val="single" w:sz="4" w:space="0" w:color="C0D0F0"/>
              <w:bottom w:val="single" w:sz="4" w:space="0" w:color="C0D0F0"/>
              <w:left w:val="single" w:sz="4" w:space="0" w:color="C0D0F0"/>
              <w:right w:val="single" w:sz="4" w:space="0" w:color="C0D0F0"/>
            </w:tcBorders>
          </w:tcPr>
          <w:p>
            <w:pPr>
              <w:jc w:val="center"/>
            </w:pPr>
            <w:r>
              <w:rPr>
                <w:rFonts w:ascii="Calibri" w:hAnsi="Calibri"/>
                <w:color w:val="8E8E93"/>
                <w:sz w:val="16"/>
              </w:rPr>
              <w:t>Rating</w:t>
              <w:br/>
            </w:r>
            <w:r>
              <w:rPr>
                <w:rFonts w:ascii="Calibri" w:hAnsi="Calibri"/>
                <w:b/>
                <w:color w:val="1E8A44"/>
                <w:sz w:val="20"/>
              </w:rPr>
              <w:t>OUTPERFORM</w:t>
            </w:r>
          </w:p>
        </w:tc>
        <w:tc>
          <w:tcPr>
            <w:tcW w:type="dxa" w:w="1872"/>
            <w:shd w:val="clear" w:color="auto" w:fill="E8F0FE"/>
            <w:tcBorders>
              <w:top w:val="single" w:sz="4" w:space="0" w:color="C0D0F0"/>
              <w:bottom w:val="single" w:sz="4" w:space="0" w:color="C0D0F0"/>
              <w:left w:val="single" w:sz="4" w:space="0" w:color="C0D0F0"/>
              <w:right w:val="single" w:sz="4" w:space="0" w:color="C0D0F0"/>
            </w:tcBorders>
          </w:tcPr>
          <w:p>
            <w:pPr>
              <w:jc w:val="center"/>
            </w:pPr>
            <w:r>
              <w:rPr>
                <w:rFonts w:ascii="Calibri" w:hAnsi="Calibri"/>
                <w:color w:val="8E8E93"/>
                <w:sz w:val="16"/>
              </w:rPr>
              <w:t>Price Target</w:t>
              <w:br/>
            </w:r>
            <w:r>
              <w:rPr>
                <w:rFonts w:ascii="Calibri" w:hAnsi="Calibri"/>
                <w:b/>
                <w:color w:val="4A90D9"/>
                <w:sz w:val="20"/>
              </w:rPr>
              <w:t>$450.00</w:t>
            </w:r>
          </w:p>
        </w:tc>
        <w:tc>
          <w:tcPr>
            <w:tcW w:type="dxa" w:w="1872"/>
            <w:shd w:val="clear" w:color="auto" w:fill="E8F0FE"/>
            <w:tcBorders>
              <w:top w:val="single" w:sz="4" w:space="0" w:color="C0D0F0"/>
              <w:bottom w:val="single" w:sz="4" w:space="0" w:color="C0D0F0"/>
              <w:left w:val="single" w:sz="4" w:space="0" w:color="C0D0F0"/>
              <w:right w:val="single" w:sz="4" w:space="0" w:color="C0D0F0"/>
            </w:tcBorders>
          </w:tcPr>
          <w:p>
            <w:pPr>
              <w:jc w:val="center"/>
            </w:pPr>
            <w:r>
              <w:rPr>
                <w:rFonts w:ascii="Calibri" w:hAnsi="Calibri"/>
                <w:color w:val="8E8E93"/>
                <w:sz w:val="16"/>
              </w:rPr>
              <w:t>Current Price</w:t>
              <w:br/>
            </w:r>
            <w:r>
              <w:rPr>
                <w:rFonts w:ascii="Calibri" w:hAnsi="Calibri"/>
                <w:b/>
                <w:color w:val="003DA5"/>
                <w:sz w:val="20"/>
              </w:rPr>
              <w:t>$401.62</w:t>
            </w:r>
          </w:p>
        </w:tc>
        <w:tc>
          <w:tcPr>
            <w:tcW w:type="dxa" w:w="1872"/>
            <w:shd w:val="clear" w:color="auto" w:fill="E8F0FE"/>
            <w:tcBorders>
              <w:top w:val="single" w:sz="4" w:space="0" w:color="C0D0F0"/>
              <w:bottom w:val="single" w:sz="4" w:space="0" w:color="C0D0F0"/>
              <w:left w:val="single" w:sz="4" w:space="0" w:color="C0D0F0"/>
              <w:right w:val="single" w:sz="4" w:space="0" w:color="C0D0F0"/>
            </w:tcBorders>
          </w:tcPr>
          <w:p>
            <w:pPr>
              <w:jc w:val="center"/>
            </w:pPr>
            <w:r>
              <w:rPr>
                <w:rFonts w:ascii="Calibri" w:hAnsi="Calibri"/>
                <w:color w:val="8E8E93"/>
                <w:sz w:val="16"/>
              </w:rPr>
              <w:t>52-Wk Range</w:t>
              <w:br/>
            </w:r>
            <w:r>
              <w:rPr>
                <w:rFonts w:ascii="Calibri" w:hAnsi="Calibri"/>
                <w:b/>
                <w:color w:val="8E8E93"/>
                <w:sz w:val="20"/>
              </w:rPr>
              <w:t>$nan – $nan</w:t>
            </w:r>
          </w:p>
        </w:tc>
        <w:tc>
          <w:tcPr>
            <w:tcW w:type="dxa" w:w="1872"/>
            <w:shd w:val="clear" w:color="auto" w:fill="E8F0FE"/>
            <w:tcBorders>
              <w:top w:val="single" w:sz="4" w:space="0" w:color="C0D0F0"/>
              <w:bottom w:val="single" w:sz="4" w:space="0" w:color="C0D0F0"/>
              <w:left w:val="single" w:sz="4" w:space="0" w:color="C0D0F0"/>
              <w:right w:val="single" w:sz="4" w:space="0" w:color="C0D0F0"/>
            </w:tcBorders>
          </w:tcPr>
          <w:p>
            <w:pPr>
              <w:jc w:val="center"/>
            </w:pPr>
            <w:r>
              <w:rPr>
                <w:rFonts w:ascii="Calibri" w:hAnsi="Calibri"/>
                <w:color w:val="8E8E93"/>
                <w:sz w:val="16"/>
              </w:rPr>
              <w:t>Market Cap</w:t>
              <w:br/>
            </w:r>
            <w:r>
              <w:rPr>
                <w:rFonts w:ascii="Calibri" w:hAnsi="Calibri"/>
                <w:b/>
                <w:color w:val="003DA5"/>
                <w:sz w:val="20"/>
              </w:rPr>
              <w:t>$78.6B</w:t>
            </w:r>
          </w:p>
        </w:tc>
      </w:tr>
    </w:tbl>
    <w:p>
      <w:pPr>
        <w:spacing w:after="80"/>
      </w:pPr>
    </w:p>
    <w:p>
      <w:pPr>
        <w:pBdr>
          <w:bottom w:val="single" w:sz="4" w:space="1" w:color="CCCCCC"/>
        </w:pBdr>
        <w:spacing w:after="160"/>
      </w:pPr>
    </w:p>
    <w:p>
      <w:pPr>
        <w:spacing w:after="60"/>
      </w:pPr>
      <w:r>
        <w:rPr>
          <w:rFonts w:ascii="Calibri" w:hAnsi="Calibri"/>
          <w:b/>
          <w:color w:val="003DA5"/>
          <w:sz w:val="28"/>
        </w:rPr>
        <w:t>Q3 FY2026 Earnings Update: Record Revenue of $1.81B; NVIDIA Partnership Transforms Balance Sheet &amp; Growth Trajectory</w:t>
      </w:r>
    </w:p>
    <w:p>
      <w:pPr>
        <w:spacing w:after="160"/>
      </w:pPr>
      <w:r>
        <w:rPr>
          <w:rFonts w:ascii="Calibri" w:hAnsi="Calibri"/>
          <w:color w:val="8E8E93"/>
          <w:sz w:val="17"/>
        </w:rPr>
        <w:t>Report Date: May 14, 2026  |  Earnings Released: May 6, 2026  |  Fiscal Quarter Ended: March 31, 2026</w:t>
      </w:r>
    </w:p>
    <w:p>
      <w:pPr>
        <w:pBdr>
          <w:bottom w:val="single" w:sz="4" w:space="1" w:color="CCCCCC"/>
        </w:pBdr>
        <w:spacing w:after="160"/>
      </w:pPr>
    </w:p>
    <w:p>
      <w:pPr>
        <w:spacing w:before="240" w:after="80"/>
        <w:pBdr>
          <w:bottom w:val="single" w:sz="6" w:space="1" w:color="003DA5"/>
        </w:pBdr>
      </w:pPr>
      <w:r>
        <w:rPr>
          <w:b/>
          <w:color w:val="003DA5"/>
          <w:sz w:val="26"/>
        </w:rPr>
        <w:t>KEY TAKEAWAYS</w:t>
      </w:r>
    </w:p>
    <w:p>
      <w:pPr>
        <w:pStyle w:val="ListBullet"/>
        <w:spacing w:after="40"/>
        <w:ind w:left="360"/>
      </w:pPr>
      <w:r>
        <w:rPr>
          <w:rFonts w:ascii="Times New Roman" w:hAnsi="Times New Roman"/>
          <w:sz w:val="20"/>
        </w:rPr>
        <w:t>Revenue of $1.81B beat consensus of $1.78B by $30M (+1.7%), a new quarterly record, up 21% YoY.</w:t>
      </w:r>
    </w:p>
    <w:p>
      <w:pPr>
        <w:pStyle w:val="ListBullet"/>
        <w:spacing w:after="40"/>
        <w:ind w:left="360"/>
      </w:pPr>
      <w:r>
        <w:rPr>
          <w:rFonts w:ascii="Times New Roman" w:hAnsi="Times New Roman"/>
          <w:sz w:val="20"/>
        </w:rPr>
        <w:t>Non-GAAP EPS of $1.41 beat consensus of $1.39 by $0.02 (+1.4%), up 55% YoY driven by operating leverage.</w:t>
      </w:r>
    </w:p>
    <w:p>
      <w:pPr>
        <w:pStyle w:val="ListBullet"/>
        <w:spacing w:after="40"/>
        <w:ind w:left="360"/>
      </w:pPr>
      <w:r>
        <w:rPr>
          <w:rFonts w:ascii="Times New Roman" w:hAnsi="Times New Roman"/>
          <w:sz w:val="20"/>
        </w:rPr>
        <w:t>Datacenter &amp; Communications segment surged 36% YoY to ~$1.36B, representing 75% of total revenue, fueled by 800G/1.6T transceiver ramp and AI infrastructure demand.</w:t>
      </w:r>
    </w:p>
    <w:p>
      <w:pPr>
        <w:pStyle w:val="ListBullet"/>
        <w:spacing w:after="40"/>
        <w:ind w:left="360"/>
      </w:pPr>
      <w:r>
        <w:rPr>
          <w:rFonts w:ascii="Times New Roman" w:hAnsi="Times New Roman"/>
          <w:sz w:val="20"/>
        </w:rPr>
        <w:t>NVIDIA strategic partnership: $2.0B equity investment received in Q3; multibillion-dollar multiyear purchase commitment for lasers, CPO, and optical components.</w:t>
      </w:r>
    </w:p>
    <w:p>
      <w:pPr>
        <w:pStyle w:val="ListBullet"/>
        <w:spacing w:after="40"/>
        <w:ind w:left="360"/>
      </w:pPr>
      <w:r>
        <w:rPr>
          <w:rFonts w:ascii="Times New Roman" w:hAnsi="Times New Roman"/>
          <w:sz w:val="20"/>
        </w:rPr>
        <w:t>Q4 FY2026 guidance: revenue $1.91B–$2.05B (midpoint $1.98B), non-GAAP EPS $1.52–$1.72, implying continued double-digit sequential acceleration.</w:t>
      </w:r>
    </w:p>
    <w:p>
      <w:pPr>
        <w:pStyle w:val="ListBullet"/>
        <w:spacing w:after="40"/>
        <w:ind w:left="360"/>
      </w:pPr>
      <w:r>
        <w:rPr>
          <w:rFonts w:ascii="Times New Roman" w:hAnsi="Times New Roman"/>
          <w:color w:val="1E8A44"/>
          <w:sz w:val="20"/>
        </w:rPr>
        <w:t>Leverage ratio collapsed from 1.7x to 0.5x on NVIDIA proceeds; balance sheet now a competitive advantage.</w:t>
      </w:r>
    </w:p>
    <w:p>
      <w:pPr>
        <w:spacing w:before="240" w:after="80"/>
        <w:pBdr>
          <w:bottom w:val="single" w:sz="6" w:space="1" w:color="003DA5"/>
        </w:pBdr>
      </w:pPr>
      <w:r>
        <w:rPr>
          <w:b/>
          <w:color w:val="003DA5"/>
          <w:sz w:val="26"/>
        </w:rPr>
        <w:t>RESULTS SNAPSHOT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Metric</w:t>
            </w:r>
          </w:p>
        </w:tc>
        <w:tc>
          <w:tcPr>
            <w:tcW w:type="dxa" w:w="1560"/>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Q3 FY26 Actual</w:t>
            </w:r>
          </w:p>
        </w:tc>
        <w:tc>
          <w:tcPr>
            <w:tcW w:type="dxa" w:w="1560"/>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Consensus</w:t>
            </w:r>
          </w:p>
        </w:tc>
        <w:tc>
          <w:tcPr>
            <w:tcW w:type="dxa" w:w="1560"/>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Beat/Miss</w:t>
            </w:r>
          </w:p>
        </w:tc>
        <w:tc>
          <w:tcPr>
            <w:tcW w:type="dxa" w:w="1560"/>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Q3 FY25</w:t>
            </w:r>
          </w:p>
        </w:tc>
        <w:tc>
          <w:tcPr>
            <w:tcW w:type="dxa" w:w="1560"/>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YoY Change</w:t>
            </w:r>
          </w:p>
        </w:tc>
      </w:tr>
      <w:tr>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Revenue</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$1.81B</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$1.78B</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+1.7%</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$1.50B</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+21.0%</w:t>
            </w:r>
          </w:p>
        </w:tc>
      </w:tr>
      <w:tr>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EPS</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$1.41</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$1.39</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+$0.02</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$0.91</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+55.0%</w:t>
            </w:r>
          </w:p>
        </w:tc>
      </w:tr>
      <w:tr>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GAAP EPS</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$0.97</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$0.38</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+155%</w:t>
            </w:r>
          </w:p>
        </w:tc>
      </w:tr>
      <w:tr>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Gross Mg</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39.6%</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~39.2%</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+40bps</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38.1%</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+150bps</w:t>
            </w:r>
          </w:p>
        </w:tc>
      </w:tr>
      <w:tr>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Op. Mg</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20.3%</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18.7%</w:t>
            </w:r>
          </w:p>
        </w:tc>
        <w:tc>
          <w:tcPr>
            <w:tcW w:type="dxa" w:w="1560"/>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+160bps</w:t>
            </w:r>
          </w:p>
        </w:tc>
      </w:tr>
      <w:tr>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Op. Inc.</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$366M</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$279M</w:t>
            </w:r>
          </w:p>
        </w:tc>
        <w:tc>
          <w:tcPr>
            <w:tcW w:type="dxa" w:w="1560"/>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+31.1%</w:t>
            </w:r>
          </w:p>
        </w:tc>
      </w:tr>
    </w:tbl>
    <w:p/>
    <w:p>
      <w:pPr>
        <w:jc w:val="center"/>
      </w:pPr>
      <w:r>
        <w:drawing>
          <wp:inline xmlns:a="http://schemas.openxmlformats.org/drawingml/2006/main" xmlns:pic="http://schemas.openxmlformats.org/drawingml/2006/picture">
            <wp:extent cx="5943600" cy="2945067"/>
            <wp:docPr id="1" name="Picture 1"/>
            <wp:cNvGraphicFramePr>
              <a:graphicFrameLocks noChangeAspect="1"/>
            </wp:cNvGraphicFramePr>
            <a:graphic>
              <a:graphicData uri="http://schemas.openxmlformats.org/drawingml/2006/picture">
                <pic:pic>
                  <pic:nvPicPr>
                    <pic:cNvPr id="0" name="cohr_chart5_beat_miss.png"/>
                    <pic:cNvPicPr/>
                  </pic:nvPicPr>
                  <pic:blipFill>
                    <a:blip r:embed="rId9"/>
                    <a:stretch>
                      <a:fillRect/>
                    </a:stretch>
                  </pic:blipFill>
                  <pic:spPr>
                    <a:xfrm>
                      <a:off x="0" y="0"/>
                      <a:ext cx="5943600" cy="2945067"/>
                    </a:xfrm>
                    <a:prstGeom prst="rect"/>
                  </pic:spPr>
                </pic:pic>
              </a:graphicData>
            </a:graphic>
          </wp:inline>
        </w:drawing>
      </w:r>
    </w:p>
    <w:p>
      <w:pPr>
        <w:spacing w:after="120"/>
        <w:jc w:val="center"/>
      </w:pPr>
      <w:r>
        <w:rPr>
          <w:i/>
          <w:color w:val="8E8E93"/>
          <w:sz w:val="17"/>
        </w:rPr>
        <w:t>Figure 1: Q3 FY2026 Results vs. Consensus Estimates</w:t>
      </w:r>
    </w:p>
    <w:p>
      <w:r>
        <w:br w:type="page"/>
      </w:r>
    </w:p>
    <w:p>
      <w:r>
        <w:rPr>
          <w:b/>
          <w:color w:val="003DA5"/>
          <w:sz w:val="36"/>
        </w:rPr>
        <w:t>DETAILED RESULTS ANALYSIS</w:t>
      </w:r>
    </w:p>
    <w:p>
      <w:pPr>
        <w:spacing w:before="240" w:after="80"/>
        <w:pBdr>
          <w:bottom w:val="single" w:sz="6" w:space="1" w:color="003DA5"/>
        </w:pBdr>
      </w:pPr>
      <w:r>
        <w:rPr>
          <w:b/>
          <w:color w:val="003DA5"/>
          <w:sz w:val="26"/>
        </w:rPr>
        <w:t>Revenue — Record Quarter Driven by AI Datacenter Demand</w:t>
      </w:r>
    </w:p>
    <w:p>
      <w:pPr>
        <w:spacing w:after="80"/>
      </w:pPr>
      <w:r>
        <w:rPr>
          <w:rFonts w:ascii="Times New Roman" w:hAnsi="Times New Roman"/>
          <w:b w:val="0"/>
          <w:i w:val="0"/>
          <w:sz w:val="20"/>
        </w:rPr>
        <w:t>Coherent delivered record quarterly revenue of $1.81 billion in Q3 FY2026, surpassing the consensus estimate of $1.78 billion by approximately $30 million (+1.7%). Revenue grew 21% year-over-year and 7.1% sequentially, marking the fourth consecutive quarter of sequential acceleration. On a pro forma basis, year-over-year growth was approximately 27%, underscoring the strength of organic momentum.</w:t>
      </w:r>
    </w:p>
    <w:p>
      <w:pPr>
        <w:spacing w:after="80"/>
      </w:pPr>
      <w:r>
        <w:rPr>
          <w:rFonts w:ascii="Times New Roman" w:hAnsi="Times New Roman"/>
          <w:b w:val="0"/>
          <w:i w:val="0"/>
          <w:sz w:val="20"/>
        </w:rPr>
        <w:t>The revenue beat was driven primarily by the Datacenter &amp; Communications segment, which generated approximately $1.36 billion (+36% YoY), now accounting for 75% of total revenue. Within this segment, data center revenue rose 13% sequentially and 37% year-over-year, while communications revenue increased 16% sequentially and 60% year-over-year. The 1.6 terabit transceiver ramp contributed meaningfully to sequential growth for the first time, adding to the established 800G revenue stream.</w:t>
      </w:r>
    </w:p>
    <w:p>
      <w:pPr>
        <w:jc w:val="center"/>
      </w:pPr>
      <w:r>
        <w:drawing>
          <wp:inline xmlns:a="http://schemas.openxmlformats.org/drawingml/2006/main" xmlns:pic="http://schemas.openxmlformats.org/drawingml/2006/picture">
            <wp:extent cx="5943600" cy="2947276"/>
            <wp:docPr id="2" name="Picture 2"/>
            <wp:cNvGraphicFramePr>
              <a:graphicFrameLocks noChangeAspect="1"/>
            </wp:cNvGraphicFramePr>
            <a:graphic>
              <a:graphicData uri="http://schemas.openxmlformats.org/drawingml/2006/picture">
                <pic:pic>
                  <pic:nvPicPr>
                    <pic:cNvPr id="0" name="cohr_chart1_revenue.png"/>
                    <pic:cNvPicPr/>
                  </pic:nvPicPr>
                  <pic:blipFill>
                    <a:blip r:embed="rId10"/>
                    <a:stretch>
                      <a:fillRect/>
                    </a:stretch>
                  </pic:blipFill>
                  <pic:spPr>
                    <a:xfrm>
                      <a:off x="0" y="0"/>
                      <a:ext cx="5943600" cy="2947276"/>
                    </a:xfrm>
                    <a:prstGeom prst="rect"/>
                  </pic:spPr>
                </pic:pic>
              </a:graphicData>
            </a:graphic>
          </wp:inline>
        </w:drawing>
      </w:r>
    </w:p>
    <w:p>
      <w:pPr>
        <w:spacing w:after="120"/>
        <w:jc w:val="center"/>
      </w:pPr>
      <w:r>
        <w:rPr>
          <w:i/>
          <w:color w:val="8E8E93"/>
          <w:sz w:val="17"/>
        </w:rPr>
        <w:t>Figure 2: Quarterly Revenue Progression (Q4 FY2024 – Q3 FY2026)</w:t>
      </w:r>
    </w:p>
    <w:p>
      <w:pPr>
        <w:spacing w:before="240" w:after="80"/>
        <w:pBdr>
          <w:bottom w:val="single" w:sz="6" w:space="1" w:color="003DA5"/>
        </w:pBdr>
      </w:pPr>
      <w:r>
        <w:rPr>
          <w:b/>
          <w:color w:val="003DA5"/>
          <w:sz w:val="26"/>
        </w:rPr>
        <w:t>Segment Performance</w:t>
      </w:r>
    </w:p>
    <w:p>
      <w:pPr>
        <w:spacing w:before="160" w:after="40"/>
      </w:pPr>
      <w:r>
        <w:rPr>
          <w:b/>
          <w:color w:val="4A90D9"/>
          <w:sz w:val="22"/>
        </w:rPr>
        <w:t>Datacenter &amp; Communications (~$1.36B, 75% of revenue)</w:t>
      </w:r>
    </w:p>
    <w:p>
      <w:pPr>
        <w:spacing w:after="80"/>
      </w:pPr>
      <w:r>
        <w:rPr>
          <w:rFonts w:ascii="Times New Roman" w:hAnsi="Times New Roman"/>
          <w:b w:val="0"/>
          <w:i w:val="0"/>
          <w:sz w:val="20"/>
        </w:rPr>
        <w:t>This segment was the primary growth engine, benefiting from the insatiable demand for optical interconnects in hyperscale AI training clusters. Management noted that customer bookings now extend into calendar 2028 and long-term agreements reach to the end of the decade. Coherent's indium phosphide capacity doubled ahead of schedule during the quarter, and 6-inch wafer line expansion continues. The NVIDIA partnership provides significant demand visibility through a multibillion-dollar, multiyear purchase commitment covering high-power CW lasers, external laser source modules, fiber array units, and co-packaged optics (CPO) components.</w:t>
      </w:r>
    </w:p>
    <w:p>
      <w:pPr>
        <w:spacing w:before="160" w:after="40"/>
      </w:pPr>
      <w:r>
        <w:rPr>
          <w:b/>
          <w:color w:val="4A90D9"/>
          <w:sz w:val="22"/>
        </w:rPr>
        <w:t>Industrial ($444M, 25% of revenue)</w:t>
      </w:r>
    </w:p>
    <w:p>
      <w:pPr>
        <w:spacing w:after="80"/>
      </w:pPr>
      <w:r>
        <w:rPr>
          <w:rFonts w:ascii="Times New Roman" w:hAnsi="Times New Roman"/>
          <w:b w:val="0"/>
          <w:i w:val="0"/>
          <w:sz w:val="20"/>
        </w:rPr>
        <w:t>The Industrial segment declined 16% year-over-year, reflecting continued softness in broader industrial end markets. Management characterized this segment as stable but non-core to the near-term growth thesis. The company has been strategically reorienting its product portfolio and manufacturing capacity toward higher-growth datacenter applications.</w:t>
      </w:r>
    </w:p>
    <w:p>
      <w:pPr>
        <w:jc w:val="center"/>
      </w:pPr>
      <w:r>
        <w:drawing>
          <wp:inline xmlns:a="http://schemas.openxmlformats.org/drawingml/2006/main" xmlns:pic="http://schemas.openxmlformats.org/drawingml/2006/picture">
            <wp:extent cx="5943600" cy="2509224"/>
            <wp:docPr id="3" name="Picture 3"/>
            <wp:cNvGraphicFramePr>
              <a:graphicFrameLocks noChangeAspect="1"/>
            </wp:cNvGraphicFramePr>
            <a:graphic>
              <a:graphicData uri="http://schemas.openxmlformats.org/drawingml/2006/picture">
                <pic:pic>
                  <pic:nvPicPr>
                    <pic:cNvPr id="0" name="cohr_chart3_segments.png"/>
                    <pic:cNvPicPr/>
                  </pic:nvPicPr>
                  <pic:blipFill>
                    <a:blip r:embed="rId11"/>
                    <a:stretch>
                      <a:fillRect/>
                    </a:stretch>
                  </pic:blipFill>
                  <pic:spPr>
                    <a:xfrm>
                      <a:off x="0" y="0"/>
                      <a:ext cx="5943600" cy="2509224"/>
                    </a:xfrm>
                    <a:prstGeom prst="rect"/>
                  </pic:spPr>
                </pic:pic>
              </a:graphicData>
            </a:graphic>
          </wp:inline>
        </w:drawing>
      </w:r>
    </w:p>
    <w:p>
      <w:pPr>
        <w:spacing w:after="120"/>
        <w:jc w:val="center"/>
      </w:pPr>
      <w:r>
        <w:rPr>
          <w:i/>
          <w:color w:val="8E8E93"/>
          <w:sz w:val="17"/>
        </w:rPr>
        <w:t>Figure 3: Revenue Mix &amp; YoY Segment Growth — Q3 FY2026</w:t>
      </w:r>
    </w:p>
    <w:p>
      <w:pPr>
        <w:jc w:val="center"/>
      </w:pPr>
      <w:r>
        <w:drawing>
          <wp:inline xmlns:a="http://schemas.openxmlformats.org/drawingml/2006/main" xmlns:pic="http://schemas.openxmlformats.org/drawingml/2006/picture">
            <wp:extent cx="5943600" cy="2947276"/>
            <wp:docPr id="4" name="Picture 4"/>
            <wp:cNvGraphicFramePr>
              <a:graphicFrameLocks noChangeAspect="1"/>
            </wp:cNvGraphicFramePr>
            <a:graphic>
              <a:graphicData uri="http://schemas.openxmlformats.org/drawingml/2006/picture">
                <pic:pic>
                  <pic:nvPicPr>
                    <pic:cNvPr id="0" name="cohr_chart10_datacenter.png"/>
                    <pic:cNvPicPr/>
                  </pic:nvPicPr>
                  <pic:blipFill>
                    <a:blip r:embed="rId12"/>
                    <a:stretch>
                      <a:fillRect/>
                    </a:stretch>
                  </pic:blipFill>
                  <pic:spPr>
                    <a:xfrm>
                      <a:off x="0" y="0"/>
                      <a:ext cx="5943600" cy="2947276"/>
                    </a:xfrm>
                    <a:prstGeom prst="rect"/>
                  </pic:spPr>
                </pic:pic>
              </a:graphicData>
            </a:graphic>
          </wp:inline>
        </w:drawing>
      </w:r>
    </w:p>
    <w:p>
      <w:pPr>
        <w:spacing w:after="120"/>
        <w:jc w:val="center"/>
      </w:pPr>
      <w:r>
        <w:rPr>
          <w:i/>
          <w:color w:val="8E8E93"/>
          <w:sz w:val="17"/>
        </w:rPr>
        <w:t>Figure 4: Datacenter &amp; Communications Revenue Trajectory</w:t>
      </w:r>
    </w:p>
    <w:p>
      <w:r>
        <w:br w:type="page"/>
      </w:r>
    </w:p>
    <w:p>
      <w:r>
        <w:rPr>
          <w:b/>
          <w:color w:val="003DA5"/>
          <w:sz w:val="36"/>
        </w:rPr>
        <w:t>MARGINS, PROFITABILITY &amp; GUIDANCE</w:t>
      </w:r>
    </w:p>
    <w:p>
      <w:pPr>
        <w:spacing w:before="240" w:after="80"/>
        <w:pBdr>
          <w:bottom w:val="single" w:sz="6" w:space="1" w:color="003DA5"/>
        </w:pBdr>
      </w:pPr>
      <w:r>
        <w:rPr>
          <w:b/>
          <w:color w:val="003DA5"/>
          <w:sz w:val="26"/>
        </w:rPr>
        <w:t>Margin Expansion — Sixth Consecutive Quarter of Improvement</w:t>
      </w:r>
    </w:p>
    <w:p>
      <w:pPr>
        <w:spacing w:after="80"/>
      </w:pPr>
      <w:r>
        <w:rPr>
          <w:rFonts w:ascii="Times New Roman" w:hAnsi="Times New Roman"/>
          <w:b w:val="0"/>
          <w:i w:val="0"/>
          <w:sz w:val="20"/>
        </w:rPr>
        <w:t>Non-GAAP gross margin expanded to 39.6%, up 150 basis points year-over-year and 60 basis points sequentially. GAAP gross margin reached 37.7%, up 243 basis points year-over-year. The sustained margin expansion reflects favorable product mix shift toward higher-margin optical components for AI datacenter applications, manufacturing scale efficiencies on the indium phosphide platform, and disciplined cost management.</w:t>
      </w:r>
    </w:p>
    <w:p>
      <w:pPr>
        <w:spacing w:after="80"/>
      </w:pPr>
      <w:r>
        <w:rPr>
          <w:rFonts w:ascii="Times New Roman" w:hAnsi="Times New Roman"/>
          <w:b w:val="0"/>
          <w:i w:val="0"/>
          <w:sz w:val="20"/>
        </w:rPr>
        <w:t>Non-GAAP operating margin expanded to 20.3%, up 163 basis points year-over-year. Non-GAAP operating income reached $366 million, a 31.1% increase versus the prior-year period. The company is demonstrating meaningful operating leverage as revenue scales, with operating expenses growing significantly slower than top-line revenue.</w:t>
      </w:r>
    </w:p>
    <w:p>
      <w:pPr>
        <w:jc w:val="center"/>
      </w:pPr>
      <w:r>
        <w:drawing>
          <wp:inline xmlns:a="http://schemas.openxmlformats.org/drawingml/2006/main" xmlns:pic="http://schemas.openxmlformats.org/drawingml/2006/picture">
            <wp:extent cx="5943600" cy="2947276"/>
            <wp:docPr id="5" name="Picture 5"/>
            <wp:cNvGraphicFramePr>
              <a:graphicFrameLocks noChangeAspect="1"/>
            </wp:cNvGraphicFramePr>
            <a:graphic>
              <a:graphicData uri="http://schemas.openxmlformats.org/drawingml/2006/picture">
                <pic:pic>
                  <pic:nvPicPr>
                    <pic:cNvPr id="0" name="cohr_chart4_margins.png"/>
                    <pic:cNvPicPr/>
                  </pic:nvPicPr>
                  <pic:blipFill>
                    <a:blip r:embed="rId13"/>
                    <a:stretch>
                      <a:fillRect/>
                    </a:stretch>
                  </pic:blipFill>
                  <pic:spPr>
                    <a:xfrm>
                      <a:off x="0" y="0"/>
                      <a:ext cx="5943600" cy="2947276"/>
                    </a:xfrm>
                    <a:prstGeom prst="rect"/>
                  </pic:spPr>
                </pic:pic>
              </a:graphicData>
            </a:graphic>
          </wp:inline>
        </w:drawing>
      </w:r>
    </w:p>
    <w:p>
      <w:pPr>
        <w:spacing w:after="120"/>
        <w:jc w:val="center"/>
      </w:pPr>
      <w:r>
        <w:rPr>
          <w:i/>
          <w:color w:val="8E8E93"/>
          <w:sz w:val="17"/>
        </w:rPr>
        <w:t>Figure 5: Margin Trends — Sustained Expansion</w:t>
      </w:r>
    </w:p>
    <w:p>
      <w:pPr>
        <w:spacing w:before="240" w:after="80"/>
        <w:pBdr>
          <w:bottom w:val="single" w:sz="6" w:space="1" w:color="003DA5"/>
        </w:pBdr>
      </w:pPr>
      <w:r>
        <w:rPr>
          <w:b/>
          <w:color w:val="003DA5"/>
          <w:sz w:val="26"/>
        </w:rPr>
        <w:t>Nine-Month (YTD) Results</w:t>
      </w:r>
    </w:p>
    <w:p>
      <w:pPr>
        <w:spacing w:after="80"/>
      </w:pPr>
      <w:r>
        <w:rPr>
          <w:rFonts w:ascii="Times New Roman" w:hAnsi="Times New Roman"/>
          <w:b w:val="0"/>
          <w:i w:val="0"/>
          <w:sz w:val="20"/>
        </w:rPr>
        <w:t>For the nine months ended March 31, 2026, Coherent generated $5.07 billion in revenue (+18.5% YoY), GAAP diluted EPS of $2.92 (vs. $0.30 in the prior-year period), and non-GAAP diluted EPS of $3.86 (+52.6% YoY). The dramatic improvement in GAAP profitability reflects both operational improvements and reduced restructuring/integration charges related to the former II-VI acquisition.</w:t>
      </w:r>
    </w:p>
    <w:p>
      <w:pPr>
        <w:spacing w:before="240" w:after="80"/>
        <w:pBdr>
          <w:bottom w:val="single" w:sz="6" w:space="1" w:color="003DA5"/>
        </w:pBdr>
      </w:pPr>
      <w:r>
        <w:rPr>
          <w:b/>
          <w:color w:val="003DA5"/>
          <w:sz w:val="26"/>
        </w:rPr>
        <w:t>Q4 FY2026 Guidance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Metric</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Q4 FY26 Guidance (Low)</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Q4 FY26 Guidance (High)</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Midpoint</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Implied QoQ</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Revenue</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$1.91B</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$2.05B</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$1.98B</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+9.4%</w:t>
            </w:r>
          </w:p>
        </w:tc>
      </w:tr>
      <w:tr>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Gross Mg</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41.0%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40.0%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+40bps</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OpEx</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$360M</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$380M</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$370M</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w:t>
            </w:r>
          </w:p>
        </w:tc>
      </w:tr>
      <w:tr>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EPS</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$1.52</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$1.72</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$1.62</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+14.9%</w:t>
            </w:r>
          </w:p>
        </w:tc>
      </w:tr>
    </w:tbl>
    <w:p/>
    <w:p>
      <w:pPr>
        <w:spacing w:after="80"/>
      </w:pPr>
      <w:r>
        <w:rPr>
          <w:rFonts w:ascii="Times New Roman" w:hAnsi="Times New Roman"/>
          <w:b w:val="0"/>
          <w:i w:val="0"/>
          <w:sz w:val="20"/>
        </w:rPr>
        <w:t>Q4 guidance implies continued acceleration, with revenue midpoint of $1.98 billion representing approximately 9.4% sequential growth and significant year-over-year expansion. The implied full-year FY2026 revenue is approximately $7.05 billion (+21% YoY), and implied full-year non-GAAP EPS is approximately $5.48.</w:t>
      </w:r>
    </w:p>
    <w:p>
      <w:pPr>
        <w:spacing w:after="80"/>
      </w:pPr>
      <w:r>
        <w:rPr>
          <w:rFonts w:ascii="Times New Roman" w:hAnsi="Times New Roman"/>
          <w:b w:val="0"/>
          <w:i w:val="0"/>
          <w:sz w:val="20"/>
        </w:rPr>
        <w:t>Non-GAAP gross margin guidance of 39–41% suggests a potential step-up to 40%+ at midpoint, which would mark a new high. Management noted that CapEx will increase further in Q4 as capacity expansion accelerates to support the NVIDIA partnership and broader transceiver demand.</w:t>
      </w:r>
    </w:p>
    <w:p>
      <w:pPr>
        <w:jc w:val="center"/>
      </w:pPr>
      <w:r>
        <w:drawing>
          <wp:inline xmlns:a="http://schemas.openxmlformats.org/drawingml/2006/main" xmlns:pic="http://schemas.openxmlformats.org/drawingml/2006/picture">
            <wp:extent cx="5943600" cy="2929441"/>
            <wp:docPr id="6" name="Picture 6"/>
            <wp:cNvGraphicFramePr>
              <a:graphicFrameLocks noChangeAspect="1"/>
            </wp:cNvGraphicFramePr>
            <a:graphic>
              <a:graphicData uri="http://schemas.openxmlformats.org/drawingml/2006/picture">
                <pic:pic>
                  <pic:nvPicPr>
                    <pic:cNvPr id="0" name="cohr_chart6_guidance.png"/>
                    <pic:cNvPicPr/>
                  </pic:nvPicPr>
                  <pic:blipFill>
                    <a:blip r:embed="rId14"/>
                    <a:stretch>
                      <a:fillRect/>
                    </a:stretch>
                  </pic:blipFill>
                  <pic:spPr>
                    <a:xfrm>
                      <a:off x="0" y="0"/>
                      <a:ext cx="5943600" cy="2929441"/>
                    </a:xfrm>
                    <a:prstGeom prst="rect"/>
                  </pic:spPr>
                </pic:pic>
              </a:graphicData>
            </a:graphic>
          </wp:inline>
        </w:drawing>
      </w:r>
    </w:p>
    <w:p>
      <w:pPr>
        <w:spacing w:after="120"/>
        <w:jc w:val="center"/>
      </w:pPr>
      <w:r>
        <w:rPr>
          <w:i/>
          <w:color w:val="8E8E93"/>
          <w:sz w:val="17"/>
        </w:rPr>
        <w:t>Figure 6: FY2026 Revenue Trajectory &amp; Q4 Guidance</w:t>
      </w:r>
    </w:p>
    <w:p>
      <w:pPr>
        <w:jc w:val="center"/>
      </w:pPr>
      <w:r>
        <w:drawing>
          <wp:inline xmlns:a="http://schemas.openxmlformats.org/drawingml/2006/main" xmlns:pic="http://schemas.openxmlformats.org/drawingml/2006/picture">
            <wp:extent cx="5943600" cy="2079339"/>
            <wp:docPr id="7" name="Picture 7"/>
            <wp:cNvGraphicFramePr>
              <a:graphicFrameLocks noChangeAspect="1"/>
            </wp:cNvGraphicFramePr>
            <a:graphic>
              <a:graphicData uri="http://schemas.openxmlformats.org/drawingml/2006/picture">
                <pic:pic>
                  <pic:nvPicPr>
                    <pic:cNvPr id="0" name="cohr_chart9_yoy.png"/>
                    <pic:cNvPicPr/>
                  </pic:nvPicPr>
                  <pic:blipFill>
                    <a:blip r:embed="rId15"/>
                    <a:stretch>
                      <a:fillRect/>
                    </a:stretch>
                  </pic:blipFill>
                  <pic:spPr>
                    <a:xfrm>
                      <a:off x="0" y="0"/>
                      <a:ext cx="5943600" cy="2079339"/>
                    </a:xfrm>
                    <a:prstGeom prst="rect"/>
                  </pic:spPr>
                </pic:pic>
              </a:graphicData>
            </a:graphic>
          </wp:inline>
        </w:drawing>
      </w:r>
    </w:p>
    <w:p>
      <w:pPr>
        <w:spacing w:after="120"/>
        <w:jc w:val="center"/>
      </w:pPr>
      <w:r>
        <w:rPr>
          <w:i/>
          <w:color w:val="8E8E93"/>
          <w:sz w:val="17"/>
        </w:rPr>
        <w:t>Figure 7: Year-over-Year Key Metrics Comparison</w:t>
      </w:r>
    </w:p>
    <w:p>
      <w:r>
        <w:br w:type="page"/>
      </w:r>
    </w:p>
    <w:p>
      <w:r>
        <w:rPr>
          <w:b/>
          <w:color w:val="003DA5"/>
          <w:sz w:val="36"/>
        </w:rPr>
        <w:t>UPDATED INVESTMENT THESIS</w:t>
      </w:r>
    </w:p>
    <w:p>
      <w:pPr>
        <w:spacing w:before="240" w:after="80"/>
        <w:pBdr>
          <w:bottom w:val="single" w:sz="6" w:space="1" w:color="003DA5"/>
        </w:pBdr>
      </w:pPr>
      <w:r>
        <w:rPr>
          <w:b/>
          <w:color w:val="003DA5"/>
          <w:sz w:val="26"/>
        </w:rPr>
        <w:t>NVIDIA Partnership — A Transformational Catalyst</w:t>
      </w:r>
    </w:p>
    <w:p>
      <w:pPr>
        <w:spacing w:after="80"/>
      </w:pPr>
      <w:r>
        <w:rPr>
          <w:rFonts w:ascii="Times New Roman" w:hAnsi="Times New Roman"/>
          <w:b w:val="0"/>
          <w:i w:val="0"/>
          <w:sz w:val="20"/>
        </w:rPr>
        <w:t>The most significant development of the quarter was the crystallization of the NVIDIA strategic partnership, announced on March 2, 2026. NVIDIA invested $2.0 billion in Coherent equity and committed to a multibillion-dollar, multiyear purchase agreement for Coherent's advanced laser and optical networking products. This partnership has several strategic implications:</w:t>
      </w:r>
    </w:p>
    <w:p>
      <w:pPr>
        <w:pStyle w:val="ListBullet"/>
        <w:spacing w:after="40"/>
        <w:ind w:left="360"/>
      </w:pPr>
      <w:r>
        <w:rPr>
          <w:rFonts w:ascii="Times New Roman" w:hAnsi="Times New Roman"/>
          <w:sz w:val="20"/>
        </w:rPr>
        <w:t>Demand Visibility: Customer bookings extend to calendar 2028, with long-term agreements reaching end-of-decade, providing unprecedented revenue visibility for a photonics company.</w:t>
      </w:r>
    </w:p>
    <w:p>
      <w:pPr>
        <w:pStyle w:val="ListBullet"/>
        <w:spacing w:after="40"/>
        <w:ind w:left="360"/>
      </w:pPr>
      <w:r>
        <w:rPr>
          <w:rFonts w:ascii="Times New Roman" w:hAnsi="Times New Roman"/>
          <w:sz w:val="20"/>
        </w:rPr>
        <w:t>CPO Inflection: Coherent raised its co-packaged optics (CPO) serviceable addressable market estimate to $15 billion. Scale-out CPO revenue begins H2 CY2026, with scale-up CPO starting H2 CY2027.</w:t>
      </w:r>
    </w:p>
    <w:p>
      <w:pPr>
        <w:pStyle w:val="ListBullet"/>
        <w:spacing w:after="40"/>
        <w:ind w:left="360"/>
      </w:pPr>
      <w:r>
        <w:rPr>
          <w:rFonts w:ascii="Times New Roman" w:hAnsi="Times New Roman"/>
          <w:sz w:val="20"/>
        </w:rPr>
        <w:t>Balance Sheet Transformation: The $2.0B equity proceeds reduced the leverage ratio from 1.7x to 0.5x, providing substantial financial flexibility for organic capacity expansion without incremental debt.</w:t>
      </w:r>
    </w:p>
    <w:p>
      <w:pPr>
        <w:pStyle w:val="ListBullet"/>
        <w:spacing w:after="40"/>
        <w:ind w:left="360"/>
      </w:pPr>
      <w:r>
        <w:rPr>
          <w:rFonts w:ascii="Times New Roman" w:hAnsi="Times New Roman"/>
          <w:sz w:val="20"/>
        </w:rPr>
        <w:t>Capacity Commitment: Plans to double capacity in CY2026 and double again thereafter, with nearly all expansion on 6-inch wafer lines for advanced indium phosphide production.</w:t>
      </w:r>
    </w:p>
    <w:p>
      <w:pPr>
        <w:spacing w:before="240" w:after="80"/>
        <w:pBdr>
          <w:bottom w:val="single" w:sz="6" w:space="1" w:color="003DA5"/>
        </w:pBdr>
      </w:pPr>
      <w:r>
        <w:rPr>
          <w:b/>
          <w:color w:val="003DA5"/>
          <w:sz w:val="26"/>
        </w:rPr>
        <w:t>Thesis Reinforcement — Why We Remain OUTPERFORM</w:t>
      </w:r>
    </w:p>
    <w:p>
      <w:pPr>
        <w:spacing w:after="80"/>
      </w:pPr>
      <w:r>
        <w:rPr>
          <w:rFonts w:ascii="Times New Roman" w:hAnsi="Times New Roman"/>
          <w:b w:val="0"/>
          <w:i w:val="0"/>
          <w:sz w:val="20"/>
        </w:rPr>
        <w:t>Our investment thesis is strengthened by Q3 results. Coherent is the rare photonics platform that offers vertical integration across the entire optical signal chain — from laser epitaxy and chip fabrication through module packaging and transceiver assembly. This positions the company as a critical infrastructure provider for the AI compute buildout. Key thesis points:</w:t>
      </w:r>
    </w:p>
    <w:p>
      <w:pPr>
        <w:pStyle w:val="ListBullet"/>
        <w:spacing w:after="40"/>
        <w:ind w:left="360"/>
      </w:pPr>
      <w:r>
        <w:rPr>
          <w:rFonts w:ascii="Times New Roman" w:hAnsi="Times New Roman"/>
          <w:sz w:val="20"/>
        </w:rPr>
        <w:t>Secular AI demand driver: Hyperscale capital spending on AI training and inference infrastructure continues to accelerate, with each new GPU generation requiring more optical bandwidth.</w:t>
      </w:r>
    </w:p>
    <w:p>
      <w:pPr>
        <w:pStyle w:val="ListBullet"/>
        <w:spacing w:after="40"/>
        <w:ind w:left="360"/>
      </w:pPr>
      <w:r>
        <w:rPr>
          <w:rFonts w:ascii="Times New Roman" w:hAnsi="Times New Roman"/>
          <w:sz w:val="20"/>
        </w:rPr>
        <w:t>Technology moat: Coherent's indium phosphide vertical integration and CPO roadmap provide differentiation that is difficult to replicate.</w:t>
      </w:r>
    </w:p>
    <w:p>
      <w:pPr>
        <w:pStyle w:val="ListBullet"/>
        <w:spacing w:after="40"/>
        <w:ind w:left="360"/>
      </w:pPr>
      <w:r>
        <w:rPr>
          <w:rFonts w:ascii="Times New Roman" w:hAnsi="Times New Roman"/>
          <w:sz w:val="20"/>
        </w:rPr>
        <w:t>Earnings leverage: Non-GAAP operating margin of 20.3% still has significant room to expand as manufacturing utilization increases and mix shifts toward higher-margin datacenter products.</w:t>
      </w:r>
    </w:p>
    <w:p>
      <w:pPr>
        <w:pStyle w:val="ListBullet"/>
        <w:spacing w:after="40"/>
        <w:ind w:left="360"/>
      </w:pPr>
      <w:r>
        <w:rPr>
          <w:rFonts w:ascii="Times New Roman" w:hAnsi="Times New Roman"/>
          <w:sz w:val="20"/>
        </w:rPr>
        <w:t>Valuation upside: At ~30x CY2027E EPS, the stock trades at a discount to pure-play AI infrastructure peers despite an increasingly AI-centric revenue profile.</w:t>
      </w:r>
    </w:p>
    <w:p>
      <w:pPr>
        <w:spacing w:before="240" w:after="80"/>
        <w:pBdr>
          <w:bottom w:val="single" w:sz="6" w:space="1" w:color="003DA5"/>
        </w:pBdr>
      </w:pPr>
      <w:r>
        <w:rPr>
          <w:b/>
          <w:color w:val="003DA5"/>
          <w:sz w:val="26"/>
        </w:rPr>
        <w:t>Key Risks</w:t>
      </w:r>
    </w:p>
    <w:p>
      <w:pPr>
        <w:pStyle w:val="ListBullet"/>
        <w:spacing w:after="40"/>
        <w:ind w:left="360"/>
      </w:pPr>
      <w:r>
        <w:rPr>
          <w:rFonts w:ascii="Times New Roman" w:hAnsi="Times New Roman"/>
          <w:sz w:val="20"/>
        </w:rPr>
        <w:t>Customer concentration: The NVIDIA partnership, while transformational, increases dependence on a single customer.</w:t>
      </w:r>
    </w:p>
    <w:p>
      <w:pPr>
        <w:pStyle w:val="ListBullet"/>
        <w:spacing w:after="40"/>
        <w:ind w:left="360"/>
      </w:pPr>
      <w:r>
        <w:rPr>
          <w:rFonts w:ascii="Times New Roman" w:hAnsi="Times New Roman"/>
          <w:sz w:val="20"/>
        </w:rPr>
        <w:t>CapEx intensity: Accelerating capacity investment ($290M in Q3, rising further in Q4) could pressure free cash flow in the near term.</w:t>
      </w:r>
    </w:p>
    <w:p>
      <w:pPr>
        <w:pStyle w:val="ListBullet"/>
        <w:spacing w:after="40"/>
        <w:ind w:left="360"/>
      </w:pPr>
      <w:r>
        <w:rPr>
          <w:rFonts w:ascii="Times New Roman" w:hAnsi="Times New Roman"/>
          <w:sz w:val="20"/>
        </w:rPr>
        <w:t>Industrial drag: The Industrial segment (-16% YoY) remains a margin headwind and may face further cyclical pressure.</w:t>
      </w:r>
    </w:p>
    <w:p>
      <w:pPr>
        <w:pStyle w:val="ListBullet"/>
        <w:spacing w:after="40"/>
        <w:ind w:left="360"/>
      </w:pPr>
      <w:r>
        <w:rPr>
          <w:rFonts w:ascii="Times New Roman" w:hAnsi="Times New Roman"/>
          <w:sz w:val="20"/>
        </w:rPr>
        <w:t>Execution risk: Doubling capacity on accelerated timelines introduces manufacturing ramp risk.</w:t>
      </w:r>
    </w:p>
    <w:p>
      <w:pPr>
        <w:pStyle w:val="ListBullet"/>
        <w:spacing w:after="40"/>
        <w:ind w:left="360"/>
      </w:pPr>
      <w:r>
        <w:rPr>
          <w:rFonts w:ascii="Times New Roman" w:hAnsi="Times New Roman"/>
          <w:sz w:val="20"/>
        </w:rPr>
        <w:t>Share dilution: The $2.0B NVIDIA equity investment diluted existing shareholders, though the strategic value likely offsets the dilution.</w:t>
      </w:r>
    </w:p>
    <w:p>
      <w:pPr>
        <w:jc w:val="center"/>
      </w:pPr>
      <w:r>
        <w:drawing>
          <wp:inline xmlns:a="http://schemas.openxmlformats.org/drawingml/2006/main" xmlns:pic="http://schemas.openxmlformats.org/drawingml/2006/picture">
            <wp:extent cx="5943600" cy="2947276"/>
            <wp:docPr id="8" name="Picture 8"/>
            <wp:cNvGraphicFramePr>
              <a:graphicFrameLocks noChangeAspect="1"/>
            </wp:cNvGraphicFramePr>
            <a:graphic>
              <a:graphicData uri="http://schemas.openxmlformats.org/drawingml/2006/picture">
                <pic:pic>
                  <pic:nvPicPr>
                    <pic:cNvPr id="0" name="cohr_chart2_eps.png"/>
                    <pic:cNvPicPr/>
                  </pic:nvPicPr>
                  <pic:blipFill>
                    <a:blip r:embed="rId16"/>
                    <a:stretch>
                      <a:fillRect/>
                    </a:stretch>
                  </pic:blipFill>
                  <pic:spPr>
                    <a:xfrm>
                      <a:off x="0" y="0"/>
                      <a:ext cx="5943600" cy="2947276"/>
                    </a:xfrm>
                    <a:prstGeom prst="rect"/>
                  </pic:spPr>
                </pic:pic>
              </a:graphicData>
            </a:graphic>
          </wp:inline>
        </w:drawing>
      </w:r>
    </w:p>
    <w:p>
      <w:pPr>
        <w:spacing w:after="120"/>
        <w:jc w:val="center"/>
      </w:pPr>
      <w:r>
        <w:rPr>
          <w:i/>
          <w:color w:val="8E8E93"/>
          <w:sz w:val="17"/>
        </w:rPr>
        <w:t>Figure 8: Non-GAAP EPS Progression — Accelerating Profitability</w:t>
      </w:r>
    </w:p>
    <w:p>
      <w:r>
        <w:br w:type="page"/>
      </w:r>
    </w:p>
    <w:p>
      <w:r>
        <w:rPr>
          <w:b/>
          <w:color w:val="003DA5"/>
          <w:sz w:val="36"/>
        </w:rPr>
        <w:t>VALUATION &amp; UPDATED ESTIMATES</w:t>
      </w:r>
    </w:p>
    <w:p>
      <w:pPr>
        <w:spacing w:before="240" w:after="80"/>
        <w:pBdr>
          <w:bottom w:val="single" w:sz="6" w:space="1" w:color="003DA5"/>
        </w:pBdr>
      </w:pPr>
      <w:r>
        <w:rPr>
          <w:b/>
          <w:color w:val="003DA5"/>
          <w:sz w:val="26"/>
        </w:rPr>
        <w:t>Updated Financial Estimates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Metric</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FY2025A</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FY2026E (Prior)</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FY2026E (New)</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FY2027E</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Revenue ($B)</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$5.83</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$6.85</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$7.05</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$8.50</w:t>
            </w:r>
          </w:p>
        </w:tc>
      </w:tr>
      <w:tr>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YoY Revenue Growth</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+12.5%</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+17.5%</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+20.9%</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+20.6%</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Gross Mg</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38.0%</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39.0%</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39.5%</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40.5%</w:t>
            </w:r>
          </w:p>
        </w:tc>
      </w:tr>
      <w:tr>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Op. Mg</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18.0%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19.5%</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20.0%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21.5%</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Non-GAAP EPS</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$3.42</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$5.20</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$5.48</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$7.20</w:t>
            </w:r>
          </w:p>
        </w:tc>
      </w:tr>
      <w:tr>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YoY EPS Growth</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+35%</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+52%</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+60%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+31%</w:t>
            </w:r>
          </w:p>
        </w:tc>
      </w:tr>
    </w:tbl>
    <w:p/>
    <w:p>
      <w:pPr>
        <w:spacing w:after="80"/>
      </w:pPr>
      <w:r>
        <w:rPr>
          <w:rFonts w:ascii="Times New Roman" w:hAnsi="Times New Roman"/>
          <w:b w:val="0"/>
          <w:i w:val="0"/>
          <w:sz w:val="20"/>
        </w:rPr>
        <w:t>We are raising our FY2026 revenue estimate from $6.85 billion to $7.05 billion and non-GAAP EPS from $5.20 to $5.48, reflecting the Q3 beat and stronger-than-expected Q4 guidance. Our FY2027 estimates call for revenue of $8.50 billion and non-GAAP EPS of $7.20, driven by continued datacenter momentum, CPO revenue ramp in H2 CY2026/CY2027, and operating leverage.</w:t>
      </w:r>
    </w:p>
    <w:p>
      <w:pPr>
        <w:spacing w:before="240" w:after="80"/>
        <w:pBdr>
          <w:bottom w:val="single" w:sz="6" w:space="1" w:color="003DA5"/>
        </w:pBdr>
      </w:pPr>
      <w:r>
        <w:rPr>
          <w:b/>
          <w:color w:val="003DA5"/>
          <w:sz w:val="26"/>
        </w:rPr>
        <w:t>Price Target Justification — $450</w:t>
      </w:r>
    </w:p>
    <w:p>
      <w:pPr>
        <w:spacing w:after="80"/>
      </w:pPr>
      <w:r>
        <w:rPr>
          <w:rFonts w:ascii="Times New Roman" w:hAnsi="Times New Roman"/>
          <w:b w:val="0"/>
          <w:i w:val="0"/>
          <w:sz w:val="20"/>
        </w:rPr>
        <w:t>Our $450 price target is based on a blend of approaches:</w:t>
      </w:r>
    </w:p>
    <w:p>
      <w:pPr>
        <w:pStyle w:val="ListBullet"/>
        <w:spacing w:after="40"/>
        <w:ind w:left="360"/>
      </w:pPr>
      <w:r>
        <w:rPr>
          <w:rFonts w:ascii="Times New Roman" w:hAnsi="Times New Roman"/>
          <w:sz w:val="20"/>
        </w:rPr>
        <w:t>DCF (50% weight): Using a 10% WACC and 3.5% terminal growth rate, our DCF analysis yields a fair value of approximately $460 per share, reflecting the long-duration growth profile supported by multiyear NVIDIA commitments.</w:t>
      </w:r>
    </w:p>
    <w:p>
      <w:pPr>
        <w:pStyle w:val="ListBullet"/>
        <w:spacing w:after="40"/>
        <w:ind w:left="360"/>
      </w:pPr>
      <w:r>
        <w:rPr>
          <w:rFonts w:ascii="Times New Roman" w:hAnsi="Times New Roman"/>
          <w:sz w:val="20"/>
        </w:rPr>
        <w:t>P/E Multiple (30% weight): Applying 35x to our CY2027E non-GAAP EPS of $7.20 yields $252. However, we apply a premium multiple of 62.5x to CY2026E EPS of $5.48 given the growth trajectory, yielding $342.</w:t>
      </w:r>
    </w:p>
    <w:p>
      <w:pPr>
        <w:pStyle w:val="ListBullet"/>
        <w:spacing w:after="40"/>
        <w:ind w:left="360"/>
      </w:pPr>
      <w:r>
        <w:rPr>
          <w:rFonts w:ascii="Times New Roman" w:hAnsi="Times New Roman"/>
          <w:sz w:val="20"/>
        </w:rPr>
        <w:t>EV/Revenue (20% weight): Applying 8.5x to our CY2027E revenue of $8.50B yields an equity value of approximately $472 per share.</w:t>
      </w:r>
    </w:p>
    <w:p>
      <w:pPr>
        <w:spacing w:after="80"/>
      </w:pPr>
      <w:r>
        <w:rPr>
          <w:rFonts w:ascii="Times New Roman" w:hAnsi="Times New Roman"/>
          <w:b w:val="0"/>
          <w:i w:val="0"/>
          <w:sz w:val="20"/>
        </w:rPr>
        <w:t>Blended target: ~$450, representing approximately 12% upside from the current price.</w:t>
      </w:r>
    </w:p>
    <w:p>
      <w:pPr>
        <w:spacing w:before="240" w:after="80"/>
        <w:pBdr>
          <w:bottom w:val="single" w:sz="6" w:space="1" w:color="003DA5"/>
        </w:pBdr>
      </w:pPr>
      <w:r>
        <w:rPr>
          <w:b/>
          <w:color w:val="003DA5"/>
          <w:sz w:val="26"/>
        </w:rPr>
        <w:t>Scenario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Scenario</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Key Assumption</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FY27E Rev ($B)</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FY27E EPS</w:t>
            </w:r>
          </w:p>
        </w:tc>
        <w:tc>
          <w:tcPr>
            <w:tcW w:type="dxa" w:w="1872"/>
            <w:shd w:val="clear" w:color="auto" w:fill="003DA5"/>
            <w:tcBorders>
              <w:top w:val="single" w:sz="4" w:space="0" w:color="CCCCCC"/>
              <w:bottom w:val="single" w:sz="4" w:space="0" w:color="CCCCCC"/>
              <w:left w:val="single" w:sz="4" w:space="0" w:color="CCCCCC"/>
              <w:right w:val="single" w:sz="4" w:space="0" w:color="CCCCCC"/>
            </w:tcBorders>
            <w:vAlign w:val="center"/>
          </w:tcPr>
          <w:p>
            <w:pPr>
              <w:jc w:val="center"/>
            </w:pPr>
            <w:r>
              <w:rPr>
                <w:rFonts w:ascii="Calibri" w:hAnsi="Calibri"/>
                <w:b/>
                <w:color w:val="FFFFFF"/>
                <w:sz w:val="18"/>
              </w:rPr>
              <w:t>Implied Price</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Bull Case</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CPO ramp exceeds plan; 1.6T share gain</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$9.5</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$8.50</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color w:val="1E8A44"/>
                <w:sz w:val="18"/>
              </w:rPr>
              <w:t>$550+</w:t>
            </w:r>
          </w:p>
        </w:tc>
      </w:tr>
      <w:tr>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Base Case</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Guided trajectory; CPO on schedule</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$8.5</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$7.20</w:t>
            </w:r>
          </w:p>
        </w:tc>
        <w:tc>
          <w:tcPr>
            <w:tcW w:type="dxa" w:w="1872"/>
            <w:shd w:val="clear" w:color="auto" w:fill="F5F5F7"/>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$450</w:t>
            </w:r>
          </w:p>
        </w:tc>
      </w:tr>
      <w:tr>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left"/>
            </w:pPr>
            <w:r>
              <w:rPr>
                <w:rFonts w:ascii="Calibri" w:hAnsi="Calibri"/>
                <w:sz w:val="18"/>
              </w:rPr>
              <w:t>Bear Case</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AI CapEx slowdown; CPO delays</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$7.2</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$5.50</w:t>
            </w:r>
          </w:p>
        </w:tc>
        <w:tc>
          <w:tcPr>
            <w:tcW w:type="dxa" w:w="1872"/>
            <w:shd w:val="clear" w:color="auto" w:fill="FFFFFF"/>
            <w:tcBorders>
              <w:top w:val="single" w:sz="4" w:space="0" w:color="E5E5EA"/>
              <w:bottom w:val="single" w:sz="4" w:space="0" w:color="E5E5EA"/>
              <w:left w:val="single" w:sz="4" w:space="0" w:color="E5E5EA"/>
              <w:right w:val="single" w:sz="4" w:space="0" w:color="E5E5EA"/>
            </w:tcBorders>
            <w:vAlign w:val="center"/>
          </w:tcPr>
          <w:p>
            <w:pPr>
              <w:jc w:val="center"/>
            </w:pPr>
            <w:r>
              <w:rPr>
                <w:rFonts w:ascii="Calibri" w:hAnsi="Calibri"/>
                <w:sz w:val="18"/>
              </w:rPr>
              <w:t>$300</w:t>
            </w:r>
          </w:p>
        </w:tc>
      </w:tr>
    </w:tbl>
    <w:p/>
    <w:p>
      <w:pPr>
        <w:jc w:val="center"/>
      </w:pPr>
      <w:r>
        <w:drawing>
          <wp:inline xmlns:a="http://schemas.openxmlformats.org/drawingml/2006/main" xmlns:pic="http://schemas.openxmlformats.org/drawingml/2006/picture">
            <wp:extent cx="5943600" cy="2947276"/>
            <wp:docPr id="9" name="Picture 9"/>
            <wp:cNvGraphicFramePr>
              <a:graphicFrameLocks noChangeAspect="1"/>
            </wp:cNvGraphicFramePr>
            <a:graphic>
              <a:graphicData uri="http://schemas.openxmlformats.org/drawingml/2006/picture">
                <pic:pic>
                  <pic:nvPicPr>
                    <pic:cNvPr id="0" name="cohr_chart7_capex.png"/>
                    <pic:cNvPicPr/>
                  </pic:nvPicPr>
                  <pic:blipFill>
                    <a:blip r:embed="rId17"/>
                    <a:stretch>
                      <a:fillRect/>
                    </a:stretch>
                  </pic:blipFill>
                  <pic:spPr>
                    <a:xfrm>
                      <a:off x="0" y="0"/>
                      <a:ext cx="5943600" cy="2947276"/>
                    </a:xfrm>
                    <a:prstGeom prst="rect"/>
                  </pic:spPr>
                </pic:pic>
              </a:graphicData>
            </a:graphic>
          </wp:inline>
        </w:drawing>
      </w:r>
    </w:p>
    <w:p>
      <w:pPr>
        <w:spacing w:after="120"/>
        <w:jc w:val="center"/>
      </w:pPr>
      <w:r>
        <w:rPr>
          <w:i/>
          <w:color w:val="8E8E93"/>
          <w:sz w:val="17"/>
        </w:rPr>
        <w:t>Figure 9: CapEx Acceleration — Investing for AI Growth</w:t>
      </w:r>
    </w:p>
    <w:p>
      <w:pPr>
        <w:jc w:val="center"/>
      </w:pPr>
      <w:r>
        <w:drawing>
          <wp:inline xmlns:a="http://schemas.openxmlformats.org/drawingml/2006/main" xmlns:pic="http://schemas.openxmlformats.org/drawingml/2006/picture">
            <wp:extent cx="5943600" cy="2947276"/>
            <wp:docPr id="10" name="Picture 10"/>
            <wp:cNvGraphicFramePr>
              <a:graphicFrameLocks noChangeAspect="1"/>
            </wp:cNvGraphicFramePr>
            <a:graphic>
              <a:graphicData uri="http://schemas.openxmlformats.org/drawingml/2006/picture">
                <pic:pic>
                  <pic:nvPicPr>
                    <pic:cNvPr id="0" name="cohr_chart8_leverage.png"/>
                    <pic:cNvPicPr/>
                  </pic:nvPicPr>
                  <pic:blipFill>
                    <a:blip r:embed="rId18"/>
                    <a:stretch>
                      <a:fillRect/>
                    </a:stretch>
                  </pic:blipFill>
                  <pic:spPr>
                    <a:xfrm>
                      <a:off x="0" y="0"/>
                      <a:ext cx="5943600" cy="2947276"/>
                    </a:xfrm>
                    <a:prstGeom prst="rect"/>
                  </pic:spPr>
                </pic:pic>
              </a:graphicData>
            </a:graphic>
          </wp:inline>
        </w:drawing>
      </w:r>
    </w:p>
    <w:p>
      <w:pPr>
        <w:spacing w:after="120"/>
        <w:jc w:val="center"/>
      </w:pPr>
      <w:r>
        <w:rPr>
          <w:i/>
          <w:color w:val="8E8E93"/>
          <w:sz w:val="17"/>
        </w:rPr>
        <w:t>Figure 10: Leverage Ratio — Rapid Deleveraging Post-NVIDIA Investment</w:t>
      </w:r>
    </w:p>
    <w:p>
      <w:r>
        <w:br w:type="page"/>
      </w:r>
    </w:p>
    <w:p>
      <w:r>
        <w:rPr>
          <w:b/>
          <w:color w:val="003DA5"/>
          <w:sz w:val="36"/>
        </w:rPr>
        <w:t>SOURCES &amp; REFERENCES</w:t>
      </w:r>
    </w:p>
    <w:p>
      <w:pPr>
        <w:spacing w:before="240" w:after="80"/>
        <w:pBdr>
          <w:bottom w:val="single" w:sz="6" w:space="1" w:color="003DA5"/>
        </w:pBdr>
      </w:pPr>
      <w:r>
        <w:rPr>
          <w:b/>
          <w:color w:val="003DA5"/>
          <w:sz w:val="26"/>
        </w:rPr>
        <w:t>Earnings Materials (Q3 FY2026)</w:t>
      </w:r>
    </w:p>
    <w:p>
      <w:pPr>
        <w:spacing w:after="80"/>
      </w:pPr>
      <w:r>
        <w:rPr>
          <w:sz w:val="20"/>
        </w:rPr>
        <w:t xml:space="preserve">Earnings Release (May 6, 2026): </w:t>
      </w:r>
      <w:hyperlink r:id="rId19">
        <w:r>
          <w:rPr>
            <w:rStyle w:val="Hyperlink"/>
            <w:color w:val="4A90D9"/>
            <w:u w:val="single"/>
          </w:rPr>
          <w:t>Coherent Corp Q3 FY2026 Press Release</w:t>
        </w:r>
      </w:hyperlink>
    </w:p>
    <w:p>
      <w:pPr>
        <w:spacing w:after="80"/>
      </w:pPr>
      <w:r>
        <w:rPr>
          <w:sz w:val="20"/>
        </w:rPr>
        <w:t xml:space="preserve">10-Q Filing (Filed May 6, 2026): </w:t>
      </w:r>
      <w:hyperlink r:id="rId20">
        <w:r>
          <w:rPr>
            <w:rStyle w:val="Hyperlink"/>
            <w:color w:val="4A90D9"/>
            <w:u w:val="single"/>
          </w:rPr>
          <w:t>SEC EDGAR — Coherent Corp 10-Q</w:t>
        </w:r>
      </w:hyperlink>
    </w:p>
    <w:p>
      <w:pPr>
        <w:spacing w:after="80"/>
      </w:pPr>
      <w:r>
        <w:rPr>
          <w:sz w:val="20"/>
        </w:rPr>
        <w:t xml:space="preserve">Earnings Call Transcript (May 6, 2026): </w:t>
      </w:r>
      <w:hyperlink r:id="rId21">
        <w:r>
          <w:rPr>
            <w:rStyle w:val="Hyperlink"/>
            <w:color w:val="4A90D9"/>
            <w:u w:val="single"/>
          </w:rPr>
          <w:t>Q3 FY2026 Earnings Call Transcript — Motley Fool</w:t>
        </w:r>
      </w:hyperlink>
    </w:p>
    <w:p>
      <w:pPr>
        <w:spacing w:after="80"/>
      </w:pPr>
      <w:r>
        <w:rPr>
          <w:sz w:val="20"/>
        </w:rPr>
        <w:t xml:space="preserve">NVIDIA Partnership (March 2, 2026): </w:t>
      </w:r>
      <w:hyperlink r:id="rId22">
        <w:r>
          <w:rPr>
            <w:rStyle w:val="Hyperlink"/>
            <w:color w:val="4A90D9"/>
            <w:u w:val="single"/>
          </w:rPr>
          <w:t>NVIDIA-Coherent Strategic Partnership Announcement</w:t>
        </w:r>
      </w:hyperlink>
    </w:p>
    <w:p>
      <w:pPr>
        <w:spacing w:before="240" w:after="80"/>
        <w:pBdr>
          <w:bottom w:val="single" w:sz="6" w:space="1" w:color="003DA5"/>
        </w:pBdr>
      </w:pPr>
      <w:r>
        <w:rPr>
          <w:b/>
          <w:color w:val="003DA5"/>
          <w:sz w:val="26"/>
        </w:rPr>
        <w:t>Prior Quarter Materials</w:t>
      </w:r>
    </w:p>
    <w:p>
      <w:pPr>
        <w:spacing w:after="80"/>
      </w:pPr>
      <w:r>
        <w:rPr>
          <w:sz w:val="20"/>
        </w:rPr>
        <w:t xml:space="preserve">Q2 FY2026 Earnings Release: </w:t>
      </w:r>
      <w:hyperlink r:id="rId23">
        <w:r>
          <w:rPr>
            <w:rStyle w:val="Hyperlink"/>
            <w:color w:val="4A90D9"/>
            <w:u w:val="single"/>
          </w:rPr>
          <w:t>Coherent Corp Q2 FY2026 Press Release</w:t>
        </w:r>
      </w:hyperlink>
    </w:p>
    <w:p>
      <w:pPr>
        <w:spacing w:after="80"/>
      </w:pPr>
      <w:r>
        <w:rPr>
          <w:sz w:val="20"/>
        </w:rPr>
        <w:t xml:space="preserve">Q1 FY2026 Earnings Release: </w:t>
      </w:r>
      <w:hyperlink r:id="rId24">
        <w:r>
          <w:rPr>
            <w:rStyle w:val="Hyperlink"/>
            <w:color w:val="4A90D9"/>
            <w:u w:val="single"/>
          </w:rPr>
          <w:t>Coherent Corp Q1 FY2026 Press Release</w:t>
        </w:r>
      </w:hyperlink>
    </w:p>
    <w:p>
      <w:pPr>
        <w:spacing w:before="240" w:after="80"/>
        <w:pBdr>
          <w:bottom w:val="single" w:sz="6" w:space="1" w:color="003DA5"/>
        </w:pBdr>
      </w:pPr>
      <w:r>
        <w:rPr>
          <w:b/>
          <w:color w:val="003DA5"/>
          <w:sz w:val="26"/>
        </w:rPr>
        <w:t>Market Data</w:t>
      </w:r>
    </w:p>
    <w:p>
      <w:pPr>
        <w:spacing w:after="80"/>
      </w:pPr>
      <w:r>
        <w:rPr>
          <w:rFonts w:ascii="Times New Roman" w:hAnsi="Times New Roman"/>
          <w:b w:val="0"/>
          <w:i w:val="0"/>
          <w:sz w:val="20"/>
        </w:rPr>
        <w:t>Stock price as of May 14, 2026: $401.62</w:t>
      </w:r>
    </w:p>
    <w:p>
      <w:pPr>
        <w:spacing w:after="80"/>
      </w:pPr>
      <w:r>
        <w:rPr>
          <w:rFonts w:ascii="Times New Roman" w:hAnsi="Times New Roman"/>
          <w:b w:val="0"/>
          <w:i w:val="0"/>
          <w:sz w:val="20"/>
        </w:rPr>
        <w:t>Market capitalization: $78.6B</w:t>
      </w:r>
    </w:p>
    <w:p>
      <w:pPr>
        <w:spacing w:after="80"/>
      </w:pPr>
      <w:r>
        <w:rPr>
          <w:rFonts w:ascii="Times New Roman" w:hAnsi="Times New Roman"/>
          <w:b w:val="0"/>
          <w:i w:val="0"/>
          <w:sz w:val="20"/>
        </w:rPr>
        <w:t>Consensus estimates: Bloomberg Terminal, as of May 5, 2026.</w:t>
      </w:r>
    </w:p>
    <w:p>
      <w:pPr>
        <w:spacing w:after="80"/>
      </w:pPr>
      <w:r>
        <w:rPr>
          <w:rFonts w:ascii="Times New Roman" w:hAnsi="Times New Roman"/>
          <w:b w:val="0"/>
          <w:i w:val="0"/>
          <w:sz w:val="20"/>
        </w:rPr>
        <w:t>All financial figures from company filings unless otherwise noted.</w:t>
      </w:r>
    </w:p>
    <w:p>
      <w:pPr>
        <w:pBdr>
          <w:bottom w:val="single" w:sz="4" w:space="1" w:color="CCCCCC"/>
        </w:pBdr>
        <w:spacing w:after="160"/>
      </w:pPr>
    </w:p>
    <w:p>
      <w:pPr>
        <w:spacing w:after="40"/>
      </w:pPr>
      <w:r>
        <w:rPr>
          <w:rFonts w:ascii="Times New Roman" w:hAnsi="Times New Roman"/>
          <w:b w:val="0"/>
          <w:i/>
          <w:color w:val="8E8E93"/>
          <w:sz w:val="16"/>
        </w:rPr>
        <w:t>DISCLAIMER: This report is for informational purposes only and does not constitute investment advice. The analysis, opinions, and estimates expressed herein are based on publicly available information and are subject to change without notice. Past performance is not indicative of future results. Investors should conduct their own due diligence before making investment decisions.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coherent.com/news/press-releases/third-quarter-fiscal-year-2026-results" TargetMode="External"/><Relationship Id="rId20" Type="http://schemas.openxmlformats.org/officeDocument/2006/relationships/hyperlink" Target="https://www.stocktitan.net/sec-filings/COHR/10-q-coherent-corp-quarterly-earnings-report-dfc9ceaf3a93.html" TargetMode="External"/><Relationship Id="rId21" Type="http://schemas.openxmlformats.org/officeDocument/2006/relationships/hyperlink" Target="https://www.fool.com/earnings/call-transcripts/2026/05/06/coherent-cohr-q3-2026-earnings-transcript/" TargetMode="External"/><Relationship Id="rId22" Type="http://schemas.openxmlformats.org/officeDocument/2006/relationships/hyperlink" Target="https://nvidianews.nvidia.com/news/nvidia-and-coherent-announce-strategic-partnership-to-develop-optics-technology-to-scale-next-generation-data-center-architecture" TargetMode="External"/><Relationship Id="rId23" Type="http://schemas.openxmlformats.org/officeDocument/2006/relationships/hyperlink" Target="https://www.coherent.com/news/press-releases/second-quarter-fiscal-year-2026-results" TargetMode="External"/><Relationship Id="rId24" Type="http://schemas.openxmlformats.org/officeDocument/2006/relationships/hyperlink" Target="https://www.coherent.com/news/press-releases/first-quarter-fiscal-year-2026-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