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C1C4D"/>
          <w:sz w:val="44"/>
        </w:rPr>
        <w:t>ADOBE INC.  (ADBE: NASDAQ)</w:t>
      </w:r>
    </w:p>
    <w:p>
      <w:pPr>
        <w:spacing w:after="120"/>
      </w:pPr>
      <w:r>
        <w:rPr>
          <w:rFonts w:ascii="黑体" w:hAnsi="黑体" w:eastAsia="黑体"/>
          <w:color w:val="8E8E93"/>
          <w:sz w:val="20"/>
        </w:rPr>
        <w:t>投资筛选报告  |  应用软件  |  大型成长股</w:t>
      </w:r>
    </w:p>
    <w:tbl>
      <w:tblPr>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val="clear" w:color="auto" w:fill="F0F4FF"/>
            <w:tcBorders>
              <w:top w:val="single" w:sz="4" w:space="0" w:color="D0D8F0"/>
              <w:bottom w:val="single" w:sz="4" w:space="0" w:color="D0D8F0"/>
              <w:left w:val="single" w:sz="4" w:space="0" w:color="D0D8F0"/>
              <w:right w:val="single" w:sz="4" w:space="0" w:color="D0D8F0"/>
            </w:tcBorders>
          </w:tcPr>
          <w:p>
            <w:pPr>
              <w:jc w:val="center"/>
            </w:pPr>
            <w:r>
              <w:rPr>
                <w:rFonts w:ascii="Calibri" w:hAnsi="Calibri"/>
                <w:color w:val="8E8E93"/>
                <w:sz w:val="16"/>
              </w:rPr>
              <w:t>筛选信号</w:t>
              <w:br/>
            </w:r>
            <w:r>
              <w:rPr>
                <w:rFonts w:ascii="Calibri" w:hAnsi="Calibri"/>
                <w:b/>
                <w:color w:val="1E8A44"/>
                <w:sz w:val="20"/>
              </w:rPr>
              <w:t>深度价值 — 看多</w:t>
            </w:r>
          </w:p>
        </w:tc>
        <w:tc>
          <w:tcPr>
            <w:tcW w:type="dxa" w:w="1560"/>
            <w:shd w:val="clear" w:color="auto" w:fill="F0F4FF"/>
            <w:tcBorders>
              <w:top w:val="single" w:sz="4" w:space="0" w:color="D0D8F0"/>
              <w:bottom w:val="single" w:sz="4" w:space="0" w:color="D0D8F0"/>
              <w:left w:val="single" w:sz="4" w:space="0" w:color="D0D8F0"/>
              <w:right w:val="single" w:sz="4" w:space="0" w:color="D0D8F0"/>
            </w:tcBorders>
          </w:tcPr>
          <w:p>
            <w:pPr>
              <w:jc w:val="center"/>
            </w:pPr>
            <w:r>
              <w:rPr>
                <w:rFonts w:ascii="Calibri" w:hAnsi="Calibri"/>
                <w:color w:val="8E8E93"/>
                <w:sz w:val="16"/>
              </w:rPr>
              <w:t>当前价</w:t>
              <w:br/>
            </w:r>
            <w:r>
              <w:rPr>
                <w:rFonts w:ascii="Calibri" w:hAnsi="Calibri"/>
                <w:b/>
                <w:color w:val="1C1C4D"/>
                <w:sz w:val="20"/>
              </w:rPr>
              <w:t>$237.01</w:t>
            </w:r>
          </w:p>
        </w:tc>
        <w:tc>
          <w:tcPr>
            <w:tcW w:type="dxa" w:w="1560"/>
            <w:shd w:val="clear" w:color="auto" w:fill="F0F4FF"/>
            <w:tcBorders>
              <w:top w:val="single" w:sz="4" w:space="0" w:color="D0D8F0"/>
              <w:bottom w:val="single" w:sz="4" w:space="0" w:color="D0D8F0"/>
              <w:left w:val="single" w:sz="4" w:space="0" w:color="D0D8F0"/>
              <w:right w:val="single" w:sz="4" w:space="0" w:color="D0D8F0"/>
            </w:tcBorders>
          </w:tcPr>
          <w:p>
            <w:pPr>
              <w:jc w:val="center"/>
            </w:pPr>
            <w:r>
              <w:rPr>
                <w:rFonts w:ascii="Calibri" w:hAnsi="Calibri"/>
                <w:color w:val="8E8E93"/>
                <w:sz w:val="16"/>
              </w:rPr>
              <w:t>52周区间</w:t>
              <w:br/>
            </w:r>
            <w:r>
              <w:rPr>
                <w:rFonts w:ascii="Calibri" w:hAnsi="Calibri"/>
                <w:b/>
                <w:color w:val="8E8E93"/>
                <w:sz w:val="20"/>
              </w:rPr>
              <w:t>$224.13 – $422.95</w:t>
            </w:r>
          </w:p>
        </w:tc>
        <w:tc>
          <w:tcPr>
            <w:tcW w:type="dxa" w:w="1560"/>
            <w:shd w:val="clear" w:color="auto" w:fill="F0F4FF"/>
            <w:tcBorders>
              <w:top w:val="single" w:sz="4" w:space="0" w:color="D0D8F0"/>
              <w:bottom w:val="single" w:sz="4" w:space="0" w:color="D0D8F0"/>
              <w:left w:val="single" w:sz="4" w:space="0" w:color="D0D8F0"/>
              <w:right w:val="single" w:sz="4" w:space="0" w:color="D0D8F0"/>
            </w:tcBorders>
          </w:tcPr>
          <w:p>
            <w:pPr>
              <w:jc w:val="center"/>
            </w:pPr>
            <w:r>
              <w:rPr>
                <w:rFonts w:ascii="Calibri" w:hAnsi="Calibri"/>
                <w:color w:val="8E8E93"/>
                <w:sz w:val="16"/>
              </w:rPr>
              <w:t>市值</w:t>
              <w:br/>
            </w:r>
            <w:r>
              <w:rPr>
                <w:rFonts w:ascii="Calibri" w:hAnsi="Calibri"/>
                <w:b/>
                <w:color w:val="1C1C4D"/>
                <w:sz w:val="20"/>
              </w:rPr>
              <w:t>$95.8B</w:t>
            </w:r>
          </w:p>
        </w:tc>
        <w:tc>
          <w:tcPr>
            <w:tcW w:type="dxa" w:w="1560"/>
            <w:shd w:val="clear" w:color="auto" w:fill="F0F4FF"/>
            <w:tcBorders>
              <w:top w:val="single" w:sz="4" w:space="0" w:color="D0D8F0"/>
              <w:bottom w:val="single" w:sz="4" w:space="0" w:color="D0D8F0"/>
              <w:left w:val="single" w:sz="4" w:space="0" w:color="D0D8F0"/>
              <w:right w:val="single" w:sz="4" w:space="0" w:color="D0D8F0"/>
            </w:tcBorders>
          </w:tcPr>
          <w:p>
            <w:pPr>
              <w:jc w:val="center"/>
            </w:pPr>
            <w:r>
              <w:rPr>
                <w:rFonts w:ascii="Calibri" w:hAnsi="Calibri"/>
                <w:color w:val="8E8E93"/>
                <w:sz w:val="16"/>
              </w:rPr>
              <w:t>远期P/E</w:t>
              <w:br/>
            </w:r>
            <w:r>
              <w:rPr>
                <w:rFonts w:ascii="Calibri" w:hAnsi="Calibri"/>
                <w:b/>
                <w:color w:val="1473E6"/>
                <w:sz w:val="20"/>
              </w:rPr>
              <w:t>9.0x</w:t>
            </w:r>
          </w:p>
        </w:tc>
        <w:tc>
          <w:tcPr>
            <w:tcW w:type="dxa" w:w="1560"/>
            <w:shd w:val="clear" w:color="auto" w:fill="F0F4FF"/>
            <w:tcBorders>
              <w:top w:val="single" w:sz="4" w:space="0" w:color="D0D8F0"/>
              <w:bottom w:val="single" w:sz="4" w:space="0" w:color="D0D8F0"/>
              <w:left w:val="single" w:sz="4" w:space="0" w:color="D0D8F0"/>
              <w:right w:val="single" w:sz="4" w:space="0" w:color="D0D8F0"/>
            </w:tcBorders>
          </w:tcPr>
          <w:p>
            <w:pPr>
              <w:jc w:val="center"/>
            </w:pPr>
            <w:r>
              <w:rPr>
                <w:rFonts w:ascii="Calibri" w:hAnsi="Calibri"/>
                <w:color w:val="8E8E93"/>
                <w:sz w:val="16"/>
              </w:rPr>
              <w:t>P/S</w:t>
              <w:br/>
            </w:r>
            <w:r>
              <w:rPr>
                <w:rFonts w:ascii="Calibri" w:hAnsi="Calibri"/>
                <w:b/>
                <w:color w:val="1473E6"/>
                <w:sz w:val="20"/>
              </w:rPr>
              <w:t>3.9x</w:t>
            </w:r>
          </w:p>
        </w:tc>
      </w:tr>
    </w:tbl>
    <w:p>
      <w:pPr>
        <w:spacing w:after="80"/>
      </w:pPr>
    </w:p>
    <w:p>
      <w:pPr>
        <w:pBdr>
          <w:bottom w:val="single" w:sz="4" w:space="1" w:color="CCCCCC"/>
        </w:pBdr>
        <w:spacing w:after="160"/>
      </w:pPr>
    </w:p>
    <w:p>
      <w:pPr>
        <w:spacing w:after="60"/>
      </w:pPr>
      <w:r>
        <w:rPr>
          <w:rFonts w:ascii="黑体" w:hAnsi="黑体" w:eastAsia="黑体"/>
          <w:b/>
          <w:color w:val="1C1C4D"/>
          <w:sz w:val="28"/>
        </w:rPr>
        <w:t>投资筛选：大型应用软件同业估值对比</w:t>
        <w:br/>
        <w:t>Adobe以同业最低估值提供最高利润率——深度价值买入机会</w:t>
      </w:r>
    </w:p>
    <w:p>
      <w:pPr>
        <w:spacing w:after="160"/>
      </w:pPr>
      <w:r>
        <w:rPr>
          <w:rFonts w:ascii="宋体" w:hAnsi="宋体" w:eastAsia="宋体"/>
          <w:color w:val="8E8E93"/>
          <w:sz w:val="17"/>
        </w:rPr>
        <w:t>报告日期: 2026年5月15日  |  数据来源: Yahoo Finance, 公司公告</w:t>
      </w:r>
    </w:p>
    <w:p>
      <w:pPr>
        <w:pBdr>
          <w:bottom w:val="single" w:sz="4" w:space="1" w:color="CCCCCC"/>
        </w:pBdr>
        <w:spacing w:after="160"/>
      </w:pPr>
    </w:p>
    <w:p>
      <w:pPr>
        <w:spacing w:before="240" w:after="80"/>
        <w:pBdr>
          <w:bottom w:val="single" w:sz="6" w:space="1" w:color="1C1C4D"/>
        </w:pBdr>
      </w:pPr>
      <w:r>
        <w:rPr>
          <w:rFonts w:ascii="黑体" w:hAnsi="黑体" w:eastAsia="黑体"/>
          <w:b/>
          <w:color w:val="1C1C4D"/>
          <w:sz w:val="26"/>
        </w:rPr>
        <w:t>一、核心数据一览</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指标</w:t>
            </w:r>
          </w:p>
        </w:tc>
        <w:tc>
          <w:tcPr>
            <w:tcW w:type="dxa" w:w="5760"/>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数值</w:t>
            </w:r>
          </w:p>
        </w:tc>
      </w:tr>
      <w:tr>
        <w:tc>
          <w:tcPr>
            <w:tcW w:type="dxa" w:w="3600"/>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当前股价</w:t>
            </w:r>
          </w:p>
        </w:tc>
        <w:tc>
          <w:tcPr>
            <w:tcW w:type="dxa" w:w="57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$237.01</w:t>
            </w:r>
          </w:p>
        </w:tc>
      </w:tr>
      <w:tr>
        <w:tc>
          <w:tcPr>
            <w:tcW w:type="dxa" w:w="3600"/>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市值</w:t>
            </w:r>
          </w:p>
        </w:tc>
        <w:tc>
          <w:tcPr>
            <w:tcW w:type="dxa" w:w="57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$95.8B</w:t>
            </w:r>
          </w:p>
        </w:tc>
      </w:tr>
      <w:tr>
        <w:tc>
          <w:tcPr>
            <w:tcW w:type="dxa" w:w="3600"/>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52周区间</w:t>
            </w:r>
          </w:p>
        </w:tc>
        <w:tc>
          <w:tcPr>
            <w:tcW w:type="dxa" w:w="57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$224.13 – $422.95</w:t>
            </w:r>
          </w:p>
        </w:tc>
      </w:tr>
      <w:tr>
        <w:tc>
          <w:tcPr>
            <w:tcW w:type="dxa" w:w="3600"/>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远期市盈率</w:t>
            </w:r>
          </w:p>
        </w:tc>
        <w:tc>
          <w:tcPr>
            <w:tcW w:type="dxa" w:w="57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9.0x</w:t>
            </w:r>
          </w:p>
        </w:tc>
      </w:tr>
      <w:tr>
        <w:tc>
          <w:tcPr>
            <w:tcW w:type="dxa" w:w="3600"/>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市销率（TTM）</w:t>
            </w:r>
          </w:p>
        </w:tc>
        <w:tc>
          <w:tcPr>
            <w:tcW w:type="dxa" w:w="57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3.9x</w:t>
            </w:r>
          </w:p>
        </w:tc>
      </w:tr>
      <w:tr>
        <w:tc>
          <w:tcPr>
            <w:tcW w:type="dxa" w:w="3600"/>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营收增速（YoY）</w:t>
            </w:r>
          </w:p>
        </w:tc>
        <w:tc>
          <w:tcPr>
            <w:tcW w:type="dxa" w:w="57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12.0%</w:t>
            </w:r>
          </w:p>
        </w:tc>
      </w:tr>
      <w:tr>
        <w:tc>
          <w:tcPr>
            <w:tcW w:type="dxa" w:w="3600"/>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GAAP营业利润率</w:t>
            </w:r>
          </w:p>
        </w:tc>
        <w:tc>
          <w:tcPr>
            <w:tcW w:type="dxa" w:w="57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38.8%</w:t>
            </w:r>
          </w:p>
        </w:tc>
      </w:tr>
      <w:tr>
        <w:tc>
          <w:tcPr>
            <w:tcW w:type="dxa" w:w="3600"/>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毛利率</w:t>
            </w:r>
          </w:p>
        </w:tc>
        <w:tc>
          <w:tcPr>
            <w:tcW w:type="dxa" w:w="57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89.4%</w:t>
            </w:r>
          </w:p>
        </w:tc>
      </w:tr>
      <w:tr>
        <w:tc>
          <w:tcPr>
            <w:tcW w:type="dxa" w:w="3600"/>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自由现金流</w:t>
            </w:r>
          </w:p>
        </w:tc>
        <w:tc>
          <w:tcPr>
            <w:tcW w:type="dxa" w:w="57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$9.3B</w:t>
            </w:r>
          </w:p>
        </w:tc>
      </w:tr>
      <w:tr>
        <w:tc>
          <w:tcPr>
            <w:tcW w:type="dxa" w:w="3600"/>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总ARR</w:t>
            </w:r>
          </w:p>
        </w:tc>
        <w:tc>
          <w:tcPr>
            <w:tcW w:type="dxa" w:w="57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$260.6亿（+11% YoY）</w:t>
            </w:r>
          </w:p>
        </w:tc>
      </w:tr>
    </w:tbl>
    <w:p/>
    <w:p>
      <w:pPr>
        <w:spacing w:before="240" w:after="80"/>
        <w:pBdr>
          <w:bottom w:val="single" w:sz="6" w:space="1" w:color="1C1C4D"/>
        </w:pBdr>
      </w:pPr>
      <w:r>
        <w:rPr>
          <w:rFonts w:ascii="黑体" w:hAnsi="黑体" w:eastAsia="黑体"/>
          <w:b/>
          <w:color w:val="1C1C4D"/>
          <w:sz w:val="26"/>
        </w:rPr>
        <w:t>二、同业估值对比</w:t>
      </w:r>
    </w:p>
    <w:p>
      <w:pPr>
        <w:spacing w:after="80"/>
      </w:pPr>
      <w:r>
        <w:rPr>
          <w:rFonts w:ascii="宋体" w:hAnsi="宋体" w:eastAsia="宋体"/>
          <w:b w:val="0"/>
          <w:i w:val="0"/>
          <w:sz w:val="20"/>
        </w:rPr>
        <w:t>以下将Adobe与六家大型应用软件/云计算公司进行横向比较。ADBE以蓝色高亮行标识，同业中位数见最后一行。</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792"/>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代码</w:t>
            </w:r>
          </w:p>
        </w:tc>
        <w:tc>
          <w:tcPr>
            <w:tcW w:type="dxa" w:w="1440"/>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公司</w:t>
            </w:r>
          </w:p>
        </w:tc>
        <w:tc>
          <w:tcPr>
            <w:tcW w:type="dxa" w:w="1008"/>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市值</w:t>
            </w:r>
          </w:p>
        </w:tc>
        <w:tc>
          <w:tcPr>
            <w:tcW w:type="dxa" w:w="1008"/>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远期P/E</w:t>
            </w:r>
          </w:p>
        </w:tc>
        <w:tc>
          <w:tcPr>
            <w:tcW w:type="dxa" w:w="792"/>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P/S</w:t>
            </w:r>
          </w:p>
        </w:tc>
        <w:tc>
          <w:tcPr>
            <w:tcW w:type="dxa" w:w="1008"/>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营收增速</w:t>
            </w:r>
          </w:p>
        </w:tc>
        <w:tc>
          <w:tcPr>
            <w:tcW w:type="dxa" w:w="1152"/>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营业利润率</w:t>
            </w:r>
          </w:p>
        </w:tc>
        <w:tc>
          <w:tcPr>
            <w:tcW w:type="dxa" w:w="1008"/>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毛利率</w:t>
            </w:r>
          </w:p>
        </w:tc>
      </w:tr>
      <w:tr>
        <w:tc>
          <w:tcPr>
            <w:tcW w:type="dxa" w:w="792"/>
            <w:shd w:val="clear" w:color="auto" w:fill="E8F0FE"/>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b/>
                <w:sz w:val="18"/>
              </w:rPr>
              <w:t>ADBE</w:t>
            </w:r>
          </w:p>
        </w:tc>
        <w:tc>
          <w:tcPr>
            <w:tcW w:type="dxa" w:w="1440"/>
            <w:shd w:val="clear" w:color="auto" w:fill="E8F0FE"/>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b/>
                <w:sz w:val="18"/>
              </w:rPr>
              <w:t>Adobe</w:t>
            </w:r>
          </w:p>
        </w:tc>
        <w:tc>
          <w:tcPr>
            <w:tcW w:type="dxa" w:w="1008"/>
            <w:shd w:val="clear" w:color="auto" w:fill="E8F0FE"/>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b/>
                <w:sz w:val="18"/>
              </w:rPr>
              <w:t>$95.8B</w:t>
            </w:r>
          </w:p>
        </w:tc>
        <w:tc>
          <w:tcPr>
            <w:tcW w:type="dxa" w:w="1008"/>
            <w:shd w:val="clear" w:color="auto" w:fill="E8F0FE"/>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b/>
                <w:sz w:val="18"/>
              </w:rPr>
              <w:t>9.0x</w:t>
            </w:r>
          </w:p>
        </w:tc>
        <w:tc>
          <w:tcPr>
            <w:tcW w:type="dxa" w:w="792"/>
            <w:shd w:val="clear" w:color="auto" w:fill="E8F0FE"/>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b/>
                <w:sz w:val="18"/>
              </w:rPr>
              <w:t>3.9x</w:t>
            </w:r>
          </w:p>
        </w:tc>
        <w:tc>
          <w:tcPr>
            <w:tcW w:type="dxa" w:w="1008"/>
            <w:shd w:val="clear" w:color="auto" w:fill="E8F0FE"/>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b/>
                <w:sz w:val="18"/>
              </w:rPr>
              <w:t>12.0%</w:t>
            </w:r>
          </w:p>
        </w:tc>
        <w:tc>
          <w:tcPr>
            <w:tcW w:type="dxa" w:w="1152"/>
            <w:shd w:val="clear" w:color="auto" w:fill="E8F0FE"/>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b/>
                <w:sz w:val="18"/>
              </w:rPr>
              <w:t>38.8%</w:t>
            </w:r>
          </w:p>
        </w:tc>
        <w:tc>
          <w:tcPr>
            <w:tcW w:type="dxa" w:w="1008"/>
            <w:shd w:val="clear" w:color="auto" w:fill="E8F0FE"/>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b/>
                <w:sz w:val="18"/>
              </w:rPr>
              <w:t>89.4%</w:t>
            </w:r>
          </w:p>
        </w:tc>
      </w:tr>
      <w:tr>
        <w:tc>
          <w:tcPr>
            <w:tcW w:type="dxa" w:w="792"/>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CRM</w:t>
            </w:r>
          </w:p>
        </w:tc>
        <w:tc>
          <w:tcPr>
            <w:tcW w:type="dxa" w:w="144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Salesforce</w:t>
            </w:r>
          </w:p>
        </w:tc>
        <w:tc>
          <w:tcPr>
            <w:tcW w:type="dxa" w:w="100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$137.1B</w:t>
            </w:r>
          </w:p>
        </w:tc>
        <w:tc>
          <w:tcPr>
            <w:tcW w:type="dxa" w:w="100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11.2x</w:t>
            </w:r>
          </w:p>
        </w:tc>
        <w:tc>
          <w:tcPr>
            <w:tcW w:type="dxa" w:w="79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3.3x</w:t>
            </w:r>
          </w:p>
        </w:tc>
        <w:tc>
          <w:tcPr>
            <w:tcW w:type="dxa" w:w="100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12.1%</w:t>
            </w:r>
          </w:p>
        </w:tc>
        <w:tc>
          <w:tcPr>
            <w:tcW w:type="dxa" w:w="115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19.2%</w:t>
            </w:r>
          </w:p>
        </w:tc>
        <w:tc>
          <w:tcPr>
            <w:tcW w:type="dxa" w:w="100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77.7%</w:t>
            </w:r>
          </w:p>
        </w:tc>
      </w:tr>
      <w:tr>
        <w:tc>
          <w:tcPr>
            <w:tcW w:type="dxa" w:w="792"/>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INTU</w:t>
            </w:r>
          </w:p>
        </w:tc>
        <w:tc>
          <w:tcPr>
            <w:tcW w:type="dxa" w:w="144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Intuit</w:t>
            </w:r>
          </w:p>
        </w:tc>
        <w:tc>
          <w:tcPr>
            <w:tcW w:type="dxa" w:w="100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$105.3B</w:t>
            </w:r>
          </w:p>
        </w:tc>
        <w:tc>
          <w:tcPr>
            <w:tcW w:type="dxa" w:w="100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14.3x</w:t>
            </w:r>
          </w:p>
        </w:tc>
        <w:tc>
          <w:tcPr>
            <w:tcW w:type="dxa" w:w="79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5.2x</w:t>
            </w:r>
          </w:p>
        </w:tc>
        <w:tc>
          <w:tcPr>
            <w:tcW w:type="dxa" w:w="100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17.4%</w:t>
            </w:r>
          </w:p>
        </w:tc>
        <w:tc>
          <w:tcPr>
            <w:tcW w:type="dxa" w:w="115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18.4%</w:t>
            </w:r>
          </w:p>
        </w:tc>
        <w:tc>
          <w:tcPr>
            <w:tcW w:type="dxa" w:w="100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80.9%</w:t>
            </w:r>
          </w:p>
        </w:tc>
      </w:tr>
      <w:tr>
        <w:tc>
          <w:tcPr>
            <w:tcW w:type="dxa" w:w="792"/>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NOW</w:t>
            </w:r>
          </w:p>
        </w:tc>
        <w:tc>
          <w:tcPr>
            <w:tcW w:type="dxa" w:w="144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ServiceNow</w:t>
            </w:r>
          </w:p>
        </w:tc>
        <w:tc>
          <w:tcPr>
            <w:tcW w:type="dxa" w:w="100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$93.3B</w:t>
            </w:r>
          </w:p>
        </w:tc>
        <w:tc>
          <w:tcPr>
            <w:tcW w:type="dxa" w:w="100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18.0x</w:t>
            </w:r>
          </w:p>
        </w:tc>
        <w:tc>
          <w:tcPr>
            <w:tcW w:type="dxa" w:w="79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6.7x</w:t>
            </w:r>
          </w:p>
        </w:tc>
        <w:tc>
          <w:tcPr>
            <w:tcW w:type="dxa" w:w="100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22.1%</w:t>
            </w:r>
          </w:p>
        </w:tc>
        <w:tc>
          <w:tcPr>
            <w:tcW w:type="dxa" w:w="115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13.3%</w:t>
            </w:r>
          </w:p>
        </w:tc>
        <w:tc>
          <w:tcPr>
            <w:tcW w:type="dxa" w:w="100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76.6%</w:t>
            </w:r>
          </w:p>
        </w:tc>
      </w:tr>
      <w:tr>
        <w:tc>
          <w:tcPr>
            <w:tcW w:type="dxa" w:w="792"/>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MSFT</w:t>
            </w:r>
          </w:p>
        </w:tc>
        <w:tc>
          <w:tcPr>
            <w:tcW w:type="dxa" w:w="144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Microsoft</w:t>
            </w:r>
          </w:p>
        </w:tc>
        <w:tc>
          <w:tcPr>
            <w:tcW w:type="dxa" w:w="100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$3041.4B</w:t>
            </w:r>
          </w:p>
        </w:tc>
        <w:tc>
          <w:tcPr>
            <w:tcW w:type="dxa" w:w="100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21.2x</w:t>
            </w:r>
          </w:p>
        </w:tc>
        <w:tc>
          <w:tcPr>
            <w:tcW w:type="dxa" w:w="79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9.6x</w:t>
            </w:r>
          </w:p>
        </w:tc>
        <w:tc>
          <w:tcPr>
            <w:tcW w:type="dxa" w:w="100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18.3%</w:t>
            </w:r>
          </w:p>
        </w:tc>
        <w:tc>
          <w:tcPr>
            <w:tcW w:type="dxa" w:w="115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46.3%</w:t>
            </w:r>
          </w:p>
        </w:tc>
        <w:tc>
          <w:tcPr>
            <w:tcW w:type="dxa" w:w="100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68.3%</w:t>
            </w:r>
          </w:p>
        </w:tc>
      </w:tr>
      <w:tr>
        <w:tc>
          <w:tcPr>
            <w:tcW w:type="dxa" w:w="792"/>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ORCL</w:t>
            </w:r>
          </w:p>
        </w:tc>
        <w:tc>
          <w:tcPr>
            <w:tcW w:type="dxa" w:w="144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Oracle</w:t>
            </w:r>
          </w:p>
        </w:tc>
        <w:tc>
          <w:tcPr>
            <w:tcW w:type="dxa" w:w="100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$562.6B</w:t>
            </w:r>
          </w:p>
        </w:tc>
        <w:tc>
          <w:tcPr>
            <w:tcW w:type="dxa" w:w="100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24.4x</w:t>
            </w:r>
          </w:p>
        </w:tc>
        <w:tc>
          <w:tcPr>
            <w:tcW w:type="dxa" w:w="79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8.8x</w:t>
            </w:r>
          </w:p>
        </w:tc>
        <w:tc>
          <w:tcPr>
            <w:tcW w:type="dxa" w:w="100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21.7%</w:t>
            </w:r>
          </w:p>
        </w:tc>
        <w:tc>
          <w:tcPr>
            <w:tcW w:type="dxa" w:w="115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32.7%</w:t>
            </w:r>
          </w:p>
        </w:tc>
        <w:tc>
          <w:tcPr>
            <w:tcW w:type="dxa" w:w="100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67.1%</w:t>
            </w:r>
          </w:p>
        </w:tc>
      </w:tr>
      <w:tr>
        <w:tc>
          <w:tcPr>
            <w:tcW w:type="dxa" w:w="792"/>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SAP</w:t>
            </w:r>
          </w:p>
        </w:tc>
        <w:tc>
          <w:tcPr>
            <w:tcW w:type="dxa" w:w="144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SAP</w:t>
            </w:r>
          </w:p>
        </w:tc>
        <w:tc>
          <w:tcPr>
            <w:tcW w:type="dxa" w:w="100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$193.6B</w:t>
            </w:r>
          </w:p>
        </w:tc>
        <w:tc>
          <w:tcPr>
            <w:tcW w:type="dxa" w:w="100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17.6x</w:t>
            </w:r>
          </w:p>
        </w:tc>
        <w:tc>
          <w:tcPr>
            <w:tcW w:type="dxa" w:w="79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5.2x</w:t>
            </w:r>
          </w:p>
        </w:tc>
        <w:tc>
          <w:tcPr>
            <w:tcW w:type="dxa" w:w="100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6.0%</w:t>
            </w:r>
          </w:p>
        </w:tc>
        <w:tc>
          <w:tcPr>
            <w:tcW w:type="dxa" w:w="115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30.0%</w:t>
            </w:r>
          </w:p>
        </w:tc>
        <w:tc>
          <w:tcPr>
            <w:tcW w:type="dxa" w:w="100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73.7%</w:t>
            </w:r>
          </w:p>
        </w:tc>
      </w:tr>
      <w:tr>
        <w:tc>
          <w:tcPr>
            <w:tcW w:type="dxa" w:w="792"/>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w:t>
            </w:r>
          </w:p>
        </w:tc>
        <w:tc>
          <w:tcPr>
            <w:tcW w:type="dxa" w:w="144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同业中位数</w:t>
            </w:r>
          </w:p>
        </w:tc>
        <w:tc>
          <w:tcPr>
            <w:tcW w:type="dxa" w:w="100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100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17.6x</w:t>
            </w:r>
          </w:p>
        </w:tc>
        <w:tc>
          <w:tcPr>
            <w:tcW w:type="dxa" w:w="79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5.2x</w:t>
            </w:r>
          </w:p>
        </w:tc>
        <w:tc>
          <w:tcPr>
            <w:tcW w:type="dxa" w:w="100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17.4%</w:t>
            </w:r>
          </w:p>
        </w:tc>
        <w:tc>
          <w:tcPr>
            <w:tcW w:type="dxa" w:w="115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30.0%</w:t>
            </w:r>
          </w:p>
        </w:tc>
        <w:tc>
          <w:tcPr>
            <w:tcW w:type="dxa" w:w="100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76.6%</w:t>
            </w:r>
          </w:p>
        </w:tc>
      </w:tr>
    </w:tbl>
    <w:p/>
    <w:p>
      <w:pPr>
        <w:spacing w:before="160" w:after="40"/>
      </w:pPr>
      <w:r>
        <w:rPr>
          <w:rFonts w:ascii="黑体" w:hAnsi="黑体" w:eastAsia="黑体"/>
          <w:b/>
          <w:color w:val="1473E6"/>
          <w:sz w:val="22"/>
        </w:rPr>
        <w:t>估值折价分析</w:t>
      </w:r>
    </w:p>
    <w:p>
      <w:pPr>
        <w:spacing w:after="80"/>
      </w:pPr>
      <w:r>
        <w:rPr>
          <w:rFonts w:ascii="宋体" w:hAnsi="宋体" w:eastAsia="宋体"/>
          <w:b w:val="0"/>
          <w:i w:val="0"/>
          <w:sz w:val="20"/>
        </w:rPr>
        <w:t>■ Adobe远期市盈率9.0x vs. 同业中位数17.6x，折价幅度达49%。这是ADBE在该同业组中估值最低的，但其毛利率（89.4%）和自由现金流利润率（~41%）均为同业最高水平。</w:t>
      </w:r>
    </w:p>
    <w:p>
      <w:pPr>
        <w:spacing w:after="80"/>
      </w:pPr>
      <w:r>
        <w:rPr>
          <w:rFonts w:ascii="宋体" w:hAnsi="宋体" w:eastAsia="宋体"/>
          <w:b w:val="0"/>
          <w:i w:val="0"/>
          <w:sz w:val="20"/>
        </w:rPr>
        <w:t>■ 市销率方面，ADBE的3.9x同样低于同业中位数水平，考虑到其接近90%的毛利率，该估值水平意味着市场对其增长持续性和竞争优势存在显著定价折扣。</w:t>
      </w:r>
    </w:p>
    <w:p>
      <w:r>
        <w:br w:type="page"/>
      </w:r>
    </w:p>
    <w:p>
      <w:pPr>
        <w:spacing w:before="240" w:after="80"/>
        <w:pBdr>
          <w:bottom w:val="single" w:sz="6" w:space="1" w:color="1C1C4D"/>
        </w:pBdr>
      </w:pPr>
      <w:r>
        <w:rPr>
          <w:rFonts w:ascii="黑体" w:hAnsi="黑体" w:eastAsia="黑体"/>
          <w:b/>
          <w:color w:val="1C1C4D"/>
          <w:sz w:val="26"/>
        </w:rPr>
        <w:t>三、筛选信号分析</w:t>
      </w:r>
    </w:p>
    <w:p>
      <w:pPr>
        <w:spacing w:before="160" w:after="40"/>
      </w:pPr>
      <w:r>
        <w:rPr>
          <w:rFonts w:ascii="黑体" w:hAnsi="黑体" w:eastAsia="黑体"/>
          <w:b/>
          <w:color w:val="1E8A44"/>
          <w:sz w:val="22"/>
        </w:rPr>
        <w:t>看多信号（做多依据）</w:t>
      </w:r>
    </w:p>
    <w:p>
      <w:pPr>
        <w:pStyle w:val="ListBullet"/>
        <w:spacing w:after="40"/>
        <w:ind w:left="360"/>
      </w:pPr>
      <w:r>
        <w:rPr>
          <w:rFonts w:ascii="宋体" w:hAnsi="宋体" w:eastAsia="宋体"/>
          <w:color w:val="1E8A44"/>
          <w:sz w:val="20"/>
        </w:rPr>
        <w:t>极端估值折价：远期P/E仅~9x，为同业组中最低，较中位数折价约49%。Adobe拥有同业最高毛利率（89%）和第二高营业利润率，估值水平与基本面严重脱节。</w:t>
      </w:r>
    </w:p>
    <w:p>
      <w:pPr>
        <w:pStyle w:val="ListBullet"/>
        <w:spacing w:after="40"/>
        <w:ind w:left="360"/>
      </w:pPr>
      <w:r>
        <w:rPr>
          <w:rFonts w:ascii="宋体" w:hAnsi="宋体" w:eastAsia="宋体"/>
          <w:color w:val="1E8A44"/>
          <w:sz w:val="20"/>
        </w:rPr>
        <w:t>Firefly AI变现拐点：AI优先ARR同比增长超3倍，独立Firefly ARR突破2.5亿美元。管理层指引显示生成式AI积分消耗正在加速增长，AI变现从概念转向收入贡献。</w:t>
      </w:r>
    </w:p>
    <w:p>
      <w:pPr>
        <w:pStyle w:val="ListBullet"/>
        <w:spacing w:after="40"/>
        <w:ind w:left="360"/>
      </w:pPr>
      <w:r>
        <w:rPr>
          <w:rFonts w:ascii="宋体" w:hAnsi="宋体" w:eastAsia="宋体"/>
          <w:color w:val="1E8A44"/>
          <w:sz w:val="20"/>
        </w:rPr>
        <w:t>大规模资本回报：2026年4月新增250亿美元回购授权（约占市值26%），Q1单季度回购25亿美元。按当前股价计算，自由现金流收益率约9.7%。</w:t>
      </w:r>
    </w:p>
    <w:p>
      <w:pPr>
        <w:pStyle w:val="ListBullet"/>
        <w:spacing w:after="40"/>
        <w:ind w:left="360"/>
      </w:pPr>
      <w:r>
        <w:rPr>
          <w:rFonts w:ascii="宋体" w:hAnsi="宋体" w:eastAsia="宋体"/>
          <w:color w:val="1E8A44"/>
          <w:sz w:val="20"/>
        </w:rPr>
        <w:t>增长重新加速：Q1 FY2026营收同比增长12%（vs. Q4 FY2025的10%），超市场预期约1.2亿美元。每股收益超预期$0.19-$0.60。</w:t>
      </w:r>
    </w:p>
    <w:p>
      <w:pPr>
        <w:pStyle w:val="ListBullet"/>
        <w:spacing w:after="40"/>
        <w:ind w:left="360"/>
      </w:pPr>
      <w:r>
        <w:rPr>
          <w:rFonts w:ascii="宋体" w:hAnsi="宋体" w:eastAsia="宋体"/>
          <w:color w:val="1E8A44"/>
          <w:sz w:val="20"/>
        </w:rPr>
        <w:t>接近52周低点：当前股价$237 vs. 52周高点$423，较峰值下跌约46%，年初至今下跌约28%。技术面接近超卖区域。</w:t>
      </w:r>
    </w:p>
    <w:p>
      <w:pPr>
        <w:spacing w:before="160" w:after="40"/>
      </w:pPr>
      <w:r>
        <w:rPr>
          <w:rFonts w:ascii="黑体" w:hAnsi="黑体" w:eastAsia="黑体"/>
          <w:b/>
          <w:color w:val="CC0000"/>
          <w:sz w:val="22"/>
        </w:rPr>
        <w:t>看空信号（风险因素）</w:t>
      </w:r>
    </w:p>
    <w:p>
      <w:pPr>
        <w:pStyle w:val="ListBullet"/>
        <w:spacing w:after="40"/>
        <w:ind w:left="360"/>
      </w:pPr>
      <w:r>
        <w:rPr>
          <w:rFonts w:ascii="宋体" w:hAnsi="宋体" w:eastAsia="宋体"/>
          <w:color w:val="CC0000"/>
          <w:sz w:val="20"/>
        </w:rPr>
        <w:t>CEO交接不确定性：Shantanu Narayen于2026年3月宣布退休，至今未公布继任者。在AI战略转型的关键时期出现领导层真空，增加执行风险。</w:t>
      </w:r>
    </w:p>
    <w:p>
      <w:pPr>
        <w:pStyle w:val="ListBullet"/>
        <w:spacing w:after="40"/>
        <w:ind w:left="360"/>
      </w:pPr>
      <w:r>
        <w:rPr>
          <w:rFonts w:ascii="宋体" w:hAnsi="宋体" w:eastAsia="宋体"/>
          <w:color w:val="CC0000"/>
          <w:sz w:val="20"/>
        </w:rPr>
        <w:t>竞争侵蚀加剧：Canva（ARR约40亿美元，增速+30%）和Figma（ARR约12亿美元，增速+40%）在创意工具市场快速抢占份额，尤其在中小企业和专业消费者群体中。</w:t>
      </w:r>
    </w:p>
    <w:p>
      <w:pPr>
        <w:pStyle w:val="ListBullet"/>
        <w:spacing w:after="40"/>
        <w:ind w:left="360"/>
      </w:pPr>
      <w:r>
        <w:rPr>
          <w:rFonts w:ascii="宋体" w:hAnsi="宋体" w:eastAsia="宋体"/>
          <w:color w:val="CC0000"/>
          <w:sz w:val="20"/>
        </w:rPr>
        <w:t>传统业务逆风：图库素材业务因生成式AI替代品普及而加速下滑，下滑速度超出管理层此前预期。</w:t>
      </w:r>
    </w:p>
    <w:p>
      <w:pPr>
        <w:pStyle w:val="ListBullet"/>
        <w:spacing w:after="40"/>
        <w:ind w:left="360"/>
      </w:pPr>
      <w:r>
        <w:rPr>
          <w:rFonts w:ascii="宋体" w:hAnsi="宋体" w:eastAsia="宋体"/>
          <w:color w:val="CC0000"/>
          <w:sz w:val="20"/>
        </w:rPr>
        <w:t>增长天花板：基于260亿美元ARR基数，营收增速约束在11-12%。同业中ServiceNow（+22%）和Oracle（+22%）的增速接近Adobe的两倍。</w:t>
      </w:r>
    </w:p>
    <w:p>
      <w:pPr>
        <w:spacing w:before="240" w:after="80"/>
        <w:pBdr>
          <w:bottom w:val="single" w:sz="6" w:space="1" w:color="1C1C4D"/>
        </w:pBdr>
      </w:pPr>
      <w:r>
        <w:rPr>
          <w:rFonts w:ascii="黑体" w:hAnsi="黑体" w:eastAsia="黑体"/>
          <w:b/>
          <w:color w:val="1C1C4D"/>
          <w:sz w:val="26"/>
        </w:rPr>
        <w:t>四、综合评分</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维度</w:t>
            </w:r>
          </w:p>
        </w:tc>
        <w:tc>
          <w:tcPr>
            <w:tcW w:type="dxa" w:w="1728"/>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评分</w:t>
            </w:r>
          </w:p>
        </w:tc>
        <w:tc>
          <w:tcPr>
            <w:tcW w:type="dxa" w:w="6192"/>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评语</w:t>
            </w:r>
          </w:p>
        </w:tc>
      </w:tr>
      <w:tr>
        <w:tc>
          <w:tcPr>
            <w:tcW w:type="dxa" w:w="1440"/>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估值</w:t>
            </w:r>
          </w:p>
        </w:tc>
        <w:tc>
          <w:tcPr>
            <w:tcW w:type="dxa" w:w="172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619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同业组中最低P/E和P/FCF，处于历史低位</w:t>
            </w:r>
          </w:p>
        </w:tc>
      </w:tr>
      <w:tr>
        <w:tc>
          <w:tcPr>
            <w:tcW w:type="dxa" w:w="1440"/>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质量</w:t>
            </w:r>
          </w:p>
        </w:tc>
        <w:tc>
          <w:tcPr>
            <w:tcW w:type="dxa" w:w="172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619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89%毛利率，41%自由现金流利润率，年产$93亿FCF</w:t>
            </w:r>
          </w:p>
        </w:tc>
      </w:tr>
      <w:tr>
        <w:tc>
          <w:tcPr>
            <w:tcW w:type="dxa" w:w="1440"/>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增长</w:t>
            </w:r>
          </w:p>
        </w:tc>
        <w:tc>
          <w:tcPr>
            <w:tcW w:type="dxa" w:w="172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619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12%增速稳健但低于软件同业平均水平</w:t>
            </w:r>
          </w:p>
        </w:tc>
      </w:tr>
      <w:tr>
        <w:tc>
          <w:tcPr>
            <w:tcW w:type="dxa" w:w="1440"/>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动量</w:t>
            </w:r>
          </w:p>
        </w:tc>
        <w:tc>
          <w:tcPr>
            <w:tcW w:type="dxa" w:w="172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619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较峰值下跌46%，接近52周低点</w:t>
            </w:r>
          </w:p>
        </w:tc>
      </w:tr>
      <w:tr>
        <w:tc>
          <w:tcPr>
            <w:tcW w:type="dxa" w:w="1440"/>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催化剂</w:t>
            </w:r>
          </w:p>
        </w:tc>
        <w:tc>
          <w:tcPr>
            <w:tcW w:type="dxa" w:w="172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619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Q2业绩6月11日；CEO继任确认；Firefly规模化</w:t>
            </w:r>
          </w:p>
        </w:tc>
      </w:tr>
      <w:tr>
        <w:tc>
          <w:tcPr>
            <w:tcW w:type="dxa" w:w="1440"/>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风险</w:t>
            </w:r>
          </w:p>
        </w:tc>
        <w:tc>
          <w:tcPr>
            <w:tcW w:type="dxa" w:w="172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619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CEO空缺 + Canva/Figma竞争压力</w:t>
            </w:r>
          </w:p>
        </w:tc>
      </w:tr>
    </w:tbl>
    <w:p/>
    <w:p>
      <w:pPr>
        <w:spacing w:before="240" w:after="80"/>
        <w:pBdr>
          <w:bottom w:val="single" w:sz="6" w:space="1" w:color="1C1C4D"/>
        </w:pBdr>
      </w:pPr>
      <w:r>
        <w:rPr>
          <w:rFonts w:ascii="黑体" w:hAnsi="黑体" w:eastAsia="黑体"/>
          <w:b/>
          <w:color w:val="1C1C4D"/>
          <w:sz w:val="26"/>
        </w:rPr>
        <w:t>五、投资结论</w:t>
      </w:r>
    </w:p>
    <w:p>
      <w:pPr>
        <w:spacing w:after="80"/>
      </w:pPr>
      <w:r>
        <w:rPr>
          <w:rFonts w:ascii="宋体" w:hAnsi="宋体" w:eastAsia="宋体"/>
          <w:b/>
          <w:i w:val="0"/>
          <w:color w:val="1E8A44"/>
          <w:sz w:val="24"/>
        </w:rPr>
        <w:t>筛选结果：高确信度做多标的</w:t>
      </w:r>
    </w:p>
    <w:p>
      <w:pPr>
        <w:spacing w:after="80"/>
      </w:pPr>
      <w:r>
        <w:rPr>
          <w:rFonts w:ascii="宋体" w:hAnsi="宋体" w:eastAsia="宋体"/>
          <w:b w:val="0"/>
          <w:i w:val="0"/>
          <w:sz w:val="20"/>
        </w:rPr>
        <w:t>Adobe在当前估值水平下呈现大型应用软件中最深的价值洼地。公司拥有行业顶级的利润率结构（毛利率89%，FCF利润率41%），却以远低于同业的估值倍数交易（远期P/E仅~9x vs. 同业中位数~18x）。</w:t>
      </w:r>
    </w:p>
    <w:p>
      <w:pPr>
        <w:spacing w:after="80"/>
      </w:pPr>
      <w:r>
        <w:rPr>
          <w:rFonts w:ascii="宋体" w:hAnsi="宋体" w:eastAsia="宋体"/>
          <w:b w:val="0"/>
          <w:i w:val="0"/>
          <w:sz w:val="20"/>
        </w:rPr>
        <w:t>空头论点——来自AI原生工具的竞争性颠覆——具有合理性，但在当前定价中已被过度反映。Adobe自身的AI变现进展（Firefly ARR 3倍增长至$2.5亿+）、大规模资本回报计划（250亿美元回购，约占市值26%），以及重新加速的营收增长（Q1 +12%），均表明基本面的韧性远强于市场定价所暗示的水平。</w:t>
      </w:r>
    </w:p>
    <w:p>
      <w:pPr>
        <w:spacing w:after="80"/>
      </w:pPr>
      <w:r>
        <w:rPr>
          <w:rFonts w:ascii="宋体" w:hAnsi="宋体" w:eastAsia="宋体"/>
          <w:b w:val="0"/>
          <w:i w:val="0"/>
          <w:sz w:val="20"/>
        </w:rPr>
        <w:t>关键催化剂：2026年6月11日Q2 FY2026业绩发布——将验证增长加速趋势是否持续，以及Firefly ARR能否继续规模化。CEO继任者确认也将消除重要的不确定性因素。</w:t>
      </w:r>
    </w:p>
    <w:p>
      <w:pPr>
        <w:pBdr>
          <w:bottom w:val="single" w:sz="4" w:space="1" w:color="CCCCCC"/>
        </w:pBdr>
        <w:spacing w:after="160"/>
      </w:pPr>
    </w:p>
    <w:p>
      <w:pPr>
        <w:spacing w:before="240" w:after="80"/>
        <w:pBdr>
          <w:bottom w:val="single" w:sz="6" w:space="1" w:color="1C1C4D"/>
        </w:pBdr>
      </w:pPr>
      <w:r>
        <w:rPr>
          <w:rFonts w:ascii="黑体" w:hAnsi="黑体" w:eastAsia="黑体"/>
          <w:b/>
          <w:color w:val="1C1C4D"/>
          <w:sz w:val="26"/>
        </w:rPr>
        <w:t>六、近期财务表现</w:t>
      </w:r>
    </w:p>
    <w:p>
      <w:pPr>
        <w:spacing w:before="160" w:after="40"/>
      </w:pPr>
      <w:r>
        <w:rPr>
          <w:rFonts w:ascii="黑体" w:hAnsi="黑体" w:eastAsia="黑体"/>
          <w:b/>
          <w:color w:val="1473E6"/>
          <w:sz w:val="22"/>
        </w:rPr>
        <w:t>季度营收趋势</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季度</w:t>
            </w:r>
          </w:p>
        </w:tc>
        <w:tc>
          <w:tcPr>
            <w:tcW w:type="dxa" w:w="2880"/>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营收</w:t>
            </w:r>
          </w:p>
        </w:tc>
        <w:tc>
          <w:tcPr>
            <w:tcW w:type="dxa" w:w="3600"/>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同比增速</w:t>
            </w:r>
          </w:p>
        </w:tc>
      </w:tr>
      <w:tr>
        <w:tc>
          <w:tcPr>
            <w:tcW w:type="dxa" w:w="2880"/>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Q2 FY2025</w:t>
            </w:r>
          </w:p>
        </w:tc>
        <w:tc>
          <w:tcPr>
            <w:tcW w:type="dxa" w:w="288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$58.7亿</w:t>
            </w:r>
          </w:p>
        </w:tc>
        <w:tc>
          <w:tcPr>
            <w:tcW w:type="dxa" w:w="360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+11%</w:t>
            </w:r>
          </w:p>
        </w:tc>
      </w:tr>
      <w:tr>
        <w:tc>
          <w:tcPr>
            <w:tcW w:type="dxa" w:w="2880"/>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Q3 FY2025</w:t>
            </w:r>
          </w:p>
        </w:tc>
        <w:tc>
          <w:tcPr>
            <w:tcW w:type="dxa" w:w="288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$59.9亿</w:t>
            </w:r>
          </w:p>
        </w:tc>
        <w:tc>
          <w:tcPr>
            <w:tcW w:type="dxa" w:w="360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+11%</w:t>
            </w:r>
          </w:p>
        </w:tc>
      </w:tr>
      <w:tr>
        <w:tc>
          <w:tcPr>
            <w:tcW w:type="dxa" w:w="2880"/>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Q4 FY2025</w:t>
            </w:r>
          </w:p>
        </w:tc>
        <w:tc>
          <w:tcPr>
            <w:tcW w:type="dxa" w:w="288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$61.9亿</w:t>
            </w:r>
          </w:p>
        </w:tc>
        <w:tc>
          <w:tcPr>
            <w:tcW w:type="dxa" w:w="360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+10%</w:t>
            </w:r>
          </w:p>
        </w:tc>
      </w:tr>
      <w:tr>
        <w:tc>
          <w:tcPr>
            <w:tcW w:type="dxa" w:w="2880"/>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Q1 FY2026</w:t>
            </w:r>
          </w:p>
        </w:tc>
        <w:tc>
          <w:tcPr>
            <w:tcW w:type="dxa" w:w="288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$64.0亿</w:t>
            </w:r>
          </w:p>
        </w:tc>
        <w:tc>
          <w:tcPr>
            <w:tcW w:type="dxa" w:w="360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+12%</w:t>
            </w:r>
          </w:p>
        </w:tc>
      </w:tr>
    </w:tbl>
    <w:p/>
    <w:p>
      <w:pPr>
        <w:spacing w:after="80"/>
      </w:pPr>
      <w:r>
        <w:rPr>
          <w:rFonts w:ascii="宋体" w:hAnsi="宋体" w:eastAsia="宋体"/>
          <w:b w:val="0"/>
          <w:i w:val="0"/>
          <w:sz w:val="20"/>
        </w:rPr>
        <w:t>Q1 FY2026增长重新加速至12%，扭转了Q4 FY2025降至10%的放缓趋势。全年FY2025营收238亿美元（+11% YoY）。</w:t>
      </w:r>
    </w:p>
    <w:p>
      <w:pPr>
        <w:spacing w:before="160" w:after="40"/>
      </w:pPr>
      <w:r>
        <w:rPr>
          <w:rFonts w:ascii="黑体" w:hAnsi="黑体" w:eastAsia="黑体"/>
          <w:b/>
          <w:color w:val="1473E6"/>
          <w:sz w:val="22"/>
        </w:rPr>
        <w:t>业务板块分析（Q1 FY2026）</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业务板块</w:t>
            </w:r>
          </w:p>
        </w:tc>
        <w:tc>
          <w:tcPr>
            <w:tcW w:type="dxa" w:w="2592"/>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营收</w:t>
            </w:r>
          </w:p>
        </w:tc>
        <w:tc>
          <w:tcPr>
            <w:tcW w:type="dxa" w:w="3168"/>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同比增速</w:t>
            </w:r>
          </w:p>
        </w:tc>
      </w:tr>
      <w:tr>
        <w:tc>
          <w:tcPr>
            <w:tcW w:type="dxa" w:w="3600"/>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数字媒体</w:t>
            </w:r>
          </w:p>
        </w:tc>
        <w:tc>
          <w:tcPr>
            <w:tcW w:type="dxa" w:w="259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$46.2亿</w:t>
            </w:r>
          </w:p>
        </w:tc>
        <w:tc>
          <w:tcPr>
            <w:tcW w:type="dxa" w:w="316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+11%</w:t>
            </w:r>
          </w:p>
        </w:tc>
      </w:tr>
      <w:tr>
        <w:tc>
          <w:tcPr>
            <w:tcW w:type="dxa" w:w="3600"/>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数字体验</w:t>
            </w:r>
          </w:p>
        </w:tc>
        <w:tc>
          <w:tcPr>
            <w:tcW w:type="dxa" w:w="259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$15.2亿</w:t>
            </w:r>
          </w:p>
        </w:tc>
        <w:tc>
          <w:tcPr>
            <w:tcW w:type="dxa" w:w="316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+9%</w:t>
            </w:r>
          </w:p>
        </w:tc>
      </w:tr>
      <w:tr>
        <w:tc>
          <w:tcPr>
            <w:tcW w:type="dxa" w:w="3600"/>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创意与营销专业人士</w:t>
            </w:r>
          </w:p>
        </w:tc>
        <w:tc>
          <w:tcPr>
            <w:tcW w:type="dxa" w:w="259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$43.9亿</w:t>
            </w:r>
          </w:p>
        </w:tc>
        <w:tc>
          <w:tcPr>
            <w:tcW w:type="dxa" w:w="316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+12%</w:t>
            </w:r>
          </w:p>
        </w:tc>
      </w:tr>
      <w:tr>
        <w:tc>
          <w:tcPr>
            <w:tcW w:type="dxa" w:w="3600"/>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商业专业人士与消费者</w:t>
            </w:r>
          </w:p>
        </w:tc>
        <w:tc>
          <w:tcPr>
            <w:tcW w:type="dxa" w:w="259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$17.8亿</w:t>
            </w:r>
          </w:p>
        </w:tc>
        <w:tc>
          <w:tcPr>
            <w:tcW w:type="dxa" w:w="316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+16%</w:t>
            </w:r>
          </w:p>
        </w:tc>
      </w:tr>
    </w:tbl>
    <w:p/>
    <w:p>
      <w:pPr>
        <w:spacing w:before="160" w:after="40"/>
      </w:pPr>
      <w:r>
        <w:rPr>
          <w:rFonts w:ascii="黑体" w:hAnsi="黑体" w:eastAsia="黑体"/>
          <w:b/>
          <w:color w:val="1473E6"/>
          <w:sz w:val="22"/>
        </w:rPr>
        <w:t>利润率与现金流</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指标</w:t>
            </w:r>
          </w:p>
        </w:tc>
        <w:tc>
          <w:tcPr>
            <w:tcW w:type="dxa" w:w="2160"/>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数值</w:t>
            </w:r>
          </w:p>
        </w:tc>
        <w:tc>
          <w:tcPr>
            <w:tcW w:type="dxa" w:w="4320"/>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备注</w:t>
            </w:r>
          </w:p>
        </w:tc>
      </w:tr>
      <w:tr>
        <w:tc>
          <w:tcPr>
            <w:tcW w:type="dxa" w:w="2880"/>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非GAAP营业利润率</w:t>
            </w:r>
          </w:p>
        </w:tc>
        <w:tc>
          <w:tcPr>
            <w:tcW w:type="dxa" w:w="21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47.4%</w:t>
            </w:r>
          </w:p>
        </w:tc>
        <w:tc>
          <w:tcPr>
            <w:tcW w:type="dxa" w:w="432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Q1 FY2026，同比扩张120bps</w:t>
            </w:r>
          </w:p>
        </w:tc>
      </w:tr>
      <w:tr>
        <w:tc>
          <w:tcPr>
            <w:tcW w:type="dxa" w:w="2880"/>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GAAP营业利润率</w:t>
            </w:r>
          </w:p>
        </w:tc>
        <w:tc>
          <w:tcPr>
            <w:tcW w:type="dxa" w:w="21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~37.8%</w:t>
            </w:r>
          </w:p>
        </w:tc>
        <w:tc>
          <w:tcPr>
            <w:tcW w:type="dxa" w:w="432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2026年2月数据</w:t>
            </w:r>
          </w:p>
        </w:tc>
      </w:tr>
      <w:tr>
        <w:tc>
          <w:tcPr>
            <w:tcW w:type="dxa" w:w="2880"/>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自由现金流利润率</w:t>
            </w:r>
          </w:p>
        </w:tc>
        <w:tc>
          <w:tcPr>
            <w:tcW w:type="dxa" w:w="21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41.4%</w:t>
            </w:r>
          </w:p>
        </w:tc>
        <w:tc>
          <w:tcPr>
            <w:tcW w:type="dxa" w:w="432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FY2025全年</w:t>
            </w:r>
          </w:p>
        </w:tc>
      </w:tr>
      <w:tr>
        <w:tc>
          <w:tcPr>
            <w:tcW w:type="dxa" w:w="2880"/>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经营现金流</w:t>
            </w:r>
          </w:p>
        </w:tc>
        <w:tc>
          <w:tcPr>
            <w:tcW w:type="dxa" w:w="21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$29.6亿</w:t>
            </w:r>
          </w:p>
        </w:tc>
        <w:tc>
          <w:tcPr>
            <w:tcW w:type="dxa" w:w="432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Q1 FY2026，创历史纪录</w:t>
            </w:r>
          </w:p>
        </w:tc>
      </w:tr>
    </w:tbl>
    <w:p/>
    <w:p>
      <w:r>
        <w:br w:type="page"/>
      </w:r>
    </w:p>
    <w:p>
      <w:pPr>
        <w:spacing w:before="240" w:after="80"/>
        <w:pBdr>
          <w:bottom w:val="single" w:sz="6" w:space="1" w:color="1C1C4D"/>
        </w:pBdr>
      </w:pPr>
      <w:r>
        <w:rPr>
          <w:rFonts w:ascii="黑体" w:hAnsi="黑体" w:eastAsia="黑体"/>
          <w:b/>
          <w:color w:val="1C1C4D"/>
          <w:sz w:val="26"/>
        </w:rPr>
        <w:t>七、AI战略概览</w:t>
      </w:r>
    </w:p>
    <w:p>
      <w:pPr>
        <w:spacing w:before="160" w:after="40"/>
      </w:pPr>
      <w:r>
        <w:rPr>
          <w:rFonts w:ascii="黑体" w:hAnsi="黑体" w:eastAsia="黑体"/>
          <w:b/>
          <w:color w:val="1473E6"/>
          <w:sz w:val="22"/>
        </w:rPr>
        <w:t>Firefly生成式AI平台</w:t>
      </w:r>
    </w:p>
    <w:p>
      <w:pPr>
        <w:pStyle w:val="ListBullet"/>
        <w:spacing w:after="40"/>
        <w:ind w:left="360"/>
      </w:pPr>
      <w:r>
        <w:rPr>
          <w:rFonts w:ascii="宋体" w:hAnsi="宋体" w:eastAsia="宋体"/>
          <w:sz w:val="20"/>
        </w:rPr>
        <w:t>Firefly独立ARR突破2.5亿美元——首次单独披露，验证AI变现进展。</w:t>
      </w:r>
    </w:p>
    <w:p>
      <w:pPr>
        <w:pStyle w:val="ListBullet"/>
        <w:spacing w:after="40"/>
        <w:ind w:left="360"/>
      </w:pPr>
      <w:r>
        <w:rPr>
          <w:rFonts w:ascii="宋体" w:hAnsi="宋体" w:eastAsia="宋体"/>
          <w:sz w:val="20"/>
        </w:rPr>
        <w:t>AI优先ARR同比增长超过3倍。</w:t>
      </w:r>
    </w:p>
    <w:p>
      <w:pPr>
        <w:pStyle w:val="ListBullet"/>
        <w:spacing w:after="40"/>
        <w:ind w:left="360"/>
      </w:pPr>
      <w:r>
        <w:rPr>
          <w:rFonts w:ascii="宋体" w:hAnsi="宋体" w:eastAsia="宋体"/>
          <w:sz w:val="20"/>
        </w:rPr>
        <w:t>生成式积分消耗环比持续增长，正向更高算力模态（视频、音频）扩展。</w:t>
      </w:r>
    </w:p>
    <w:p>
      <w:pPr>
        <w:pStyle w:val="ListBullet"/>
        <w:spacing w:after="40"/>
        <w:ind w:left="360"/>
      </w:pPr>
      <w:r>
        <w:rPr>
          <w:rFonts w:ascii="宋体" w:hAnsi="宋体" w:eastAsia="宋体"/>
          <w:sz w:val="20"/>
        </w:rPr>
        <w:t>Firefly AI助手实现跨Creative Cloud应用的多步骤工作流自然语言编排。</w:t>
      </w:r>
    </w:p>
    <w:p>
      <w:pPr>
        <w:spacing w:before="160" w:after="40"/>
      </w:pPr>
      <w:r>
        <w:rPr>
          <w:rFonts w:ascii="黑体" w:hAnsi="黑体" w:eastAsia="黑体"/>
          <w:b/>
          <w:color w:val="1473E6"/>
          <w:sz w:val="22"/>
        </w:rPr>
        <w:t>GenStudio企业AI平台</w:t>
      </w:r>
    </w:p>
    <w:p>
      <w:pPr>
        <w:pStyle w:val="ListBullet"/>
        <w:spacing w:after="40"/>
        <w:ind w:left="360"/>
      </w:pPr>
      <w:r>
        <w:rPr>
          <w:rFonts w:ascii="宋体" w:hAnsi="宋体" w:eastAsia="宋体"/>
          <w:sz w:val="20"/>
        </w:rPr>
        <w:t>品牌智能引擎（Brand Intelligence）：超越静态品牌指南的持续学习系统。</w:t>
      </w:r>
    </w:p>
    <w:p>
      <w:pPr>
        <w:pStyle w:val="ListBullet"/>
        <w:spacing w:after="40"/>
        <w:ind w:left="360"/>
      </w:pPr>
      <w:r>
        <w:rPr>
          <w:rFonts w:ascii="宋体" w:hAnsi="宋体" w:eastAsia="宋体"/>
          <w:sz w:val="20"/>
        </w:rPr>
        <w:t>GenStudio内容营销：将长篇内容自动转化为定制化营销活动、案例研究和文章。</w:t>
      </w:r>
    </w:p>
    <w:p>
      <w:pPr>
        <w:pStyle w:val="ListBullet"/>
        <w:spacing w:after="40"/>
        <w:ind w:left="360"/>
      </w:pPr>
      <w:r>
        <w:rPr>
          <w:rFonts w:ascii="宋体" w:hAnsi="宋体" w:eastAsia="宋体"/>
          <w:sz w:val="20"/>
        </w:rPr>
        <w:t>定位为创意、数据和AI驱动工作流的统一企业CX平台。</w:t>
      </w:r>
    </w:p>
    <w:p>
      <w:pPr>
        <w:spacing w:before="160" w:after="40"/>
      </w:pPr>
      <w:r>
        <w:rPr>
          <w:rFonts w:ascii="黑体" w:hAnsi="黑体" w:eastAsia="黑体"/>
          <w:b/>
          <w:color w:val="1473E6"/>
          <w:sz w:val="22"/>
        </w:rPr>
        <w:t>Adobe Summit 2026亮点（2026年4月）</w:t>
      </w:r>
    </w:p>
    <w:p>
      <w:pPr>
        <w:pStyle w:val="ListBullet"/>
        <w:spacing w:after="40"/>
        <w:ind w:left="360"/>
      </w:pPr>
      <w:r>
        <w:rPr>
          <w:rFonts w:ascii="宋体" w:hAnsi="宋体" w:eastAsia="宋体"/>
          <w:sz w:val="20"/>
        </w:rPr>
        <w:t>发布Creative Agent——面向创意工作流的AI智能体。</w:t>
      </w:r>
    </w:p>
    <w:p>
      <w:pPr>
        <w:pStyle w:val="ListBullet"/>
        <w:spacing w:after="40"/>
        <w:ind w:left="360"/>
      </w:pPr>
      <w:r>
        <w:rPr>
          <w:rFonts w:ascii="宋体" w:hAnsi="宋体" w:eastAsia="宋体"/>
          <w:sz w:val="20"/>
        </w:rPr>
        <w:t>扩展GenStudio内容供应链解决方案。</w:t>
      </w:r>
    </w:p>
    <w:p>
      <w:pPr>
        <w:pStyle w:val="ListBullet"/>
        <w:spacing w:after="40"/>
        <w:ind w:left="360"/>
      </w:pPr>
      <w:r>
        <w:rPr>
          <w:rFonts w:ascii="宋体" w:hAnsi="宋体" w:eastAsia="宋体"/>
          <w:sz w:val="20"/>
        </w:rPr>
        <w:t>将Adobe定位为客户体验的“AI控制层”。</w:t>
      </w:r>
    </w:p>
    <w:p>
      <w:pPr>
        <w:spacing w:before="240" w:after="80"/>
        <w:pBdr>
          <w:bottom w:val="single" w:sz="6" w:space="1" w:color="1C1C4D"/>
        </w:pBdr>
      </w:pPr>
      <w:r>
        <w:rPr>
          <w:rFonts w:ascii="黑体" w:hAnsi="黑体" w:eastAsia="黑体"/>
          <w:b/>
          <w:color w:val="1C1C4D"/>
          <w:sz w:val="26"/>
        </w:rPr>
        <w:t>八、资本配置与股东回报</w:t>
      </w:r>
    </w:p>
    <w:p>
      <w:pPr>
        <w:pStyle w:val="ListBullet"/>
        <w:spacing w:after="40"/>
        <w:ind w:left="360"/>
      </w:pPr>
      <w:r>
        <w:rPr>
          <w:rFonts w:ascii="宋体" w:hAnsi="宋体" w:eastAsia="宋体"/>
          <w:sz w:val="20"/>
        </w:rPr>
        <w:t>250亿美元股票回购：2026年4月21日宣布（替代此前已接近用尽的250亿美元授权），有效期至2030年4月30日。</w:t>
      </w:r>
    </w:p>
    <w:p>
      <w:pPr>
        <w:pStyle w:val="ListBullet"/>
        <w:spacing w:after="40"/>
        <w:ind w:left="360"/>
      </w:pPr>
      <w:r>
        <w:rPr>
          <w:rFonts w:ascii="宋体" w:hAnsi="宋体" w:eastAsia="宋体"/>
          <w:sz w:val="20"/>
        </w:rPr>
        <w:t>回购规模约占当前市值的26%——释放极为积极的资本回报信号。</w:t>
      </w:r>
    </w:p>
    <w:p>
      <w:pPr>
        <w:pStyle w:val="ListBullet"/>
        <w:spacing w:after="40"/>
        <w:ind w:left="360"/>
      </w:pPr>
      <w:r>
        <w:rPr>
          <w:rFonts w:ascii="宋体" w:hAnsi="宋体" w:eastAsia="宋体"/>
          <w:sz w:val="20"/>
        </w:rPr>
        <w:t>Q1 FY2026单季度回购约25亿美元。</w:t>
      </w:r>
    </w:p>
    <w:p>
      <w:pPr>
        <w:pStyle w:val="ListBullet"/>
        <w:spacing w:after="40"/>
        <w:ind w:left="360"/>
      </w:pPr>
      <w:r>
        <w:rPr>
          <w:rFonts w:ascii="宋体" w:hAnsi="宋体" w:eastAsia="宋体"/>
          <w:sz w:val="20"/>
        </w:rPr>
        <w:t>CFO Dan Durn表示：回购是'对我们强劲现金流的直接信心表达'。</w:t>
      </w:r>
    </w:p>
    <w:p>
      <w:pPr>
        <w:spacing w:before="160" w:after="40"/>
      </w:pPr>
      <w:r>
        <w:rPr>
          <w:rFonts w:ascii="黑体" w:hAnsi="黑体" w:eastAsia="黑体"/>
          <w:b/>
          <w:color w:val="1473E6"/>
          <w:sz w:val="22"/>
        </w:rPr>
        <w:t>FY2026业绩指引</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指标</w:t>
            </w:r>
          </w:p>
        </w:tc>
        <w:tc>
          <w:tcPr>
            <w:tcW w:type="dxa" w:w="3168"/>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管理层指引</w:t>
            </w:r>
          </w:p>
        </w:tc>
        <w:tc>
          <w:tcPr>
            <w:tcW w:type="dxa" w:w="3312"/>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市场预期</w:t>
            </w:r>
          </w:p>
        </w:tc>
      </w:tr>
      <w:tr>
        <w:tc>
          <w:tcPr>
            <w:tcW w:type="dxa" w:w="2880"/>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全年营收</w:t>
            </w:r>
          </w:p>
        </w:tc>
        <w:tc>
          <w:tcPr>
            <w:tcW w:type="dxa" w:w="316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$259–261亿</w:t>
            </w:r>
          </w:p>
        </w:tc>
        <w:tc>
          <w:tcPr>
            <w:tcW w:type="dxa" w:w="331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~$264亿</w:t>
            </w:r>
          </w:p>
        </w:tc>
      </w:tr>
      <w:tr>
        <w:tc>
          <w:tcPr>
            <w:tcW w:type="dxa" w:w="2880"/>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Q2营收</w:t>
            </w:r>
          </w:p>
        </w:tc>
        <w:tc>
          <w:tcPr>
            <w:tcW w:type="dxa" w:w="316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$64.3–64.8亿</w:t>
            </w:r>
          </w:p>
        </w:tc>
        <w:tc>
          <w:tcPr>
            <w:tcW w:type="dxa" w:w="331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~$64.5亿</w:t>
            </w:r>
          </w:p>
        </w:tc>
      </w:tr>
      <w:tr>
        <w:tc>
          <w:tcPr>
            <w:tcW w:type="dxa" w:w="2880"/>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非GAAP每股收益</w:t>
            </w:r>
          </w:p>
        </w:tc>
        <w:tc>
          <w:tcPr>
            <w:tcW w:type="dxa" w:w="316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$23.30–$23.50</w:t>
            </w:r>
          </w:p>
        </w:tc>
        <w:tc>
          <w:tcPr>
            <w:tcW w:type="dxa" w:w="331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r>
      <w:tr>
        <w:tc>
          <w:tcPr>
            <w:tcW w:type="dxa" w:w="2880"/>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非GAAP营业利润率</w:t>
            </w:r>
          </w:p>
        </w:tc>
        <w:tc>
          <w:tcPr>
            <w:tcW w:type="dxa" w:w="316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~45%</w:t>
            </w:r>
          </w:p>
        </w:tc>
        <w:tc>
          <w:tcPr>
            <w:tcW w:type="dxa" w:w="331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r>
      <w:tr>
        <w:tc>
          <w:tcPr>
            <w:tcW w:type="dxa" w:w="2880"/>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年末ARR增速</w:t>
            </w:r>
          </w:p>
        </w:tc>
        <w:tc>
          <w:tcPr>
            <w:tcW w:type="dxa" w:w="316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+10.2% YoY</w:t>
            </w:r>
          </w:p>
        </w:tc>
        <w:tc>
          <w:tcPr>
            <w:tcW w:type="dxa" w:w="331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r>
    </w:tbl>
    <w:p/>
    <w:p>
      <w:r>
        <w:br w:type="page"/>
      </w:r>
    </w:p>
    <w:p>
      <w:pPr>
        <w:spacing w:before="240" w:after="80"/>
        <w:pBdr>
          <w:bottom w:val="single" w:sz="6" w:space="1" w:color="1C1C4D"/>
        </w:pBdr>
      </w:pPr>
      <w:r>
        <w:rPr>
          <w:rFonts w:ascii="黑体" w:hAnsi="黑体" w:eastAsia="黑体"/>
          <w:b/>
          <w:color w:val="1C1C4D"/>
          <w:sz w:val="26"/>
        </w:rPr>
        <w:t>附录：图表</w:t>
      </w:r>
    </w:p>
    <w:p>
      <w:pPr>
        <w:jc w:val="center"/>
      </w:pPr>
      <w:r>
        <w:drawing>
          <wp:inline xmlns:a="http://schemas.openxmlformats.org/drawingml/2006/main" xmlns:pic="http://schemas.openxmlformats.org/drawingml/2006/picture">
            <wp:extent cx="5486400" cy="2720562"/>
            <wp:docPr id="1" name="Picture 1"/>
            <wp:cNvGraphicFramePr>
              <a:graphicFrameLocks noChangeAspect="1"/>
            </wp:cNvGraphicFramePr>
            <a:graphic>
              <a:graphicData uri="http://schemas.openxmlformats.org/drawingml/2006/picture">
                <pic:pic>
                  <pic:nvPicPr>
                    <pic:cNvPr id="0" name="adbe_chart1_revenue.png"/>
                    <pic:cNvPicPr/>
                  </pic:nvPicPr>
                  <pic:blipFill>
                    <a:blip r:embed="rId9"/>
                    <a:stretch>
                      <a:fillRect/>
                    </a:stretch>
                  </pic:blipFill>
                  <pic:spPr>
                    <a:xfrm>
                      <a:off x="0" y="0"/>
                      <a:ext cx="5486400" cy="2720562"/>
                    </a:xfrm>
                    <a:prstGeom prst="rect"/>
                  </pic:spPr>
                </pic:pic>
              </a:graphicData>
            </a:graphic>
          </wp:inline>
        </w:drawing>
      </w:r>
    </w:p>
    <w:p>
      <w:pPr>
        <w:spacing w:after="120"/>
        <w:jc w:val="center"/>
      </w:pPr>
      <w:r>
        <w:rPr>
          <w:i/>
          <w:color w:val="8E8E93"/>
          <w:sz w:val="17"/>
        </w:rPr>
        <w:t>图1：营收趋势与同比增速</w:t>
      </w:r>
    </w:p>
    <w:p>
      <w:pPr>
        <w:jc w:val="center"/>
      </w:pPr>
      <w:r>
        <w:drawing>
          <wp:inline xmlns:a="http://schemas.openxmlformats.org/drawingml/2006/main" xmlns:pic="http://schemas.openxmlformats.org/drawingml/2006/picture">
            <wp:extent cx="5486400" cy="2720562"/>
            <wp:docPr id="2" name="Picture 2"/>
            <wp:cNvGraphicFramePr>
              <a:graphicFrameLocks noChangeAspect="1"/>
            </wp:cNvGraphicFramePr>
            <a:graphic>
              <a:graphicData uri="http://schemas.openxmlformats.org/drawingml/2006/picture">
                <pic:pic>
                  <pic:nvPicPr>
                    <pic:cNvPr id="0" name="adbe_chart2_eps.png"/>
                    <pic:cNvPicPr/>
                  </pic:nvPicPr>
                  <pic:blipFill>
                    <a:blip r:embed="rId10"/>
                    <a:stretch>
                      <a:fillRect/>
                    </a:stretch>
                  </pic:blipFill>
                  <pic:spPr>
                    <a:xfrm>
                      <a:off x="0" y="0"/>
                      <a:ext cx="5486400" cy="2720562"/>
                    </a:xfrm>
                    <a:prstGeom prst="rect"/>
                  </pic:spPr>
                </pic:pic>
              </a:graphicData>
            </a:graphic>
          </wp:inline>
        </w:drawing>
      </w:r>
    </w:p>
    <w:p>
      <w:pPr>
        <w:spacing w:after="120"/>
        <w:jc w:val="center"/>
      </w:pPr>
      <w:r>
        <w:rPr>
          <w:i/>
          <w:color w:val="8E8E93"/>
          <w:sz w:val="17"/>
        </w:rPr>
        <w:t>图2：每股收益趋势</w:t>
      </w:r>
    </w:p>
    <w:p>
      <w:pPr>
        <w:jc w:val="center"/>
      </w:pPr>
      <w:r>
        <w:drawing>
          <wp:inline xmlns:a="http://schemas.openxmlformats.org/drawingml/2006/main" xmlns:pic="http://schemas.openxmlformats.org/drawingml/2006/picture">
            <wp:extent cx="5486400" cy="2379791"/>
            <wp:docPr id="3" name="Picture 3"/>
            <wp:cNvGraphicFramePr>
              <a:graphicFrameLocks noChangeAspect="1"/>
            </wp:cNvGraphicFramePr>
            <a:graphic>
              <a:graphicData uri="http://schemas.openxmlformats.org/drawingml/2006/picture">
                <pic:pic>
                  <pic:nvPicPr>
                    <pic:cNvPr id="0" name="adbe_chart3_segments.png"/>
                    <pic:cNvPicPr/>
                  </pic:nvPicPr>
                  <pic:blipFill>
                    <a:blip r:embed="rId11"/>
                    <a:stretch>
                      <a:fillRect/>
                    </a:stretch>
                  </pic:blipFill>
                  <pic:spPr>
                    <a:xfrm>
                      <a:off x="0" y="0"/>
                      <a:ext cx="5486400" cy="2379791"/>
                    </a:xfrm>
                    <a:prstGeom prst="rect"/>
                  </pic:spPr>
                </pic:pic>
              </a:graphicData>
            </a:graphic>
          </wp:inline>
        </w:drawing>
      </w:r>
    </w:p>
    <w:p>
      <w:pPr>
        <w:spacing w:after="120"/>
        <w:jc w:val="center"/>
      </w:pPr>
      <w:r>
        <w:rPr>
          <w:i/>
          <w:color w:val="8E8E93"/>
          <w:sz w:val="17"/>
        </w:rPr>
        <w:t>图3：业务板块拆分</w:t>
      </w:r>
    </w:p>
    <w:p>
      <w:pPr>
        <w:jc w:val="center"/>
      </w:pPr>
      <w:r>
        <w:drawing>
          <wp:inline xmlns:a="http://schemas.openxmlformats.org/drawingml/2006/main" xmlns:pic="http://schemas.openxmlformats.org/drawingml/2006/picture">
            <wp:extent cx="5486400" cy="2720562"/>
            <wp:docPr id="4" name="Picture 4"/>
            <wp:cNvGraphicFramePr>
              <a:graphicFrameLocks noChangeAspect="1"/>
            </wp:cNvGraphicFramePr>
            <a:graphic>
              <a:graphicData uri="http://schemas.openxmlformats.org/drawingml/2006/picture">
                <pic:pic>
                  <pic:nvPicPr>
                    <pic:cNvPr id="0" name="adbe_chart4_arr.png"/>
                    <pic:cNvPicPr/>
                  </pic:nvPicPr>
                  <pic:blipFill>
                    <a:blip r:embed="rId12"/>
                    <a:stretch>
                      <a:fillRect/>
                    </a:stretch>
                  </pic:blipFill>
                  <pic:spPr>
                    <a:xfrm>
                      <a:off x="0" y="0"/>
                      <a:ext cx="5486400" cy="2720562"/>
                    </a:xfrm>
                    <a:prstGeom prst="rect"/>
                  </pic:spPr>
                </pic:pic>
              </a:graphicData>
            </a:graphic>
          </wp:inline>
        </w:drawing>
      </w:r>
    </w:p>
    <w:p>
      <w:pPr>
        <w:spacing w:after="120"/>
        <w:jc w:val="center"/>
      </w:pPr>
      <w:r>
        <w:rPr>
          <w:i/>
          <w:color w:val="8E8E93"/>
          <w:sz w:val="17"/>
        </w:rPr>
        <w:t>图4：ARR增长趋势</w:t>
      </w:r>
    </w:p>
    <w:p>
      <w:pPr>
        <w:jc w:val="center"/>
      </w:pPr>
      <w:r>
        <w:drawing>
          <wp:inline xmlns:a="http://schemas.openxmlformats.org/drawingml/2006/main" xmlns:pic="http://schemas.openxmlformats.org/drawingml/2006/picture">
            <wp:extent cx="5486400" cy="2720562"/>
            <wp:docPr id="5" name="Picture 5"/>
            <wp:cNvGraphicFramePr>
              <a:graphicFrameLocks noChangeAspect="1"/>
            </wp:cNvGraphicFramePr>
            <a:graphic>
              <a:graphicData uri="http://schemas.openxmlformats.org/drawingml/2006/picture">
                <pic:pic>
                  <pic:nvPicPr>
                    <pic:cNvPr id="0" name="adbe_chart5_margins.png"/>
                    <pic:cNvPicPr/>
                  </pic:nvPicPr>
                  <pic:blipFill>
                    <a:blip r:embed="rId13"/>
                    <a:stretch>
                      <a:fillRect/>
                    </a:stretch>
                  </pic:blipFill>
                  <pic:spPr>
                    <a:xfrm>
                      <a:off x="0" y="0"/>
                      <a:ext cx="5486400" cy="2720562"/>
                    </a:xfrm>
                    <a:prstGeom prst="rect"/>
                  </pic:spPr>
                </pic:pic>
              </a:graphicData>
            </a:graphic>
          </wp:inline>
        </w:drawing>
      </w:r>
    </w:p>
    <w:p>
      <w:pPr>
        <w:spacing w:after="120"/>
        <w:jc w:val="center"/>
      </w:pPr>
      <w:r>
        <w:rPr>
          <w:i/>
          <w:color w:val="8E8E93"/>
          <w:sz w:val="17"/>
        </w:rPr>
        <w:t>图5：利润率趋势</w:t>
      </w:r>
    </w:p>
    <w:p>
      <w:pPr>
        <w:jc w:val="center"/>
      </w:pPr>
      <w:r>
        <w:drawing>
          <wp:inline xmlns:a="http://schemas.openxmlformats.org/drawingml/2006/main" xmlns:pic="http://schemas.openxmlformats.org/drawingml/2006/picture">
            <wp:extent cx="5486400" cy="2716447"/>
            <wp:docPr id="6" name="Picture 6"/>
            <wp:cNvGraphicFramePr>
              <a:graphicFrameLocks noChangeAspect="1"/>
            </wp:cNvGraphicFramePr>
            <a:graphic>
              <a:graphicData uri="http://schemas.openxmlformats.org/drawingml/2006/picture">
                <pic:pic>
                  <pic:nvPicPr>
                    <pic:cNvPr id="0" name="adbe_chart9_valuation.png"/>
                    <pic:cNvPicPr/>
                  </pic:nvPicPr>
                  <pic:blipFill>
                    <a:blip r:embed="rId14"/>
                    <a:stretch>
                      <a:fillRect/>
                    </a:stretch>
                  </pic:blipFill>
                  <pic:spPr>
                    <a:xfrm>
                      <a:off x="0" y="0"/>
                      <a:ext cx="5486400" cy="2716447"/>
                    </a:xfrm>
                    <a:prstGeom prst="rect"/>
                  </pic:spPr>
                </pic:pic>
              </a:graphicData>
            </a:graphic>
          </wp:inline>
        </w:drawing>
      </w:r>
    </w:p>
    <w:p>
      <w:pPr>
        <w:spacing w:after="120"/>
        <w:jc w:val="center"/>
      </w:pPr>
      <w:r>
        <w:rPr>
          <w:i/>
          <w:color w:val="8E8E93"/>
          <w:sz w:val="17"/>
        </w:rPr>
        <w:t>图6：估值倍数走势</w:t>
      </w:r>
    </w:p>
    <w:p>
      <w:pPr>
        <w:jc w:val="center"/>
      </w:pPr>
      <w:r>
        <w:drawing>
          <wp:inline xmlns:a="http://schemas.openxmlformats.org/drawingml/2006/main" xmlns:pic="http://schemas.openxmlformats.org/drawingml/2006/picture">
            <wp:extent cx="5486400" cy="2379791"/>
            <wp:docPr id="7" name="Picture 7"/>
            <wp:cNvGraphicFramePr>
              <a:graphicFrameLocks noChangeAspect="1"/>
            </wp:cNvGraphicFramePr>
            <a:graphic>
              <a:graphicData uri="http://schemas.openxmlformats.org/drawingml/2006/picture">
                <pic:pic>
                  <pic:nvPicPr>
                    <pic:cNvPr id="0" name="adbe_chart10_ai_growth.png"/>
                    <pic:cNvPicPr/>
                  </pic:nvPicPr>
                  <pic:blipFill>
                    <a:blip r:embed="rId15"/>
                    <a:stretch>
                      <a:fillRect/>
                    </a:stretch>
                  </pic:blipFill>
                  <pic:spPr>
                    <a:xfrm>
                      <a:off x="0" y="0"/>
                      <a:ext cx="5486400" cy="2379791"/>
                    </a:xfrm>
                    <a:prstGeom prst="rect"/>
                  </pic:spPr>
                </pic:pic>
              </a:graphicData>
            </a:graphic>
          </wp:inline>
        </w:drawing>
      </w:r>
    </w:p>
    <w:p>
      <w:pPr>
        <w:spacing w:after="120"/>
        <w:jc w:val="center"/>
      </w:pPr>
      <w:r>
        <w:rPr>
          <w:i/>
          <w:color w:val="8E8E93"/>
          <w:sz w:val="17"/>
        </w:rPr>
        <w:t>图7：AI业务增长</w:t>
      </w:r>
    </w:p>
    <w:p>
      <w:pPr>
        <w:pBdr>
          <w:bottom w:val="single" w:sz="4" w:space="1" w:color="CCCCCC"/>
        </w:pBdr>
        <w:spacing w:after="160"/>
      </w:pPr>
    </w:p>
    <w:p>
      <w:pPr>
        <w:spacing w:after="80"/>
      </w:pPr>
      <w:r>
        <w:rPr>
          <w:rFonts w:ascii="宋体" w:hAnsi="宋体" w:eastAsia="宋体"/>
          <w:b w:val="0"/>
          <w:i/>
          <w:color w:val="8E8E93"/>
          <w:sz w:val="16"/>
        </w:rPr>
        <w:t>免责声明：本报告仅供参考，不构成任何投资建议。报告中的数据来自公开市场信息，作者不对数据的准确性和完整性做任何保证。投资者应独立判断并承担投资风险。</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