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Heiti SC" w:hAnsi="Heiti SC" w:eastAsia="Heiti SC" w:cs="Heiti SC"/>
          <w:b/>
          <w:i w:val="0"/>
          <w:color w:val="000000"/>
          <w:sz w:val="32"/>
        </w:rPr>
        <w:t>太空探索技术公司 SPCX</w:t>
      </w:r>
    </w:p>
    <w:p>
      <w:pPr>
        <w:spacing w:before="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27"/>
        </w:rPr>
        <w:t>2026年第三季度业绩更新报告</w:t>
      </w:r>
    </w:p>
    <w:p>
      <w:pPr>
        <w:spacing w:before="0" w:after="1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23"/>
        </w:rPr>
        <w:t>SI盈利拐点重塑盈利曲线 资本开支再次提速</w:t>
      </w:r>
    </w:p>
    <w:p>
      <w:pPr>
        <w:spacing w:before="0" w:after="100" w:line="250" w:lineRule="auto"/>
        <w:jc w:val="center"/>
      </w:pPr>
      <w:r>
        <w:rPr>
          <w:rFonts w:ascii="Heiti SC" w:hAnsi="Heiti SC" w:eastAsia="Heiti SC" w:cs="Heiti SC"/>
          <w:b/>
          <w:i w:val="0"/>
          <w:color w:val="667085"/>
          <w:sz w:val="17"/>
        </w:rPr>
        <w:t>2026年10月21日  |  评级：维持 跑赢大盘  |  股价：N/A  |  目标价：$150上调至$210  |  上涨空间：N/A</w:t>
      </w:r>
    </w:p>
    <w:p>
      <w:pPr>
        <w:spacing w:before="0" w:after="120" w:line="250" w:lineRule="auto"/>
        <w:jc w:val="center"/>
      </w:pPr>
      <w:r>
        <w:rPr>
          <w:rFonts w:ascii="Songti SC" w:hAnsi="Songti SC" w:eastAsia="Songti SC" w:cs="Songti SC"/>
          <w:b w:val="0"/>
          <w:i w:val="0"/>
          <w:color w:val="667085"/>
          <w:sz w:val="16"/>
        </w:rPr>
        <w:t>市值：N/A  |  52周区间：N/A  |  盘后：$159.71（+8.1%）</w:t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业绩摘要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50"/>
        <w:gridCol w:w="1250"/>
        <w:gridCol w:w="1900"/>
        <w:gridCol w:w="3360"/>
      </w:tblGrid>
      <w:tr>
        <w:trPr>
          <w:tblHeader w:val="true"/>
        </w:trPr>
        <w:tc>
          <w:tcPr>
            <w:tcW w:type="dxa" w:w="16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指标</w:t>
            </w:r>
          </w:p>
        </w:tc>
        <w:tc>
          <w:tcPr>
            <w:tcW w:type="dxa" w:w="125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报告值</w:t>
            </w:r>
          </w:p>
        </w:tc>
        <w:tc>
          <w:tcPr>
            <w:tcW w:type="dxa" w:w="125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一致预期</w:t>
            </w:r>
          </w:p>
        </w:tc>
        <w:tc>
          <w:tcPr>
            <w:tcW w:type="dxa" w:w="19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差异</w:t>
            </w:r>
          </w:p>
        </w:tc>
        <w:tc>
          <w:tcPr>
            <w:tcW w:type="dxa" w:w="336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解读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收入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$145.75亿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$129.00亿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+$16.75亿 / +13.0%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三个板块均超预期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GAAP摊薄EPS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$0.35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$0.14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+$0.21 / +150%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经营改善及其他收益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调整后EBITDA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$88.09亿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$65.90亿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+$22.19亿 / +33.7%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云服务结构改善</w:t>
            </w:r>
          </w:p>
        </w:tc>
      </w:tr>
      <w:t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Heiti SC" w:hAnsi="Heiti SC" w:eastAsia="Heiti SC" w:cs="Heiti SC"/>
                <w:b/>
                <w:i w:val="0"/>
                <w:sz w:val="15"/>
              </w:rPr>
              <w:t>资本开支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$195.93亿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$183.69亿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环比+6.7%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SI基础设施</w:t>
            </w:r>
          </w:p>
        </w:tc>
      </w:tr>
    </w:tbl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Q3业绩新闻稿及附件99.1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2">
        <w:r>
          <w:rPr>
            <w:rFonts w:ascii="Songti SC" w:hAnsi="Songti SC" w:eastAsia="Songti SC" w:cs="Songti SC"/>
            <w:color w:val="0563C1"/>
            <w:u w:val="single"/>
            <w:sz w:val="14"/>
          </w:rPr>
          <w:t>SEC Form 8-K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3">
        <w:r>
          <w:rPr>
            <w:rFonts w:ascii="Songti SC" w:hAnsi="Songti SC" w:eastAsia="Songti SC" w:cs="Songti SC"/>
            <w:color w:val="0563C1"/>
            <w:u w:val="single"/>
            <w:sz w:val="14"/>
          </w:rPr>
          <w:t>TipRanks财报前一致预期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4">
        <w:r>
          <w:rPr>
            <w:rFonts w:ascii="Songti SC" w:hAnsi="Songti SC" w:eastAsia="Songti SC" w:cs="Songti SC"/>
            <w:color w:val="0563C1"/>
            <w:u w:val="single"/>
            <w:sz w:val="14"/>
          </w:rPr>
          <w:t>Zacks板块一致预期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>. 业绩于2026年10月20日提交；一致预期截至2026年10月19日</w:t>
      </w:r>
    </w:p>
    <w:p>
      <w:pPr>
        <w:pStyle w:val="Heading2"/>
      </w:pPr>
      <w:r>
        <w:rPr>
          <w:rFonts w:ascii="Heiti SC" w:hAnsi="Heiti SC" w:eastAsia="Heiti SC" w:cs="Heiti SC"/>
          <w:b/>
          <w:i w:val="0"/>
          <w:color w:val="000000"/>
          <w:sz w:val="23"/>
        </w:rPr>
        <w:t>投资影响</w:t>
      </w:r>
    </w:p>
    <w:p>
      <w:pPr>
        <w:numPr>
          <w:ilvl w:val="0"/>
          <w:numId w:val="10"/>
        </w:numPr>
        <w:spacing w:after="80" w:line="247" w:lineRule="auto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 xml:space="preserve">超预期具有广度，盈利曲线已改变。 </w:t>
      </w:r>
      <w:r>
        <w:rPr>
          <w:rFonts w:ascii="Songti SC" w:hAnsi="Songti SC" w:eastAsia="Songti SC" w:cs="Songti SC"/>
          <w:b w:val="0"/>
          <w:i w:val="0"/>
          <w:sz w:val="17"/>
        </w:rPr>
        <w:t>收入较财报前一致预期高13%，摊薄EPS为$0.35，超预期$0.21。SI贡献75.6亿美元收入和4.31亿美元GAAP营业利润，盈利拐点早于且规模显著高于我们Q2后的模型。</w:t>
      </w:r>
    </w:p>
    <w:p>
      <w:pPr>
        <w:numPr>
          <w:ilvl w:val="0"/>
          <w:numId w:val="10"/>
        </w:numPr>
        <w:spacing w:after="80" w:line="247" w:lineRule="auto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 xml:space="preserve">连接业务仍是质量锚。 </w:t>
      </w:r>
      <w:r>
        <w:rPr>
          <w:rFonts w:ascii="Songti SC" w:hAnsi="Songti SC" w:eastAsia="Songti SC" w:cs="Songti SC"/>
          <w:b w:val="0"/>
          <w:i w:val="0"/>
          <w:sz w:val="17"/>
        </w:rPr>
        <w:t>收入同比增长69%至52.5亿美元，营业利润增长99%至23.7亿美元；用户达到1,360万，月度ARPU环比提升5%至$69。星链仍是最可靠的经常性盈利和集团资金来源。</w:t>
      </w:r>
    </w:p>
    <w:p>
      <w:pPr>
        <w:numPr>
          <w:ilvl w:val="0"/>
          <w:numId w:val="10"/>
        </w:numPr>
        <w:spacing w:after="80" w:line="247" w:lineRule="auto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 xml:space="preserve">管理层同时抬高增长与支出上限。 </w:t>
      </w:r>
      <w:r>
        <w:rPr>
          <w:rFonts w:ascii="Songti SC" w:hAnsi="Songti SC" w:eastAsia="Songti SC" w:cs="Songti SC"/>
          <w:b w:val="0"/>
          <w:i w:val="0"/>
          <w:sz w:val="17"/>
        </w:rPr>
        <w:t>电话会首次给出2027Q1收入330-370亿美元和2026Q4资本开支350-400亿美元指引。12月1000亿美元ARR目标及年末2.5-3.0GW算力目标意味着又一次快速跃升，但部署期自由现金流仍将大幅为负。</w:t>
      </w:r>
    </w:p>
    <w:p>
      <w:pPr>
        <w:numPr>
          <w:ilvl w:val="0"/>
          <w:numId w:val="10"/>
        </w:numPr>
        <w:spacing w:after="80" w:line="247" w:lineRule="auto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 xml:space="preserve">维持跑赢大盘 目标价由$150上调至$210。 </w:t>
      </w:r>
      <w:r>
        <w:rPr>
          <w:rFonts w:ascii="Songti SC" w:hAnsi="Songti SC" w:eastAsia="Songti SC" w:cs="Songti SC"/>
          <w:b w:val="0"/>
          <w:i w:val="0"/>
          <w:sz w:val="17"/>
        </w:rPr>
        <w:t>更高SI利用率、630亿美元积压订单和板块GAAP盈利支持更高SOTP。由于资本强度、客户集中、合并不确定性和执行风险仍极高，我们采用$110-$320的宽情景区间。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1 业绩显著高于快速上修的一致预期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SpaceX Q3收入145.75亿美元，同比增长161%、环比增长87%。相较10月19日发布的129亿美元财报前一致预期，公司超出16.75亿美元，即13.0%。GAAP摊薄EPS为$0.35，较$0.14一致预期高$0.21。Zacks九位分析师对太空、连接和SI收入的预期分别为14.3亿、47.8亿和60.3亿美元；实际值分别高24%、10%和25%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超预期并非只来自线下项目。合并营业利润由去年同期亏损2.73亿美元、Q2亏损1.43亿美元改善至27.91亿美元。调整后EBITDA达88.09亿美元，同比增长306%、环比增长149%。收入结构是关键：高利润率SI云服务协议快速扩张，连接业务保持强劲增量利润率。10.25亿美元其他收益和3.90亿美元所得税收益也推高净利润，因此不应把$0.35 EPS完全视为可持续运行速度。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可比性仍不完美。SI包含8月完成的Cursor收购，交割日至季末贡献6.08亿美元收入；该交易也产生12.17亿美元Q3并购相关股权激励，压低GAAP SI营业利润。管理层表示，剔除该费用后SI营业利润约16亿美元。因此，SI利润率拐点具备经济意义，但仍受购买会计和客户结构波动影响。</w:t>
      </w:r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1 - Q3 2026实际值与预期对比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2202105"/>
            <wp:docPr id="1" name="Picture 1" descr="双面板图，对比Q3实际收入和GAAP摊薄EPS与财报前一致预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1_beat_mi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20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Q3业绩新闻稿，2026年10月20日，第1及第9页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3">
        <w:r>
          <w:rPr>
            <w:rFonts w:ascii="Songti SC" w:hAnsi="Songti SC" w:eastAsia="Songti SC" w:cs="Songti SC"/>
            <w:color w:val="0563C1"/>
            <w:u w:val="single"/>
            <w:sz w:val="14"/>
          </w:rPr>
          <w:t>TipRanks财报前一致预期，2026年10月19日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4">
        <w:r>
          <w:rPr>
            <w:rFonts w:ascii="Songti SC" w:hAnsi="Songti SC" w:eastAsia="Songti SC" w:cs="Songti SC"/>
            <w:color w:val="0563C1"/>
            <w:u w:val="single"/>
            <w:sz w:val="14"/>
          </w:rPr>
          <w:t>Zacks关键指标一致预期，2026年10月20日</w:t>
        </w:r>
      </w:hyperlink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2 - 季度收入与调整后EBITDA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2422725"/>
            <wp:docPr id="2" name="Picture 2" descr="分组柱状图，展示Q3 2025至Q3 2026的季度收入与调整后EBITDA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2_revenue_ebit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422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Q3业绩新闻稿，2026年10月20日，第3及第9页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7">
        <w:r>
          <w:rPr>
            <w:rFonts w:ascii="Songti SC" w:hAnsi="Songti SC" w:eastAsia="Songti SC" w:cs="Songti SC"/>
            <w:color w:val="0563C1"/>
            <w:u w:val="single"/>
            <w:sz w:val="14"/>
          </w:rPr>
          <w:t>Q2 Form 10-Q，2026年8月4日提交，第5及第40页</w:t>
        </w:r>
      </w:hyperlink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2 板块结构已有两个盈利引擎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SI在Q3成为最大收入板块，占合并收入52%；连接和太空分别占36%和12%。SI收入环比增长195%、同比增长830%至75.60亿美元，受新云服务上线、Cursor并表和Grok采用率提高推动。更重要的是，SI由Q2营业亏损12.57亿美元转为盈利4.31亿美元，调整后EBITDA由11.46亿美元增至49.53亿美元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连接业务仍是更纯粹的盈利来源。收入环比增长22%、同比增长69%至52.48亿美元。营业利润23.67亿美元，对应45.1%利润率，高于Q2的38.6%；调整后EBITDA达34.99亿美元。消费者收入增至31.21亿美元，企业与政府收入增至21.27亿美元，降低对单一渠道的依赖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太空业务收入环比增长84%至17.67亿美元，受客户结构和12次客户发射推动。营业亏损仅700万美元，接近盈亏平衡；调整后EBITDA为3.57亿美元。星舰研发加速使研发费用仍达12.25亿美元。首次产生收入的星舰任务部署26颗星链V3卫星，证明发射经济性可改善连接容量，但近期太空利润表仍受开发支出压制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因此，公司已不再只有一个盈利引擎。连接业务仍提供质量最高的经常性现金盈利，但SI已实现GAAP正贡献；若利用率保持高位，SI可成为最大价值驱动。分析焦点由“SI能否变现”转向“在充分计入折旧、股权激励及更大资本基数后，其回报能否维持吸引力”。</w:t>
      </w:r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3 - 板块收入变化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2151017"/>
            <wp:docPr id="3" name="Picture 3" descr="分组柱状图，展示Q3 2025至Q3 2026的太空、连接和SI收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3_segment_reven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5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Q3业绩新闻稿，2026年10月20日，第3-7页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7">
        <w:r>
          <w:rPr>
            <w:rFonts w:ascii="Songti SC" w:hAnsi="Songti SC" w:eastAsia="Songti SC" w:cs="Songti SC"/>
            <w:color w:val="0563C1"/>
            <w:u w:val="single"/>
            <w:sz w:val="14"/>
          </w:rPr>
          <w:t>Q2 Form 10-Q，2026年8月4日提交，第37-44页</w:t>
        </w:r>
      </w:hyperlink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4 - 板块营业利润与亏损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343400" cy="2151017"/>
            <wp:docPr id="4" name="Picture 4" descr="分组柱状图，展示四个报告季度各板块营业利润或亏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4_segment_operating_inco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5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Q3业绩新闻稿，2026年10月20日，第3-7页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7">
        <w:r>
          <w:rPr>
            <w:rFonts w:ascii="Songti SC" w:hAnsi="Songti SC" w:eastAsia="Songti SC" w:cs="Songti SC"/>
            <w:color w:val="0563C1"/>
            <w:u w:val="single"/>
            <w:sz w:val="14"/>
          </w:rPr>
          <w:t>Q2 Form 10-Q，2026年8月4日提交，板块附注</w:t>
        </w:r>
      </w:hyperlink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3 盈利跨过门槛 但质量需要调整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900"/>
        <w:gridCol w:w="1800"/>
        <w:gridCol w:w="1800"/>
        <w:gridCol w:w="2060"/>
      </w:tblGrid>
      <w:tr>
        <w:trPr>
          <w:tblHeader w:val="true"/>
        </w:trPr>
        <w:tc>
          <w:tcPr>
            <w:tcW w:type="dxa" w:w="15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板块</w:t>
            </w:r>
          </w:p>
        </w:tc>
        <w:tc>
          <w:tcPr>
            <w:tcW w:type="dxa" w:w="13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收入</w:t>
            </w:r>
          </w:p>
        </w:tc>
        <w:tc>
          <w:tcPr>
            <w:tcW w:type="dxa" w:w="9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同比</w:t>
            </w:r>
          </w:p>
        </w:tc>
        <w:tc>
          <w:tcPr>
            <w:tcW w:type="dxa" w:w="18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营业利润</w:t>
            </w:r>
          </w:p>
        </w:tc>
        <w:tc>
          <w:tcPr>
            <w:tcW w:type="dxa" w:w="18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调整后EBITDA</w:t>
            </w:r>
          </w:p>
        </w:tc>
        <w:tc>
          <w:tcPr>
            <w:tcW w:type="dxa" w:w="206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资本开支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太空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$17.67亿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+6%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$(0.07)亿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$3.57亿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$16.06亿</w:t>
            </w:r>
          </w:p>
        </w:tc>
      </w:tr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连接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$52.48亿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+69%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$23.67亿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$34.99亿</w:t>
            </w:r>
          </w:p>
        </w:tc>
        <w:tc>
          <w:tcPr>
            <w:tcW w:type="dxa" w:w="2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$15.43亿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超级智能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$75.60亿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+830%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$4.31亿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$49.53亿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$164.44亿</w:t>
            </w:r>
          </w:p>
        </w:tc>
      </w:tr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Heiti SC" w:hAnsi="Heiti SC" w:eastAsia="Heiti SC" w:cs="Heiti SC"/>
                <w:b/>
                <w:i w:val="0"/>
                <w:sz w:val="15"/>
              </w:rPr>
              <w:t>合计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$145.75亿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+161%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$27.91亿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$88.09亿</w:t>
            </w:r>
          </w:p>
        </w:tc>
        <w:tc>
          <w:tcPr>
            <w:tcW w:type="dxa" w:w="2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$195.93亿</w:t>
            </w:r>
          </w:p>
        </w:tc>
      </w:tr>
    </w:tbl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Q3业绩新闻稿，第3-7页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2">
        <w:r>
          <w:rPr>
            <w:rFonts w:ascii="Songti SC" w:hAnsi="Songti SC" w:eastAsia="Songti SC" w:cs="Songti SC"/>
            <w:color w:val="0563C1"/>
            <w:u w:val="single"/>
            <w:sz w:val="14"/>
          </w:rPr>
          <w:t>SEC Form 8-K，2026年10月20日提交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>. 截至2026年9月30日止三个月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毛利率由去年同期51.5%和Q2的55.3%升至62.4%，原因是高利润率云协议提升SI占比。营业利润率达19.1%，同比改善24个百分点；净利率达30.2%。管理层提醒，Q3受一次性项目和客户结构提振，预计Q4毛利率更接近Q2。因此，我们预测部分正常化，而非外推Q3峰值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调整后EBITDA需要严格桥接。88.09亿美元包括加回36.44亿美元折旧及摊销、11.46亿美元经常性股权激励、12.17亿美元并购相关股权激励及其他项目。对于单季资本开支196亿美元的公司，这些加回具有真实经济成本。调整后EBITDA证明利用率与定价能力，但在建设期显著高估可供股东使用的现金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线下项目方面，8.73亿美元利息收入和10.25亿美元其他收益超过6.75亿美元利息费用，使44.04亿美元净利润比营业利润高16.13亿美元。我们的预测对其他收益和所得税收益作正常化处理，同时保留SI与连接业务的正向经营杠杆；由此得到的近期EPS低于简单年化Q3，但估值基础更可持续。</w:t>
      </w:r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5 - 合并利润率变化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2478905"/>
            <wp:docPr id="5" name="Picture 5" descr="折线图展示Q3 2025至Q3 2026的毛利率、营业利润率和净利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5_margin_tren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78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Q3业绩新闻稿，2026年10月20日，第9-10页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7">
        <w:r>
          <w:rPr>
            <w:rFonts w:ascii="Songti SC" w:hAnsi="Songti SC" w:eastAsia="Songti SC" w:cs="Songti SC"/>
            <w:color w:val="0563C1"/>
            <w:u w:val="single"/>
            <w:sz w:val="14"/>
          </w:rPr>
          <w:t>Q2 Form 10-Q，2026年8月4日提交，合并财务报表</w:t>
        </w:r>
      </w:hyperlink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4 连接业务强化核心投资逻辑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季度末星链消费者用户达到1,360万，同比增长89%、环比增长13%。月度消费者ARPU环比提升5%至$69，在公司继续国际扩张的同时扭转此前下滑。消费者收入同比增长57%至31.21亿美元；企业与政府收入增长91%至21.27亿美元，受航空、海事、政府及其他托管部署推动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经营经济性改善快于收入。连接业务营业利润同比增长99%至23.67亿美元，调整后EBITDA增长82%至34.99亿美元。尽管业务高速增长，15.43亿美元资本开支仅略高于Q2，说明已部署星座和客户基础正在产生经营杠杆。45.1%营业利润率和66.7%调整后EBITDA利润率，是星链能够为集团更广泛目标提供资金的最强证据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下一增长向量是Starlink Mobile。SpaceX于10月8日签署协议，拟收购全国范围最多14MHz成对800MHz频谱，预计2027年上半年完成。管理层描述的混合架构包括S频段容量、用于建筑物穿透的低频谱，以及在现有星链地点部署无线电设备。可服务市场扩大，但也带来监管、整合和资本配置风险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V3卫星应改善容量经济性。Flight 14部署26颗V3卫星，其下行容量约等于一次猎鹰9号星链发射新增容量的十倍。管理层预计，在轨V3卫星达到数百颗后，用户将明显感受到改善，时间可能在2027年中。星舰发射频率因此直接影响星链服务质量和长期利润率。</w:t>
      </w:r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6 - 星链消费者用户与ARPU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2513294"/>
            <wp:docPr id="6" name="Picture 6" descr="柱状图展示星链消费者用户数，折线展示月度消费者ARPU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6_starlink_metr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51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Q3业绩新闻稿，2026年10月20日，第5-6页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22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Q3业绩电话会文字稿，2026年10月20日</w:t>
        </w:r>
      </w:hyperlink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5 SI变现验证需求 但尚未验证现金回报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SI收入增至75.60亿美元，其中解决方案与基础设施收入70.22亿美元、广告收入5.38亿美元。名义算力达到1.7GW，高于Q2的1.4GW和去年同期0.6GW。收入跃升说明新增容量正快速变现；管理层称第三方需求旺盛，并可在内部模型训练与外部云客户之间灵活分配算力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板块调整后EBITDA为49.53亿美元，但资本开支仍达164.44亿美元，相当于季度收入的2.2倍。管理层计划年底前每月部署约20万至22万套GB300系统，Q4名义算力达到2.5-3.0GW，并在2027年新增至少10GW。上行情景为20GW，但管理层明确表示该目标困难且不确定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Cursor把业务栈从基础设施和模型扩展至应用。收购隐含股权价值600亿美元，GAAP购买对价425亿美元；约234亿美元股权奖励与收购后服务挂钩，将在约三年产生大量股权激励。Cursor在Q3贡献6.08亿美元收入，但留任方案削弱调整后EBITDA向股东盈利的转化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我们的投资逻辑在需求上增强、在资本强度上弱化。630亿美元积压订单中约420亿美元预计在未来十二个月确认，提供近期可见度。然而，Q4资本开支指引350-400亿美元，接近Q3两倍；GPU、电力、冷却、网络、客户集中、合同重新定价和技术淘汰均可能压缩回报。争论已不再是SI能否增长，而是在更大折旧周期中投入资本回报率能否保持吸引力。</w:t>
      </w:r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7 - SI收入资本开支与名义算力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2468009"/>
            <wp:docPr id="7" name="Picture 7" descr="柱状图比较SI收入和资本开支，折线展示名义算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7_si_revenue_capex_compu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68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Q3业绩新闻稿，2026年10月20日，第6-7页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22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Q3业绩电话会文字稿，2026年10月20日，CFO发言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7">
        <w:r>
          <w:rPr>
            <w:rFonts w:ascii="Songti SC" w:hAnsi="Songti SC" w:eastAsia="Songti SC" w:cs="Songti SC"/>
            <w:color w:val="0563C1"/>
            <w:u w:val="single"/>
            <w:sz w:val="14"/>
          </w:rPr>
          <w:t>Q2 Form 10-Q，2026年8月4日提交</w:t>
        </w:r>
      </w:hyperlink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6 现金流仍是限制变量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九个月经营现金流由去年同期41.20亿美元改善至130.97亿美元，受盈利增加、折旧、股权激励和递延收入增加49.22亿美元支持。但资本开支达到480.69亿美元，自由现金流约为负349.72亿美元（未计并购及有价证券活动）。业务在经营层面已盈利，但按当前部署速度仍无法自我融资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流动性充足。Q3末现金512.94亿美元、有价证券385.61亿美元，债务及融资租赁388.44亿美元，净现金约510亿美元。前九个月IPO净融资所得856.75亿美元。这些资源可承受又一轮投资激增，但Q4资本开支指引中点已相当于季末现金的74%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营运资本也值得关注。前九个月应收账款增加28.82亿美元、库存增加13.81亿美元，递延收入增加49.22亿美元。大额客户预付款改善现金可见度，但随着算力和卫星部署加速，应收和库存也会迅速消耗现金。因此，积压订单转化速度与已签合同价值同等重要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管理层把经营现金流、投资级债务市场以及供应商和客户合作伙伴列为2027年融资组合。鉴于资产负债表和需求，我们认为路径可信，但并非无成本。更高债务、供应商融资、客户预付款和更多股权挂钩激励，以不同方式转移风险。估值对资本需求增长快于合同现金回款的可能性给予折价。</w:t>
      </w:r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8 - 九个月经营现金流资本开支与自由现金流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57798"/>
            <wp:docPr id="8" name="Picture 8" descr="柱状图展示截至2026年9月的九个月经营现金流、资本开支与自由现金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8_cash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5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Q3业绩新闻稿，2026年10月20日，第11-12页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2">
        <w:r>
          <w:rPr>
            <w:rFonts w:ascii="Songti SC" w:hAnsi="Songti SC" w:eastAsia="Songti SC" w:cs="Songti SC"/>
            <w:color w:val="0563C1"/>
            <w:u w:val="single"/>
            <w:sz w:val="14"/>
          </w:rPr>
          <w:t>SEC Form 8-K及附件99.1</w:t>
        </w:r>
      </w:hyperlink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7 指引把争论从季度业绩转向产能转化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管理层首次给出2027Q1收入330-370亿美元指引，超过Q3实际收入两倍；同时重申按12月收入计算，2026年底达到1000亿美元年化收入运行速度。运行速度目标与季度确认收入的差异很重要：ARR目标对应12月单月约83亿美元收入，而Q1指引中点对应月均约117亿美元。两者都要求合同快速转化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Q4资本开支350-400亿美元是最明确的近期风险。按中点计算，2026全年资本开支将接近856亿美元，高于我们此前650亿美元预测。管理层预计Q4毛利率向Q2回归，因为Q3包含一次性收益和有利客户结构。因此，我们预测Q4收入大幅增长但利润率低于Q3，随后随着2027Q1产能爬坡重新体现经营杠杆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经营里程碑支持收入计划，但目标激进。管理层预计年末算力2.5-3.0GW、2027年至少新增10GW、2027年上半年星舰周度发射、下半年提升至每周两次。数百颗V3卫星有望在2027年中开始明显改善星链服务。每项里程碑都要求电力、冷却、芯片、发射许可、制造和网络运营协同执行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我们对指引的需求可信度评为中高，对时间可信度评为中等。630亿美元积压订单和Q3强劲转化验证客户需求，资产负债表也支持采购。然而，公司同时扩张云基础设施、星舰、V3卫星、Starlink Mobile及内部芯片制造。关键路径数量使进度延误的概率较高，即便长期需求不变。</w:t>
      </w:r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9 - 收入与资本开支展望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2385735"/>
            <wp:docPr id="9" name="Picture 9" descr="双面板图，对比Q3收入与2027Q1指引，以及Q3资本开支与Q4指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9_guida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38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22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Q3业绩电话会文字稿，2026年10月20日，CFO指引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Q3业绩新闻稿，2026年10月20日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26">
        <w:r>
          <w:rPr>
            <w:rFonts w:ascii="Songti SC" w:hAnsi="Songti SC" w:eastAsia="Songti SC" w:cs="Songti SC"/>
            <w:color w:val="0563C1"/>
            <w:u w:val="single"/>
            <w:sz w:val="14"/>
          </w:rPr>
          <w:t>Q2业绩网络直播，2026年8月4日，此前ARR目标</w:t>
        </w:r>
      </w:hyperlink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8 预测修正纳入Q1可见度和Q4支出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我们将FY2026收入由350亿美元上调至505亿美元，调整后EBITDA由155亿美元上调至290亿美元。九个月已报告收入270.83亿美元，模型对Q4收入预测为234亿美元，与年末ARR目标一致，但低于简单外推2027Q1指引。考虑管理层Q4 350-400亿美元区间，FY2026资本开支由650亿美元上调至855亿美元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300"/>
        <w:gridCol w:w="1300"/>
        <w:gridCol w:w="1050"/>
        <w:gridCol w:w="1300"/>
        <w:gridCol w:w="2560"/>
      </w:tblGrid>
      <w:tr>
        <w:trPr>
          <w:tblHeader w:val="true"/>
        </w:trPr>
        <w:tc>
          <w:tcPr>
            <w:tcW w:type="dxa" w:w="185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指标</w:t>
            </w:r>
          </w:p>
        </w:tc>
        <w:tc>
          <w:tcPr>
            <w:tcW w:type="dxa" w:w="13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FY26旧</w:t>
            </w:r>
          </w:p>
        </w:tc>
        <w:tc>
          <w:tcPr>
            <w:tcW w:type="dxa" w:w="13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FY26新</w:t>
            </w:r>
          </w:p>
        </w:tc>
        <w:tc>
          <w:tcPr>
            <w:tcW w:type="dxa" w:w="105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变化</w:t>
            </w:r>
          </w:p>
        </w:tc>
        <w:tc>
          <w:tcPr>
            <w:tcW w:type="dxa" w:w="130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FY27旧</w:t>
            </w:r>
          </w:p>
        </w:tc>
        <w:tc>
          <w:tcPr>
            <w:tcW w:type="dxa" w:w="2560"/>
            <w:shd w:fill="000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FFFFFF"/>
                <w:sz w:val="15"/>
              </w:rPr>
              <w:t>FY27新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收入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$350亿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$505亿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+44%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$580亿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$1,420亿</w:t>
            </w:r>
          </w:p>
        </w:tc>
      </w:tr>
      <w:tr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调整后EBITDA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$155亿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$290亿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+87%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$260亿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$720亿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营业利润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$(30)亿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$85亿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不适用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$40亿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$310亿</w:t>
            </w:r>
          </w:p>
        </w:tc>
      </w:tr>
      <w:tr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净利润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$(60)亿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$91亿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不适用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$0亿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$270亿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GAAP摊薄EPS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$(0.50)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$0.69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不适用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$0.00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$1.95</w:t>
            </w:r>
          </w:p>
        </w:tc>
      </w:tr>
      <w:tr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Heiti SC" w:hAnsi="Heiti SC" w:eastAsia="Heiti SC" w:cs="Heiti SC"/>
                <w:b/>
                <w:i w:val="0"/>
                <w:sz w:val="15"/>
              </w:rPr>
              <w:t>资本开支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$650亿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$855亿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+32%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$750亿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i w:val="0"/>
                <w:sz w:val="15"/>
              </w:rPr>
              <w:t>$1,500亿</w:t>
            </w:r>
          </w:p>
        </w:tc>
      </w:tr>
    </w:tbl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Q3业绩新闻稿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22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Q3业绩电话会指引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7">
        <w:r>
          <w:rPr>
            <w:rFonts w:ascii="Songti SC" w:hAnsi="Songti SC" w:eastAsia="Songti SC" w:cs="Songti SC"/>
            <w:color w:val="0563C1"/>
            <w:u w:val="single"/>
            <w:sz w:val="14"/>
          </w:rPr>
          <w:t>Q2 Form 10-Q基线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>. 旧预测来自2026年8月5日独立Q2后更新；新预测日期为2026年10月21日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FY2027方面，我们将收入上调至1,420亿美元、调整后EBITDA上调至720亿美元。收入预测假设Q1接近指引中点，随后SI和连接业务继续增长，但初始产能爬坡后环比增速正常化。我们预测营业利润310亿美元、净利润270亿美元，低于管理层最激进的ARR情景，且不计任何特斯拉合并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FY2027资本开支预测上调至1,500亿美元，因为新增10GW算力、更高星舰发射频率、V3部署和移动频谱整合需要持续支出。因此，模型同时呈现强劲会计盈利和负自由现金流。最大敏感性包括SI利用率、云服务实际定价、电力可用性、折旧年限、股权激励及客户预付款时点。</w:t>
      </w:r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10 - 旧预测与Q3后预测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49104"/>
            <wp:docPr id="10" name="Picture 10" descr="横向柱状图，对比FY2026和FY2027收入、调整后EBITDA及资本开支的Q2后与Q3后预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10_estimate_revis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7">
        <w:r>
          <w:rPr>
            <w:rFonts w:ascii="Songti SC" w:hAnsi="Songti SC" w:eastAsia="Songti SC" w:cs="Songti SC"/>
            <w:color w:val="0563C1"/>
            <w:u w:val="single"/>
            <w:sz w:val="14"/>
          </w:rPr>
          <w:t>2026年8月5日独立Q2后预测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2026年10月20日Q3业绩及指引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22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Q3业绩电话会文字稿</w:t>
        </w:r>
      </w:hyperlink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9 估值支持更高目标价 但无法支持窄区间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我们将12个月目标价由$150上调至$210，并维持跑赢大盘。按当前摊薄股本，目标价对应约2.62万亿美元股权价值。相对10月20日常规收盘价$147.79，上涨空间42%；相对盘后$159.71，上涨空间31%。市场已计入大量长期期权，因此评级依赖产能持续转化，而非单纯估值扩张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SOTP中，连接业务估值约6,500亿美元，反映其经常性收入、ARPU改善、45%营业利润率及移动业务期权。太空业务估值2,500亿美元，包括发射领先和明确的星舰期权价值。SI估值1.67万亿美元，依据630亿美元积压订单、2027Q1收入指引、Q3营业利润转正及算力快速扩张的可能性。加上约510亿美元净现金及少量公司层面调整，得到2.62万亿美元股权价值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基准目标价相当于约18.5倍FY2027收入和36倍FY2027调整后EBITDA。对成熟基础设施而言倍数极高，但因模型假设盈利大幅跃升，低于当前基于FY2026盈利的估值。我们不以近期市盈率为主要工具：线下项目波动、并购股权激励和快速增长的股本使其不稳定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$110熊市情景假设SI利用率较低、云服务定价下降、电力和星舰里程碑延误，且不计特斯拉合并战略溢价。$320牛市情景假设Q1指引被超越、2027算力接近管理层产能雄心高端、连接业务维持当前利润率、星舰实现快速复用。$210基准情景不计合并价值，因为特别委员会尚未就条款达成一致，股东批准也不确定。</w:t>
      </w:r>
    </w:p>
    <w:p>
      <w:pPr>
        <w:keepNext/>
        <w:spacing w:before="60" w:after="40" w:line="250" w:lineRule="auto"/>
        <w:jc w:val="center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>图 11 - 十二个月估值情景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2628848"/>
            <wp:docPr id="11" name="Picture 11" descr="柱状图展示每股熊市、基准和牛市估值情景，并标记10月20日收盘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q3_chart11_valuation_scenari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2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4"/>
          </w:rPr>
          <w:t>2026年10月21日独立分析师SOTP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22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Q3业绩电话会文字稿，2026年10月20日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29">
        <w:r>
          <w:rPr>
            <w:rFonts w:ascii="Songti SC" w:hAnsi="Songti SC" w:eastAsia="Songti SC" w:cs="Songti SC"/>
            <w:color w:val="0563C1"/>
            <w:u w:val="single"/>
            <w:sz w:val="14"/>
          </w:rPr>
          <w:t>Longbridge收盘价与市值，2026年10月21日获取</w:t>
        </w:r>
      </w:hyperlink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10 更新后的投资逻辑催化剂与风险</w:t>
      </w:r>
    </w:p>
    <w:p>
      <w:pPr>
        <w:numPr>
          <w:ilvl w:val="0"/>
          <w:numId w:val="10"/>
        </w:numPr>
        <w:spacing w:after="80" w:line="247" w:lineRule="auto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 xml:space="preserve">投资逻辑支柱1 连接业务规模化增强。 </w:t>
      </w:r>
      <w:r>
        <w:rPr>
          <w:rFonts w:ascii="Songti SC" w:hAnsi="Songti SC" w:eastAsia="Songti SC" w:cs="Songti SC"/>
          <w:b w:val="0"/>
          <w:i w:val="0"/>
          <w:sz w:val="17"/>
        </w:rPr>
        <w:t>用户增长、ARPU环比改善及营业利润增长99%确认星链是高质量经常性盈利引擎。企业、航空、政府、移动通信及V3容量把机会扩展至消费者宽带之外。</w:t>
      </w:r>
    </w:p>
    <w:p>
      <w:pPr>
        <w:numPr>
          <w:ilvl w:val="0"/>
          <w:numId w:val="10"/>
        </w:numPr>
        <w:spacing w:after="80" w:line="247" w:lineRule="auto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 xml:space="preserve">投资逻辑支柱2 垂直整合增强。 </w:t>
      </w:r>
      <w:r>
        <w:rPr>
          <w:rFonts w:ascii="Songti SC" w:hAnsi="Songti SC" w:eastAsia="Songti SC" w:cs="Songti SC"/>
          <w:b w:val="0"/>
          <w:i w:val="0"/>
          <w:sz w:val="17"/>
        </w:rPr>
        <w:t>Flight 14把星舰经济性直接连接至V3部署；Cursor收购后，SI同时覆盖算力、模型和应用。发射、连接与算力正更多共享同一工程与资本基础。</w:t>
      </w:r>
    </w:p>
    <w:p>
      <w:pPr>
        <w:numPr>
          <w:ilvl w:val="0"/>
          <w:numId w:val="10"/>
        </w:numPr>
        <w:spacing w:after="80" w:line="247" w:lineRule="auto"/>
      </w:pPr>
      <w:r>
        <w:rPr>
          <w:rFonts w:ascii="Heiti SC" w:hAnsi="Heiti SC" w:eastAsia="Heiti SC" w:cs="Heiti SC"/>
          <w:b/>
          <w:i w:val="0"/>
          <w:color w:val="000000"/>
          <w:sz w:val="17"/>
        </w:rPr>
        <w:t xml:space="preserve">投资逻辑支柱3 自我融资复利仍弱化。 </w:t>
      </w:r>
      <w:r>
        <w:rPr>
          <w:rFonts w:ascii="Songti SC" w:hAnsi="Songti SC" w:eastAsia="Songti SC" w:cs="Songti SC"/>
          <w:b w:val="0"/>
          <w:i w:val="0"/>
          <w:sz w:val="17"/>
        </w:rPr>
        <w:t>尽管GAAP营业利润转正，九个月自由现金流仍约负350亿美元，Q4资本开支指引为350-400亿美元。公司仍依赖IPO现金、债务市场、供应商及客户融资以及股权激励。</w:t>
      </w:r>
    </w:p>
    <w:p>
      <w:pPr>
        <w:pStyle w:val="Heading2"/>
      </w:pPr>
      <w:r>
        <w:rPr>
          <w:rFonts w:ascii="Heiti SC" w:hAnsi="Heiti SC" w:eastAsia="Heiti SC" w:cs="Heiti SC"/>
          <w:b/>
          <w:i w:val="0"/>
          <w:color w:val="000000"/>
          <w:sz w:val="23"/>
        </w:rPr>
        <w:t>催化剂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未来十二个月催化剂包括星舰Flight 15和两级回收尝试、向周度星舰发射推进、V3服务改善、800MHz频谱交易、Q4年末ARR验证、2027Q1收入兑现、Cursor企业采用，以及Terafab测试芯片更新。每项都可能显著改变收入曲线或资本成本。</w:t>
      </w:r>
    </w:p>
    <w:p>
      <w:pPr>
        <w:pStyle w:val="Heading2"/>
      </w:pPr>
      <w:r>
        <w:rPr>
          <w:rFonts w:ascii="Heiti SC" w:hAnsi="Heiti SC" w:eastAsia="Heiti SC" w:cs="Heiti SC"/>
          <w:b/>
          <w:i w:val="0"/>
          <w:color w:val="000000"/>
          <w:sz w:val="23"/>
        </w:rPr>
        <w:t>主要风险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主要风险包括SI客户集中和合同期限、云服务定价、GPU与电力可用性、折旧与淘汰、发射失败或许可延误、频谱审批、星链竞争、政府合同节奏、并购整合、股权激励、双重股权治理、关键人物依赖及进一步融资需求。潜在特斯拉交易在协同兑现前还会增加利益冲突、估值、批准、摊薄和执行风险。</w:t>
      </w:r>
    </w:p>
    <w:p>
      <w:pPr>
        <w:pStyle w:val="Heading2"/>
      </w:pPr>
      <w:r>
        <w:rPr>
          <w:rFonts w:ascii="Heiti SC" w:hAnsi="Heiti SC" w:eastAsia="Heiti SC" w:cs="Heiti SC"/>
          <w:b/>
          <w:i w:val="0"/>
          <w:color w:val="000000"/>
          <w:sz w:val="23"/>
        </w:rPr>
        <w:t>电话会要点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8"/>
        </w:rPr>
        <w:t>管理层对需求语气高度自信，对产能目标极具技术雄心。公司把2027新增10GW算力描述为高度可能，把20GW描述为可能但困难；内部与外部算力分配大致目标为50/50，但可动态调整。关于与特斯拉合并，马斯克确认双方成立独立特别委员会，但强调尚未谈妥条款，交易并不确定。我们的预测不计合并影响。</w:t>
      </w:r>
    </w:p>
    <w:p>
      <w:pPr>
        <w:spacing w:before="40" w:after="80"/>
      </w:pPr>
      <w:r>
        <w:rPr>
          <w:rFonts w:ascii="Songti SC" w:hAnsi="Songti SC" w:eastAsia="Songti SC" w:cs="Songti SC"/>
          <w:b w:val="0"/>
          <w:i/>
          <w:color w:val="667085"/>
          <w:sz w:val="14"/>
        </w:rPr>
        <w:t>资料来源：</w:t>
      </w:r>
      <w:hyperlink r:id="rId30">
        <w:r>
          <w:rPr>
            <w:rFonts w:ascii="Songti SC" w:hAnsi="Songti SC" w:eastAsia="Songti SC" w:cs="Songti SC"/>
            <w:color w:val="0563C1"/>
            <w:u w:val="single"/>
            <w:sz w:val="14"/>
          </w:rPr>
          <w:t>官方业绩活动及回放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22">
        <w:r>
          <w:rPr>
            <w:rFonts w:ascii="Songti SC" w:hAnsi="Songti SC" w:eastAsia="Songti SC" w:cs="Songti SC"/>
            <w:color w:val="0563C1"/>
            <w:u w:val="single"/>
            <w:sz w:val="14"/>
          </w:rPr>
          <w:t>Q3业绩电话会文字稿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 xml:space="preserve">; </w:t>
      </w:r>
      <w:hyperlink r:id="rId31">
        <w:r>
          <w:rPr>
            <w:rFonts w:ascii="Songti SC" w:hAnsi="Songti SC" w:eastAsia="Songti SC" w:cs="Songti SC"/>
            <w:color w:val="0563C1"/>
            <w:u w:val="single"/>
            <w:sz w:val="14"/>
          </w:rPr>
          <w:t>美联社电话会报道</w:t>
        </w:r>
      </w:hyperlink>
      <w:r>
        <w:rPr>
          <w:rFonts w:ascii="Songti SC" w:hAnsi="Songti SC" w:eastAsia="Songti SC" w:cs="Songti SC"/>
          <w:b w:val="0"/>
          <w:i/>
          <w:color w:val="667085"/>
          <w:sz w:val="14"/>
        </w:rPr>
        <w:t>. 电话会于2026年10月20日举行；文字稿日期与业绩新闻稿一致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 w:cs="Heiti SC"/>
          <w:b/>
          <w:i w:val="0"/>
          <w:color w:val="000000"/>
          <w:sz w:val="28"/>
        </w:rPr>
        <w:t>资料来源与参考文献</w:t>
      </w:r>
    </w:p>
    <w:p>
      <w:pPr>
        <w:spacing w:before="0" w:after="80" w:line="250" w:lineRule="auto"/>
      </w:pPr>
      <w:r>
        <w:rPr>
          <w:rFonts w:ascii="Heiti SC" w:hAnsi="Heiti SC" w:eastAsia="Heiti SC" w:cs="Heiti SC"/>
          <w:b/>
          <w:i w:val="0"/>
          <w:color w:val="000000"/>
          <w:sz w:val="21"/>
        </w:rPr>
        <w:t>主要业绩材料</w:t>
      </w:r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11">
        <w:r>
          <w:rPr>
            <w:rFonts w:ascii="Songti SC" w:hAnsi="Songti SC" w:eastAsia="Songti SC" w:cs="Songti SC"/>
            <w:color w:val="0563C1"/>
            <w:u w:val="single"/>
            <w:sz w:val="17"/>
          </w:rPr>
          <w:t>SpaceX Q3 2026业绩新闻稿及未经审计财务报表，2026年10月20日</w:t>
        </w:r>
      </w:hyperlink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12">
        <w:r>
          <w:rPr>
            <w:rFonts w:ascii="Songti SC" w:hAnsi="Songti SC" w:eastAsia="Songti SC" w:cs="Songti SC"/>
            <w:color w:val="0563C1"/>
            <w:u w:val="single"/>
            <w:sz w:val="17"/>
          </w:rPr>
          <w:t>SEC Form 8-K及申报索引，2026年10月20日提交</w:t>
        </w:r>
      </w:hyperlink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30">
        <w:r>
          <w:rPr>
            <w:rFonts w:ascii="Songti SC" w:hAnsi="Songti SC" w:eastAsia="Songti SC" w:cs="Songti SC"/>
            <w:color w:val="0563C1"/>
            <w:u w:val="single"/>
            <w:sz w:val="17"/>
          </w:rPr>
          <w:t>官方Q3 2026业绩活动、网络直播、问答及业绩更新，2026年10月20日</w:t>
        </w:r>
      </w:hyperlink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22">
        <w:r>
          <w:rPr>
            <w:rFonts w:ascii="Songti SC" w:hAnsi="Songti SC" w:eastAsia="Songti SC" w:cs="Songti SC"/>
            <w:color w:val="0563C1"/>
            <w:u w:val="single"/>
            <w:sz w:val="17"/>
          </w:rPr>
          <w:t>Q3 2026业绩电话会文字稿，2026年10月20日</w:t>
        </w:r>
      </w:hyperlink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17">
        <w:r>
          <w:rPr>
            <w:rFonts w:ascii="Songti SC" w:hAnsi="Songti SC" w:eastAsia="Songti SC" w:cs="Songti SC"/>
            <w:color w:val="0563C1"/>
            <w:u w:val="single"/>
            <w:sz w:val="17"/>
          </w:rPr>
          <w:t>截至2026年6月30日季度Form 10-Q，2026年8月4日提交</w:t>
        </w:r>
      </w:hyperlink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26">
        <w:r>
          <w:rPr>
            <w:rFonts w:ascii="Songti SC" w:hAnsi="Songti SC" w:eastAsia="Songti SC" w:cs="Songti SC"/>
            <w:color w:val="0563C1"/>
            <w:u w:val="single"/>
            <w:sz w:val="17"/>
          </w:rPr>
          <w:t>官方Q2 2026业绩活动及此前展望，2026年8月4日</w:t>
        </w:r>
      </w:hyperlink>
    </w:p>
    <w:p>
      <w:pPr>
        <w:spacing w:before="120" w:after="80" w:line="250" w:lineRule="auto"/>
      </w:pPr>
      <w:r>
        <w:rPr>
          <w:rFonts w:ascii="Heiti SC" w:hAnsi="Heiti SC" w:eastAsia="Heiti SC" w:cs="Heiti SC"/>
          <w:b/>
          <w:i w:val="0"/>
          <w:color w:val="000000"/>
          <w:sz w:val="21"/>
        </w:rPr>
        <w:t>一致预期与市场背景</w:t>
      </w:r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13">
        <w:r>
          <w:rPr>
            <w:rFonts w:ascii="Songti SC" w:hAnsi="Songti SC" w:eastAsia="Songti SC" w:cs="Songti SC"/>
            <w:color w:val="0563C1"/>
            <w:u w:val="single"/>
            <w:sz w:val="17"/>
          </w:rPr>
          <w:t>TipRanks Q3前瞻及财报前一致预期，2026年10月19日</w:t>
        </w:r>
      </w:hyperlink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14">
        <w:r>
          <w:rPr>
            <w:rFonts w:ascii="Songti SC" w:hAnsi="Songti SC" w:eastAsia="Songti SC" w:cs="Songti SC"/>
            <w:color w:val="0563C1"/>
            <w:u w:val="single"/>
            <w:sz w:val="17"/>
          </w:rPr>
          <w:t>Zacks关键指标一致预期及业绩对比，2026年10月20日</w:t>
        </w:r>
      </w:hyperlink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31">
        <w:r>
          <w:rPr>
            <w:rFonts w:ascii="Songti SC" w:hAnsi="Songti SC" w:eastAsia="Songti SC" w:cs="Songti SC"/>
            <w:color w:val="0563C1"/>
            <w:u w:val="single"/>
            <w:sz w:val="17"/>
          </w:rPr>
          <w:t>美联社业绩及电话会报道，2026年10月20日</w:t>
        </w:r>
      </w:hyperlink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29">
        <w:r>
          <w:rPr>
            <w:rFonts w:ascii="Songti SC" w:hAnsi="Songti SC" w:eastAsia="Songti SC" w:cs="Songti SC"/>
            <w:color w:val="0563C1"/>
            <w:u w:val="single"/>
            <w:sz w:val="17"/>
          </w:rPr>
          <w:t>Longbridge实时行情及计算市场数据，2026年10月21日获取</w:t>
        </w:r>
      </w:hyperlink>
    </w:p>
    <w:p>
      <w:pPr>
        <w:spacing w:after="40"/>
        <w:ind w:left="317" w:hanging="259"/>
      </w:pPr>
      <w:r>
        <w:rPr>
          <w:rFonts w:ascii="Songti SC" w:hAnsi="Songti SC" w:eastAsia="Songti SC" w:cs="Songti SC"/>
          <w:b w:val="0"/>
          <w:i w:val="0"/>
          <w:sz w:val="17"/>
        </w:rPr>
        <w:t xml:space="preserve">• </w:t>
      </w:r>
      <w:hyperlink r:id="rId32">
        <w:r>
          <w:rPr>
            <w:rFonts w:ascii="Songti SC" w:hAnsi="Songti SC" w:eastAsia="Songti SC" w:cs="Songti SC"/>
            <w:color w:val="0563C1"/>
            <w:u w:val="single"/>
            <w:sz w:val="17"/>
          </w:rPr>
          <w:t>Yahoo Finance yfinance于2026年10月21日尝试查询但不可用，动态字段因此显示N/A</w:t>
        </w:r>
      </w:hyperlink>
    </w:p>
    <w:p>
      <w:pPr>
        <w:spacing w:before="120" w:after="80" w:line="250" w:lineRule="auto"/>
      </w:pPr>
      <w:r>
        <w:rPr>
          <w:rFonts w:ascii="Heiti SC" w:hAnsi="Heiti SC" w:eastAsia="Heiti SC" w:cs="Heiti SC"/>
          <w:b/>
          <w:i w:val="0"/>
          <w:color w:val="000000"/>
          <w:sz w:val="21"/>
        </w:rPr>
        <w:t>方法说明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sz w:val="17"/>
        </w:rPr>
        <w:t>超预期和不及预期计算采用截至2026年10月19日的公开财报前一致预期。自由现金流等于经营现金流减不动产、厂房和设备采购。调整后EBITDA为公司定义指标，排除折旧、股权激励、利息、税项及其他项目。预测、SOTP、评级和目标价均为独立分析师估计，并非公司指引。2026年10月21日yfinance动态查询失败，因此相关字段显示N/A；估值改用独立取得的10月20日Longbridge收盘价。截至发布日期，Q3 Form 10-Q尚未提交；Q3数据来自SEC备案的8-K及附件99.1，Q2 Form 10-Q用于详细会计和历史背景。</w:t>
      </w:r>
    </w:p>
    <w:p>
      <w:pPr>
        <w:spacing w:before="160" w:after="40" w:line="250" w:lineRule="auto"/>
      </w:pPr>
      <w:r>
        <w:rPr>
          <w:rFonts w:ascii="Heiti SC" w:hAnsi="Heiti SC" w:eastAsia="Heiti SC" w:cs="Heiti SC"/>
          <w:b/>
          <w:i w:val="0"/>
          <w:color w:val="667085"/>
          <w:sz w:val="17"/>
        </w:rPr>
        <w:t>免责声明</w:t>
      </w:r>
    </w:p>
    <w:p>
      <w:pPr>
        <w:spacing w:before="0" w:after="60" w:line="250" w:lineRule="auto"/>
      </w:pPr>
      <w:r>
        <w:rPr>
          <w:rFonts w:ascii="Songti SC" w:hAnsi="Songti SC" w:eastAsia="Songti SC" w:cs="Songti SC"/>
          <w:b w:val="0"/>
          <w:i w:val="0"/>
          <w:color w:val="667085"/>
          <w:sz w:val="15"/>
        </w:rPr>
        <w:t>本报告仅供信息参考，不构成投资建议、要约或招揽。预测与目标价为基于公开信息作出的独立估计，可能随时调整而不另行通知。投资者应自行尽调，并结合自身目标与风险承受能力作出决策。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 w:cs="Songti SC"/>
        <w:b w:val="0"/>
        <w:i w:val="0"/>
        <w:color w:val="667085"/>
        <w:sz w:val="15"/>
      </w:rPr>
      <w:t xml:space="preserve">股票研究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 w:cs="Heiti SC"/>
        <w:b/>
        <w:i w:val="0"/>
        <w:color w:val="667085"/>
        <w:sz w:val="15"/>
      </w:rPr>
      <w:t>SpaceX (SPCX) | 2026年第三季度业绩更新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■"/>
      <w:suff w:val="space"/>
      <w:pPr>
        <w:tabs>
          <w:tab w:val="num" w:pos="540"/>
        </w:tabs>
        <w:ind w:left="720" w:hanging="180"/>
      </w:pPr>
      <w:rPr>
        <w:rFonts w:ascii="Times New Roman" w:hAnsi="Times New Roman"/>
        <w:color w:val="000000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Songti SC" w:hAnsi="Songti SC" w:eastAsia="Songti SC" w:cs="Songti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 w:cs="Heiti S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c.gov/Archives/edgar/data/1181412/000162828026066482/spaceexplorationtechnologi.htm" TargetMode="External"/><Relationship Id="rId12" Type="http://schemas.openxmlformats.org/officeDocument/2006/relationships/hyperlink" Target="https://www.sec.gov/Archives/edgar/data/1181412/000162828026066482/0001628280-26-066482-index.html" TargetMode="External"/><Relationship Id="rId13" Type="http://schemas.openxmlformats.org/officeDocument/2006/relationships/hyperlink" Target="https://www.tipranks.com/news/spacex-q3-earnings-preview-options-market-signals-7-8-move-as-analysts-forecast-12-9b-revenue" TargetMode="External"/><Relationship Id="rId14" Type="http://schemas.openxmlformats.org/officeDocument/2006/relationships/hyperlink" Target="https://www.zacks.com/stock/news/3011518/spacex-spcx-q3-earnings-how-key-metrics-compare-to-wall-street-estimates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www.sec.gov/Archives/edgar/data/1181412/000162828026052535/spcx-20260630.htm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hyperlink" Target="https://www.benzinga.com/news/26/10/62484605/spacex-q3-2026-earnings-call-transcript" TargetMode="External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hyperlink" Target="https://ir.spacex.com/events/event-details/2026/Q2-2026-Earnings/default.aspx" TargetMode="External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hyperlink" Target="https://longbridge.com/quote/SPCX.US" TargetMode="External"/><Relationship Id="rId30" Type="http://schemas.openxmlformats.org/officeDocument/2006/relationships/hyperlink" Target="https://ir.spacex.com/events/event-details/2026/Q3-2026-Earnings/default.aspx" TargetMode="External"/><Relationship Id="rId31" Type="http://schemas.openxmlformats.org/officeDocument/2006/relationships/hyperlink" Target="https://apnews.com/article/spacex-musk-turns-profit-losses-67064446bf0afdf529db55bdec82af69" TargetMode="External"/><Relationship Id="rId32" Type="http://schemas.openxmlformats.org/officeDocument/2006/relationships/hyperlink" Target="https://finance.yahoo.com/quote/SPC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SPCX 2026年第三季度业绩更新报告</dc:title>
  <dc:subject>SpaceX Q3 2026 results, guidance, estimates, valuation, thesis, and risks</dc:subject>
  <dc:creator>Equity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