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黑体"/>
          <w:b/>
          <w:color w:val="003366"/>
          <w:sz w:val="32"/>
        </w:rPr>
        <w:t>太空探索技术公司 (SPCX)</w:t>
      </w:r>
    </w:p>
    <w:p>
      <w:pPr>
        <w:spacing w:after="40" w:before="0"/>
        <w:jc w:val="center"/>
      </w:pPr>
      <w:r>
        <w:rPr>
          <w:rFonts w:ascii="Times New Roman" w:hAnsi="Times New Roman" w:eastAsia="黑体"/>
          <w:b/>
          <w:sz w:val="28"/>
        </w:rPr>
        <w:t>2026年第一季度 IPO后首份业绩更新报告</w:t>
      </w:r>
    </w:p>
    <w:p>
      <w:pPr>
        <w:spacing w:after="200" w:before="0"/>
        <w:jc w:val="center"/>
      </w:pPr>
      <w:r>
        <w:rPr>
          <w:rFonts w:ascii="Times New Roman" w:hAnsi="Times New Roman" w:eastAsia="黑体"/>
          <w:b/>
          <w:color w:val="003366"/>
          <w:sz w:val="24"/>
        </w:rPr>
        <w:t>星链贡献12亿美元利润，但xAI亏损推动净亏损43亿美元</w:t>
      </w:r>
    </w:p>
    <w:p>
      <w:pPr>
        <w:spacing w:after="40" w:before="0"/>
      </w:pPr>
      <w:r>
        <w:rPr>
          <w:rFonts w:ascii="Times New Roman" w:hAnsi="Times New Roman" w:eastAsia="宋体"/>
          <w:sz w:val="20"/>
        </w:rPr>
        <w:t>日期：2026年6月14日</w:t>
      </w:r>
    </w:p>
    <w:p>
      <w:pPr>
        <w:spacing w:after="40" w:before="0"/>
      </w:pPr>
      <w:r>
        <w:rPr>
          <w:rFonts w:ascii="Times New Roman" w:hAnsi="Times New Roman" w:eastAsia="宋体"/>
          <w:sz w:val="20"/>
        </w:rPr>
        <w:t>评级：首次覆盖，给予 中性 (MARKET PERFORM)</w:t>
      </w:r>
    </w:p>
    <w:p>
      <w:pPr>
        <w:spacing w:after="40" w:before="0"/>
      </w:pPr>
      <w:r>
        <w:rPr>
          <w:rFonts w:ascii="Times New Roman" w:hAnsi="Times New Roman" w:eastAsia="宋体"/>
          <w:sz w:val="20"/>
        </w:rPr>
        <w:t>股价（截至2026年6月13日）：$160.95</w:t>
      </w:r>
    </w:p>
    <w:p>
      <w:pPr>
        <w:spacing w:after="40" w:before="0"/>
      </w:pPr>
      <w:r>
        <w:rPr>
          <w:rFonts w:ascii="Times New Roman" w:hAnsi="Times New Roman" w:eastAsia="宋体"/>
          <w:sz w:val="20"/>
        </w:rPr>
        <w:t>目标价：$150 — 12个月</w:t>
      </w:r>
    </w:p>
    <w:p>
      <w:pPr>
        <w:spacing w:after="40" w:before="0"/>
      </w:pPr>
      <w:r>
        <w:rPr>
          <w:rFonts w:ascii="Times New Roman" w:hAnsi="Times New Roman" w:eastAsia="宋体"/>
          <w:sz w:val="20"/>
        </w:rPr>
        <w:t>市值：$2.11T  |  IPO发行价：$135  |  首日收盘价：~$161 (+19%)</w:t>
      </w:r>
    </w:p>
    <w:p>
      <w:pPr>
        <w:spacing w:after="80" w:before="0"/>
      </w:pPr>
      <w:r>
        <w:rPr>
          <w:rFonts w:ascii="Times New Roman" w:hAnsi="Times New Roman" w:eastAsia="宋体"/>
          <w:sz w:val="22"/>
        </w:rPr>
      </w:r>
    </w:p>
    <w:p>
      <w:pPr>
        <w:spacing w:after="80" w:before="120"/>
      </w:pPr>
      <w:r>
        <w:rPr>
          <w:rFonts w:ascii="Times New Roman" w:hAnsi="Times New Roman" w:eastAsia="黑体"/>
          <w:b/>
          <w:color w:val="003366"/>
          <w:sz w:val="24"/>
        </w:rPr>
        <w:t>2026年第一季度财务摘要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3366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351"/>
            <w:shd w:fill="003366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Q1 2026</w:t>
            </w:r>
          </w:p>
        </w:tc>
        <w:tc>
          <w:tcPr>
            <w:tcW w:type="dxa" w:w="2351"/>
            <w:shd w:fill="003366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Q1 2025</w:t>
            </w:r>
          </w:p>
        </w:tc>
        <w:tc>
          <w:tcPr>
            <w:tcW w:type="dxa" w:w="2351"/>
            <w:shd w:fill="003366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同比变化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收入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$46.9亿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$40.7亿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+15.4%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调整后EBITDA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$11.3亿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N/A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营业利润/（亏损）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$(19.4)亿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$0.3亿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NM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净利润/（亏损）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$(42.8)亿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$(5.3)亿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NM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基本每股亏损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$(1.27)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$(0.18)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NM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自由现金流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$(91)亿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N/A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i/>
          <w:color w:val="757575"/>
          <w:sz w:val="16"/>
        </w:rPr>
        <w:t>资料来源：SpaceX S-1招股说明书（2026年5月20日提交）；修正案第1号（2026年6月1日）。</w:t>
      </w:r>
    </w:p>
    <w:p>
      <w:pPr>
        <w:spacing w:after="40" w:before="0"/>
      </w:pPr>
      <w:r>
        <w:rPr>
          <w:rFonts w:ascii="Times New Roman" w:hAnsi="Times New Roman" w:eastAsia="宋体"/>
          <w:sz w:val="22"/>
        </w:rPr>
      </w:r>
    </w:p>
    <w:p>
      <w:pPr>
        <w:spacing w:after="160"/>
      </w:pPr>
      <w:r>
        <w:rPr>
          <w:rFonts w:ascii="Times New Roman" w:hAnsi="Times New Roman" w:eastAsia="黑体"/>
          <w:b/>
          <w:sz w:val="21"/>
        </w:rPr>
        <w:t xml:space="preserve">■ </w:t>
      </w:r>
      <w:r>
        <w:rPr>
          <w:rFonts w:ascii="Times New Roman" w:hAnsi="Times New Roman" w:eastAsia="黑体"/>
          <w:b/>
          <w:sz w:val="21"/>
        </w:rPr>
        <w:t>星链是皇冠明珠——Q1贡献33亿美元收入和12亿美元营业利润，用户达1,030万</w:t>
      </w:r>
      <w:r>
        <w:br/>
      </w:r>
      <w:r>
        <w:rPr>
          <w:rFonts w:ascii="Times New Roman" w:hAnsi="Times New Roman" w:eastAsia="宋体"/>
          <w:sz w:val="21"/>
        </w:rPr>
        <w:t>连接业务板块Q1收入32.6亿美元（占总收入69%），营业利润11.9亿美元，调整后EBITDA 20.9亿美元（利润率64%）。星链用户达到1,030万，覆盖164个市场，较2025年末的890万增长16%。该板块的盈利能力实质上在补贴公司其余业务。但值得关注的是，ARPU已从2023年的$99/月降至$66/月，这反映了星链向低收入市场扩张和竞争定价压力。</w:t>
      </w:r>
    </w:p>
    <w:p>
      <w:pPr>
        <w:spacing w:after="160"/>
      </w:pPr>
      <w:r>
        <w:rPr>
          <w:rFonts w:ascii="Times New Roman" w:hAnsi="Times New Roman" w:eastAsia="黑体"/>
          <w:b/>
          <w:sz w:val="21"/>
        </w:rPr>
        <w:t xml:space="preserve">■ </w:t>
      </w:r>
      <w:r>
        <w:rPr>
          <w:rFonts w:ascii="Times New Roman" w:hAnsi="Times New Roman" w:eastAsia="黑体"/>
          <w:b/>
          <w:sz w:val="21"/>
        </w:rPr>
        <w:t>xAI亏损加速：仅Q1即产生25亿美元营业亏损，AI基础设施资本开支达77亿美元</w:t>
      </w:r>
      <w:r>
        <w:br/>
      </w:r>
      <w:r>
        <w:rPr>
          <w:rFonts w:ascii="Times New Roman" w:hAnsi="Times New Roman" w:eastAsia="宋体"/>
          <w:sz w:val="21"/>
        </w:rPr>
        <w:t>AI板块（xAI、Grok、X平台）贡献约8.15亿美元收入，但产生约25亿美元营业亏损——年化超100亿美元。Q1 AI资本开支77亿美元（占总资本开支101亿美元的76%），反映了Colossus数据中心（22万片NVIDIA GPU、300MW功率）的建设。虽然与Anthropic签订的约450亿美元计算合同提供了收入可见性，但现金消耗速度惊人，该板块盈利路径仍高度不确定。</w:t>
      </w:r>
    </w:p>
    <w:p>
      <w:pPr>
        <w:spacing w:after="160"/>
      </w:pPr>
      <w:r>
        <w:rPr>
          <w:rFonts w:ascii="Times New Roman" w:hAnsi="Times New Roman" w:eastAsia="黑体"/>
          <w:b/>
          <w:sz w:val="21"/>
        </w:rPr>
        <w:t xml:space="preserve">■ </w:t>
      </w:r>
      <w:r>
        <w:rPr>
          <w:rFonts w:ascii="Times New Roman" w:hAnsi="Times New Roman" w:eastAsia="黑体"/>
          <w:b/>
          <w:sz w:val="21"/>
        </w:rPr>
        <w:t>太空板块收入同比下降28%至6.19亿美元，受星舰研发周期拖累</w:t>
      </w:r>
      <w:r>
        <w:br/>
      </w:r>
      <w:r>
        <w:rPr>
          <w:rFonts w:ascii="Times New Roman" w:hAnsi="Times New Roman" w:eastAsia="宋体"/>
          <w:sz w:val="21"/>
        </w:rPr>
        <w:t>猎鹰9号仍是主力运载火箭，但太空板块收入降至6.19亿美元，因公司仅在FY2025就投入30亿美元用于星舰开发。太空板块Q1营业亏损约6亿美元（年化）。虽然星舰最终商业化可能具有变革性意义，但短期内太空经济对整体盈利构成稀释。</w:t>
      </w:r>
    </w:p>
    <w:p>
      <w:pPr>
        <w:spacing w:after="160"/>
      </w:pPr>
      <w:r>
        <w:rPr>
          <w:rFonts w:ascii="Times New Roman" w:hAnsi="Times New Roman" w:eastAsia="黑体"/>
          <w:b/>
          <w:sz w:val="21"/>
        </w:rPr>
        <w:t xml:space="preserve">■ </w:t>
      </w:r>
      <w:r>
        <w:rPr>
          <w:rFonts w:ascii="Times New Roman" w:hAnsi="Times New Roman" w:eastAsia="黑体"/>
          <w:b/>
          <w:sz w:val="21"/>
        </w:rPr>
        <w:t>首次覆盖给予中性评级，目标价$150——卓越的业务，但估值同样非凡</w:t>
      </w:r>
      <w:r>
        <w:br/>
      </w:r>
      <w:r>
        <w:rPr>
          <w:rFonts w:ascii="Times New Roman" w:hAnsi="Times New Roman" w:eastAsia="宋体"/>
          <w:sz w:val="21"/>
        </w:rPr>
        <w:t>以约2.1万亿美元市值计算（94倍2025年收入），SpaceX估值远高于任何可比公司。星链的增长和盈利能力确实出色，但xAI亏损在加速，合计自由现金流严重为负（Q1为-91亿美元）。目标价$150隐含当前水平约7%下行空间，反映我们认为IPO后的热情已过度反映乐观情景，且近期盈利可见性受xAI投资周期限制。</w:t>
      </w:r>
    </w:p>
    <w:p>
      <w:pPr>
        <w:spacing w:after="80" w:before="200"/>
      </w:pPr>
      <w:r>
        <w:rPr>
          <w:rFonts w:ascii="Times New Roman" w:hAnsi="Times New Roman" w:eastAsia="黑体"/>
          <w:b/>
          <w:color w:val="003366"/>
          <w:sz w:val="22"/>
        </w:rPr>
        <w:t>财务预测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3366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351"/>
            <w:shd w:fill="003366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FY2025A</w:t>
            </w:r>
          </w:p>
        </w:tc>
        <w:tc>
          <w:tcPr>
            <w:tcW w:type="dxa" w:w="2351"/>
            <w:shd w:fill="003366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FY2026E</w:t>
            </w:r>
          </w:p>
        </w:tc>
        <w:tc>
          <w:tcPr>
            <w:tcW w:type="dxa" w:w="2351"/>
            <w:shd w:fill="003366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FY2027E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收入 ($B)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$18.7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$22.0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$28.0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收入增长率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+33%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+18%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+27%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调整后EBITDA ($B)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$6.6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$5.5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$9.0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调整后EBITDA利润率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35.2%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25.0%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32.1%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营业利润/（亏损）($B)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$(2.6)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$(6.0)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$(3.0)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净利润/（亏损）($B)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$(4.9)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$(10.0)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$(5.0)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资本开支 ($B)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$20.7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$35.0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$30.0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i/>
          <w:color w:val="757575"/>
          <w:sz w:val="16"/>
        </w:rPr>
        <w:t>注："A"=实际值，"E"=预测值。资料来源：S-1（实际值）、分析师预测（前瞻值）。</w:t>
      </w:r>
    </w:p>
    <w:p>
      <w:r>
        <w:br w:type="page"/>
      </w:r>
    </w:p>
    <w:p>
      <w:pPr>
        <w:spacing w:after="160" w:before="0"/>
      </w:pPr>
      <w:r>
        <w:rPr>
          <w:rFonts w:ascii="Times New Roman" w:hAnsi="Times New Roman" w:eastAsia="黑体"/>
          <w:b/>
          <w:color w:val="003366"/>
          <w:sz w:val="28"/>
        </w:rPr>
        <w:t>详细业绩分析</w:t>
      </w:r>
    </w:p>
    <w:p>
      <w:pPr>
        <w:spacing w:after="120" w:before="0"/>
      </w:pPr>
      <w:r>
        <w:rPr>
          <w:rFonts w:ascii="Times New Roman" w:hAnsi="Times New Roman" w:eastAsia="黑体"/>
          <w:b/>
          <w:sz w:val="24"/>
        </w:rPr>
        <w:t>收入分析</w:t>
      </w:r>
    </w:p>
    <w:p>
      <w:pPr>
        <w:spacing w:after="120" w:before="0"/>
      </w:pPr>
      <w:r>
        <w:rPr>
          <w:rFonts w:ascii="Times New Roman" w:hAnsi="Times New Roman" w:eastAsia="宋体"/>
          <w:sz w:val="21"/>
        </w:rPr>
        <w:t>SpaceX报告2026年第一季度合并收入46.94亿美元，同比增长15.4%（Q1 2025约40.67亿美元）。营收增速放缓（对比FY2025全年33%增长）反映太空板块收入下降28%，被星链的持续强劲势头部分抵消。收入结构继续向连接业务倾斜，目前占总收入的69%，较一年前的约63%进一步上升。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3366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板块</w:t>
            </w:r>
          </w:p>
        </w:tc>
        <w:tc>
          <w:tcPr>
            <w:tcW w:type="dxa" w:w="1881"/>
            <w:shd w:fill="003366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Q1 2026</w:t>
            </w:r>
          </w:p>
        </w:tc>
        <w:tc>
          <w:tcPr>
            <w:tcW w:type="dxa" w:w="1881"/>
            <w:shd w:fill="003366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Q1 2025E</w:t>
            </w:r>
          </w:p>
        </w:tc>
        <w:tc>
          <w:tcPr>
            <w:tcW w:type="dxa" w:w="1881"/>
            <w:shd w:fill="003366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同比变化</w:t>
            </w:r>
          </w:p>
        </w:tc>
        <w:tc>
          <w:tcPr>
            <w:tcW w:type="dxa" w:w="1881"/>
            <w:shd w:fill="003366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连接业务（星链）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$32.6亿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$25.6亿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+27%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69%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太空（发射/Dragon）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$6.19亿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$8.6亿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-28%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13%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AI（xAI / X）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$8.15亿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$6.5亿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+25%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18%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抵消/其他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总收入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$46.94亿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$40.67亿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+15.4%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100%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i/>
          <w:color w:val="757575"/>
          <w:sz w:val="16"/>
        </w:rPr>
        <w:t>资料来源：S-1招股说明书。Q1 2025板块估计值基于披露的同比增长率推算。</w:t>
      </w:r>
    </w:p>
    <w:p>
      <w:pPr>
        <w:spacing w:after="40" w:before="160"/>
        <w:jc w:val="center"/>
      </w:pPr>
      <w:r>
        <w:rPr>
          <w:rFonts w:ascii="Times New Roman" w:hAnsi="Times New Roman" w:eastAsia="黑体"/>
          <w:b/>
          <w:sz w:val="20"/>
        </w:rPr>
        <w:t>图1 — SpaceX合并收入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61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cx_chart1_annual_reven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61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宋体"/>
          <w:i/>
          <w:color w:val="757575"/>
          <w:sz w:val="16"/>
        </w:rPr>
        <w:t>资料来源：S-1招股说明书。</w:t>
      </w:r>
    </w:p>
    <w:p>
      <w:pPr>
        <w:spacing w:after="120" w:before="200"/>
      </w:pPr>
      <w:r>
        <w:rPr>
          <w:rFonts w:ascii="Times New Roman" w:hAnsi="Times New Roman" w:eastAsia="黑体"/>
          <w:b/>
          <w:sz w:val="24"/>
        </w:rPr>
        <w:t>连接业务板块（星链）</w:t>
      </w:r>
    </w:p>
    <w:p>
      <w:pPr>
        <w:spacing w:after="120" w:before="0"/>
      </w:pPr>
      <w:r>
        <w:rPr>
          <w:rFonts w:ascii="Times New Roman" w:hAnsi="Times New Roman" w:eastAsia="宋体"/>
          <w:sz w:val="21"/>
        </w:rPr>
        <w:t>星链Q1收入32.6亿美元，营业利润11.9亿美元（利润率36%），调整后EBITDA 20.9亿美元（利润率64%）。截至2026年3月31日，用户基础达到1,030万，较2025年末的890万增长16%。星链在164个市场运营，控制着轨道上约75%的可机动卫星。</w:t>
        <w:br/>
        <w:br/>
        <w:t>核心关注点是ARPU下行：月度ARPU从2023年的$99降至Q1 2026的$66（约2.5年下降33%）。这反映了向新兴市场的地理扩张（当地定价较低）、来自Amazon Kuiper和OneWeb的竞争，以及企业/政府客户组合变化。虽然用户增长目前足以弥补，但随着高ARPU发达市场宽带市场趋于饱和，这一趋势值得持续关注。</w:t>
      </w:r>
    </w:p>
    <w:p>
      <w:pPr>
        <w:spacing w:after="120" w:before="120"/>
      </w:pPr>
      <w:r>
        <w:rPr>
          <w:rFonts w:ascii="Times New Roman" w:hAnsi="Times New Roman" w:eastAsia="黑体"/>
          <w:b/>
          <w:sz w:val="24"/>
        </w:rPr>
        <w:t>太空板块</w:t>
      </w:r>
    </w:p>
    <w:p>
      <w:pPr>
        <w:spacing w:after="120" w:before="0"/>
      </w:pPr>
      <w:r>
        <w:rPr>
          <w:rFonts w:ascii="Times New Roman" w:hAnsi="Times New Roman" w:eastAsia="宋体"/>
          <w:sz w:val="21"/>
        </w:rPr>
        <w:t>太空板块收入同比下降28%至6.19亿美元。公司在FY2025投入30亿美元用于星舰研发，太空板块全年营业亏损6.57亿美元。猎鹰9号本身仍然盈利——2025年发射约100次，可靠性很高——但星舰开发计划对板块经济构成显著拖累。政府合同在FY2025贡献了约59亿美元的公司总收入（约32%），提供了相对稳定的收入基础。</w:t>
      </w:r>
    </w:p>
    <w:p>
      <w:pPr>
        <w:spacing w:after="120" w:before="120"/>
      </w:pPr>
      <w:r>
        <w:rPr>
          <w:rFonts w:ascii="Times New Roman" w:hAnsi="Times New Roman" w:eastAsia="黑体"/>
          <w:b/>
          <w:sz w:val="24"/>
        </w:rPr>
        <w:t>AI板块（xAI / X）</w:t>
      </w:r>
    </w:p>
    <w:p>
      <w:pPr>
        <w:spacing w:after="120" w:before="0"/>
      </w:pPr>
      <w:r>
        <w:rPr>
          <w:rFonts w:ascii="Times New Roman" w:hAnsi="Times New Roman" w:eastAsia="宋体"/>
          <w:sz w:val="21"/>
        </w:rPr>
        <w:t>AI板块（2026年2月xAI合并后纳入合并报表）Q1收入约8.15亿美元，但营业亏损约25亿美元。FY2025 AI亏损总计64亿美元（收入32亿美元）。该板块的支撑来自与Anthropic签订的每月12.5亿美元计算合同（至2029年5月，终身价值约450亿美元），提供了显著的收入可见性。Colossus数据中心（22万片NVIDIA GPU）代表了公司成为主要AI基础设施提供商的押注。AI资本开支在FY2025消耗127亿美元、Q1 2026消耗77亿美元（占总资本开支的76%），反映了该板块的非凡资本密集度。</w:t>
      </w:r>
    </w:p>
    <w:p>
      <w:r>
        <w:br w:type="page"/>
      </w:r>
    </w:p>
    <w:p>
      <w:pPr>
        <w:spacing w:after="40" w:before="80"/>
        <w:jc w:val="center"/>
      </w:pPr>
      <w:r>
        <w:rPr>
          <w:rFonts w:ascii="Times New Roman" w:hAnsi="Times New Roman" w:eastAsia="黑体"/>
          <w:b/>
          <w:sz w:val="20"/>
        </w:rPr>
        <w:t>图2 — 板块收入对比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251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cx_chart2_segment_reven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25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宋体"/>
          <w:i/>
          <w:color w:val="757575"/>
          <w:sz w:val="16"/>
        </w:rPr>
        <w:t>资料来源：S-1招股说明书。</w:t>
      </w:r>
    </w:p>
    <w:p>
      <w:pPr>
        <w:spacing w:after="40" w:before="160"/>
        <w:jc w:val="center"/>
      </w:pPr>
      <w:r>
        <w:rPr>
          <w:rFonts w:ascii="Times New Roman" w:hAnsi="Times New Roman" w:eastAsia="黑体"/>
          <w:b/>
          <w:sz w:val="20"/>
        </w:rPr>
        <w:t>图3 — 板块盈利能力（年化）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713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cx_chart3_segment_profitabi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71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宋体"/>
          <w:i/>
          <w:color w:val="757575"/>
          <w:sz w:val="16"/>
        </w:rPr>
        <w:t>资料来源：S-1招股说明书；分析师计算。</w:t>
      </w:r>
    </w:p>
    <w:p>
      <w:r>
        <w:br w:type="page"/>
      </w:r>
    </w:p>
    <w:p>
      <w:pPr>
        <w:spacing w:after="160" w:before="0"/>
      </w:pPr>
      <w:r>
        <w:rPr>
          <w:rFonts w:ascii="Times New Roman" w:hAnsi="Times New Roman" w:eastAsia="黑体"/>
          <w:b/>
          <w:color w:val="003366"/>
          <w:sz w:val="28"/>
        </w:rPr>
        <w:t>关键指标与星链分析</w:t>
      </w:r>
    </w:p>
    <w:p>
      <w:pPr>
        <w:spacing w:after="120" w:before="0"/>
      </w:pPr>
      <w:r>
        <w:rPr>
          <w:rFonts w:ascii="Times New Roman" w:hAnsi="Times New Roman" w:eastAsia="黑体"/>
          <w:b/>
          <w:sz w:val="24"/>
        </w:rPr>
        <w:t>星链运营指标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3366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881"/>
            <w:shd w:fill="003366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2023年末</w:t>
            </w:r>
          </w:p>
        </w:tc>
        <w:tc>
          <w:tcPr>
            <w:tcW w:type="dxa" w:w="1881"/>
            <w:shd w:fill="003366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2024年末</w:t>
            </w:r>
          </w:p>
        </w:tc>
        <w:tc>
          <w:tcPr>
            <w:tcW w:type="dxa" w:w="1881"/>
            <w:shd w:fill="003366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2025年末</w:t>
            </w:r>
          </w:p>
        </w:tc>
        <w:tc>
          <w:tcPr>
            <w:tcW w:type="dxa" w:w="1881"/>
            <w:shd w:fill="003366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Q1 2026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用户数（百万）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2.3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4.4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8.9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10.3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用户同比增长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+91%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+102%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+49%*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月度ARPU ($)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$99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$85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$76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$66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ARPU同比变化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-14%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-11%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-13%*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覆盖市场数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~60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~100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~150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164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i/>
          <w:color w:val="757575"/>
          <w:sz w:val="16"/>
        </w:rPr>
        <w:t>*Q1 2026增长率为对比Q1 2025估计值。资料来源：S-1招股说明书。</w:t>
      </w:r>
    </w:p>
    <w:p>
      <w:pPr>
        <w:spacing w:after="40" w:before="160"/>
        <w:jc w:val="center"/>
      </w:pPr>
      <w:r>
        <w:rPr>
          <w:rFonts w:ascii="Times New Roman" w:hAnsi="Times New Roman" w:eastAsia="黑体"/>
          <w:b/>
          <w:sz w:val="20"/>
        </w:rPr>
        <w:t>图4 — 星链用户增长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689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cx_chart4_starlink_sub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68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宋体"/>
          <w:i/>
          <w:color w:val="757575"/>
          <w:sz w:val="16"/>
        </w:rPr>
        <w:t>资料来源：S-1招股说明书。</w:t>
      </w:r>
    </w:p>
    <w:p>
      <w:pPr>
        <w:spacing w:after="40" w:before="160"/>
        <w:jc w:val="center"/>
      </w:pPr>
      <w:r>
        <w:rPr>
          <w:rFonts w:ascii="Times New Roman" w:hAnsi="Times New Roman" w:eastAsia="黑体"/>
          <w:b/>
          <w:sz w:val="20"/>
        </w:rPr>
        <w:t>图5 — 星链ARPU趋势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09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cx_chart5_starlink_arp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0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宋体"/>
          <w:i/>
          <w:color w:val="757575"/>
          <w:sz w:val="16"/>
        </w:rPr>
        <w:t>资料来源：S-1招股说明书。</w:t>
      </w:r>
    </w:p>
    <w:p>
      <w:pPr>
        <w:spacing w:after="40" w:before="160"/>
        <w:jc w:val="center"/>
      </w:pPr>
      <w:r>
        <w:rPr>
          <w:rFonts w:ascii="Times New Roman" w:hAnsi="Times New Roman" w:eastAsia="黑体"/>
          <w:b/>
          <w:sz w:val="20"/>
        </w:rPr>
        <w:t>图6 — FY2025收入结构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3014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cx_chart6_revenue_m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301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宋体"/>
          <w:i/>
          <w:color w:val="757575"/>
          <w:sz w:val="16"/>
        </w:rPr>
        <w:t>资料来源：S-1招股说明书。</w:t>
      </w:r>
    </w:p>
    <w:p>
      <w:r>
        <w:br w:type="page"/>
      </w:r>
    </w:p>
    <w:p>
      <w:pPr>
        <w:spacing w:after="160" w:before="0"/>
      </w:pPr>
      <w:r>
        <w:rPr>
          <w:rFonts w:ascii="Times New Roman" w:hAnsi="Times New Roman" w:eastAsia="黑体"/>
          <w:b/>
          <w:color w:val="003366"/>
          <w:sz w:val="28"/>
        </w:rPr>
        <w:t>资本配置与现金流</w:t>
      </w:r>
    </w:p>
    <w:p>
      <w:pPr>
        <w:spacing w:after="120" w:before="0"/>
      </w:pPr>
      <w:r>
        <w:rPr>
          <w:rFonts w:ascii="Times New Roman" w:hAnsi="Times New Roman" w:eastAsia="黑体"/>
          <w:b/>
          <w:sz w:val="24"/>
        </w:rPr>
        <w:t>资本开支分析</w:t>
      </w:r>
    </w:p>
    <w:p>
      <w:pPr>
        <w:spacing w:after="120" w:before="0"/>
      </w:pPr>
      <w:r>
        <w:rPr>
          <w:rFonts w:ascii="Times New Roman" w:hAnsi="Times New Roman" w:eastAsia="宋体"/>
          <w:sz w:val="21"/>
        </w:rPr>
        <w:t>SpaceX在FY2025部署了207亿美元资本开支，超过其187亿美元的总收入。Q1 2026资本开支达101亿美元——年化约400亿美元——主要由AI基础设施支出驱动。AI板块消耗了FY2025资本开支的61%（127亿美元）和Q1 2026的76%（77亿美元），用于Colossus数据中心建设。连接业务资本开支42亿美元用于卫星发射和地面基础设施，太空资本开支38亿美元主要用于星舰开发。</w:t>
        <w:br/>
        <w:br/>
        <w:t>由此产生的自由现金流严重为负：仅Q1 2026就达-91亿美元。IPO后，SpaceX的现金头寸将因约750亿美元IPO募资而大幅增强，按当前消耗速率可提供约两年的资金跑道。但在不进行额外融资或显著减少AI支出的情况下维持这一投资水平将面临挑战。</w:t>
      </w:r>
    </w:p>
    <w:p>
      <w:pPr>
        <w:spacing w:after="40" w:before="160"/>
        <w:jc w:val="center"/>
      </w:pPr>
      <w:r>
        <w:rPr>
          <w:rFonts w:ascii="Times New Roman" w:hAnsi="Times New Roman" w:eastAsia="黑体"/>
          <w:b/>
          <w:sz w:val="20"/>
        </w:rPr>
        <w:t>图7 — FY2025各板块资本开支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4433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cx_chart7_capex_breakdow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443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宋体"/>
          <w:i/>
          <w:color w:val="757575"/>
          <w:sz w:val="16"/>
        </w:rPr>
        <w:t>资料来源：S-1招股说明书。</w:t>
      </w:r>
    </w:p>
    <w:p>
      <w:pPr>
        <w:spacing w:after="40" w:before="160"/>
        <w:jc w:val="center"/>
      </w:pPr>
      <w:r>
        <w:rPr>
          <w:rFonts w:ascii="Times New Roman" w:hAnsi="Times New Roman" w:eastAsia="黑体"/>
          <w:b/>
          <w:sz w:val="20"/>
        </w:rPr>
        <w:t>图8 — Q1 2026现金流概览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0732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cx_chart8_cash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73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宋体"/>
          <w:i/>
          <w:color w:val="757575"/>
          <w:sz w:val="16"/>
        </w:rPr>
        <w:t>资料来源：S-1招股说明书；分析师计算。</w:t>
      </w:r>
    </w:p>
    <w:p>
      <w:pPr>
        <w:spacing w:after="120" w:before="200"/>
      </w:pPr>
      <w:r>
        <w:rPr>
          <w:rFonts w:ascii="Times New Roman" w:hAnsi="Times New Roman" w:eastAsia="黑体"/>
          <w:b/>
          <w:sz w:val="24"/>
        </w:rPr>
        <w:t>资产负债表要点（IPO前）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3366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703"/>
            <w:shd w:fill="003366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截至2026年3月31日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现金及等价物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$237亿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长期债务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$287亿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营运资本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~$53亿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累计亏损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$(413)亿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IPO后备考现金*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~$980亿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i/>
          <w:color w:val="757575"/>
          <w:sz w:val="16"/>
        </w:rPr>
        <w:t>*备考数据包含约750亿美元IPO募资（扣除承销费用前）。资料来源：S-1招股说明书。</w:t>
      </w:r>
    </w:p>
    <w:p>
      <w:r>
        <w:br w:type="page"/>
      </w:r>
    </w:p>
    <w:p>
      <w:pPr>
        <w:spacing w:after="160" w:before="0"/>
      </w:pPr>
      <w:r>
        <w:rPr>
          <w:rFonts w:ascii="Times New Roman" w:hAnsi="Times New Roman" w:eastAsia="黑体"/>
          <w:b/>
          <w:color w:val="003366"/>
          <w:sz w:val="28"/>
        </w:rPr>
        <w:t>投资论点与风险</w:t>
      </w:r>
    </w:p>
    <w:p>
      <w:pPr>
        <w:spacing w:after="120" w:before="0"/>
      </w:pPr>
      <w:r>
        <w:rPr>
          <w:rFonts w:ascii="Times New Roman" w:hAnsi="Times New Roman" w:eastAsia="黑体"/>
          <w:b/>
          <w:sz w:val="24"/>
        </w:rPr>
        <w:t>看多论点</w:t>
      </w:r>
    </w:p>
    <w:p>
      <w:pPr>
        <w:spacing w:after="160"/>
      </w:pPr>
      <w:r>
        <w:rPr>
          <w:rFonts w:ascii="Times New Roman" w:hAnsi="Times New Roman" w:eastAsia="黑体"/>
          <w:b/>
          <w:sz w:val="21"/>
        </w:rPr>
        <w:t xml:space="preserve">■ </w:t>
      </w:r>
      <w:r>
        <w:rPr>
          <w:rFonts w:ascii="Times New Roman" w:hAnsi="Times New Roman" w:eastAsia="黑体"/>
          <w:b/>
          <w:sz w:val="21"/>
        </w:rPr>
        <w:t>星链是一代人的连接特许经营权，具备清晰的500亿美元以上收入路径</w:t>
      </w:r>
      <w:r>
        <w:br/>
      </w:r>
      <w:r>
        <w:rPr>
          <w:rFonts w:ascii="Times New Roman" w:hAnsi="Times New Roman" w:eastAsia="宋体"/>
          <w:sz w:val="21"/>
        </w:rPr>
        <w:t>凭借1,030万用户（同比增长49%）和约50亿未充分覆盖宽带用户的可触达市场，星链的用户增长跑道很长。企业、海事、航空和军事/政府应用在消费者之外增加了新的市场层次。如果星链达到5,000万用户、ARPU $70，则可产生约420亿美元年收入，EBITDA利润率超过60%。</w:t>
      </w:r>
    </w:p>
    <w:p>
      <w:pPr>
        <w:spacing w:after="160"/>
      </w:pPr>
      <w:r>
        <w:rPr>
          <w:rFonts w:ascii="Times New Roman" w:hAnsi="Times New Roman" w:eastAsia="黑体"/>
          <w:b/>
          <w:sz w:val="21"/>
        </w:rPr>
        <w:t xml:space="preserve">■ </w:t>
      </w:r>
      <w:r>
        <w:rPr>
          <w:rFonts w:ascii="Times New Roman" w:hAnsi="Times New Roman" w:eastAsia="黑体"/>
          <w:b/>
          <w:sz w:val="21"/>
        </w:rPr>
        <w:t>星舰开启太空经济的全新时代</w:t>
      </w:r>
      <w:r>
        <w:br/>
      </w:r>
      <w:r>
        <w:rPr>
          <w:rFonts w:ascii="Times New Roman" w:hAnsi="Times New Roman" w:eastAsia="宋体"/>
          <w:sz w:val="21"/>
        </w:rPr>
        <w:t>完全可复用可将发射成本降低10-100倍，催生空间站、太空制造、旅游和火星殖民等新市场。政府合同（NASA、国防部）在星舰达到商业可行性期间提供近期收入稳定性。</w:t>
      </w:r>
    </w:p>
    <w:p>
      <w:pPr>
        <w:spacing w:after="160"/>
      </w:pPr>
      <w:r>
        <w:rPr>
          <w:rFonts w:ascii="Times New Roman" w:hAnsi="Times New Roman" w:eastAsia="黑体"/>
          <w:b/>
          <w:sz w:val="21"/>
        </w:rPr>
        <w:t xml:space="preserve">■ </w:t>
      </w:r>
      <w:r>
        <w:rPr>
          <w:rFonts w:ascii="Times New Roman" w:hAnsi="Times New Roman" w:eastAsia="黑体"/>
          <w:b/>
          <w:sz w:val="21"/>
        </w:rPr>
        <w:t>通过xAI/Colossus的AI基础设施定位拥有450亿美元以上合同收入</w:t>
      </w:r>
      <w:r>
        <w:br/>
      </w:r>
      <w:r>
        <w:rPr>
          <w:rFonts w:ascii="Times New Roman" w:hAnsi="Times New Roman" w:eastAsia="宋体"/>
          <w:sz w:val="21"/>
        </w:rPr>
        <w:t>仅Anthropic合同就提供约450亿美元三年期收入。如果SpaceX能将xAI定位为顶级AI基础设施提供商，该板块可能在FY2028-2029达到盈利。</w:t>
      </w:r>
    </w:p>
    <w:p>
      <w:pPr>
        <w:spacing w:after="120" w:before="160"/>
      </w:pPr>
      <w:r>
        <w:rPr>
          <w:rFonts w:ascii="Times New Roman" w:hAnsi="Times New Roman" w:eastAsia="黑体"/>
          <w:b/>
          <w:sz w:val="24"/>
        </w:rPr>
        <w:t>看空论点</w:t>
      </w:r>
    </w:p>
    <w:p>
      <w:pPr>
        <w:spacing w:after="160"/>
      </w:pPr>
      <w:r>
        <w:rPr>
          <w:rFonts w:ascii="Times New Roman" w:hAnsi="Times New Roman" w:eastAsia="黑体"/>
          <w:b/>
          <w:sz w:val="21"/>
        </w:rPr>
        <w:t xml:space="preserve">■ </w:t>
      </w:r>
      <w:r>
        <w:rPr>
          <w:rFonts w:ascii="Times New Roman" w:hAnsi="Times New Roman" w:eastAsia="黑体"/>
          <w:b/>
          <w:sz w:val="21"/>
        </w:rPr>
        <w:t>94倍市销率估值不容许任何失望</w:t>
      </w:r>
      <w:r>
        <w:br/>
      </w:r>
      <w:r>
        <w:rPr>
          <w:rFonts w:ascii="Times New Roman" w:hAnsi="Times New Roman" w:eastAsia="宋体"/>
          <w:sz w:val="21"/>
        </w:rPr>
        <w:t>以约2.1万亿美元市值对应187亿美元收入，SpaceX的市销率比大型科技公司高10-20倍。即使Palantir约55倍市销率相比之下都显得便宜。任何执行失误或增长减速都可能触发显著的估值倍数压缩。</w:t>
      </w:r>
    </w:p>
    <w:p>
      <w:pPr>
        <w:spacing w:after="160"/>
      </w:pPr>
      <w:r>
        <w:rPr>
          <w:rFonts w:ascii="Times New Roman" w:hAnsi="Times New Roman" w:eastAsia="黑体"/>
          <w:b/>
          <w:sz w:val="21"/>
        </w:rPr>
        <w:t xml:space="preserve">■ </w:t>
      </w:r>
      <w:r>
        <w:rPr>
          <w:rFonts w:ascii="Times New Roman" w:hAnsi="Times New Roman" w:eastAsia="黑体"/>
          <w:b/>
          <w:sz w:val="21"/>
        </w:rPr>
        <w:t>xAI现金消耗惊人，盈利路径不明确</w:t>
      </w:r>
      <w:r>
        <w:br/>
      </w:r>
      <w:r>
        <w:rPr>
          <w:rFonts w:ascii="Times New Roman" w:hAnsi="Times New Roman" w:eastAsia="宋体"/>
          <w:sz w:val="21"/>
        </w:rPr>
        <w:t>单季度25亿美元营业亏损、77亿美元资本开支——AI板块的现金消耗速度可能在2-3年内消耗大量IPO募资。计算基础设施市场竞争激烈（AWS、Azure、GCP），Grok面临来自OpenAI、Anthropic和谷歌的强劲竞争。</w:t>
      </w:r>
    </w:p>
    <w:p>
      <w:pPr>
        <w:spacing w:after="160"/>
      </w:pPr>
      <w:r>
        <w:rPr>
          <w:rFonts w:ascii="Times New Roman" w:hAnsi="Times New Roman" w:eastAsia="黑体"/>
          <w:b/>
          <w:sz w:val="21"/>
        </w:rPr>
        <w:t xml:space="preserve">■ </w:t>
      </w:r>
      <w:r>
        <w:rPr>
          <w:rFonts w:ascii="Times New Roman" w:hAnsi="Times New Roman" w:eastAsia="黑体"/>
          <w:b/>
          <w:sz w:val="21"/>
        </w:rPr>
        <w:t>马斯克85%投票控制权带来治理风险</w:t>
      </w:r>
      <w:r>
        <w:br/>
      </w:r>
      <w:r>
        <w:rPr>
          <w:rFonts w:ascii="Times New Roman" w:hAnsi="Times New Roman" w:eastAsia="宋体"/>
          <w:sz w:val="21"/>
        </w:rPr>
        <w:t>马斯克持有42%经济利益但通过双重股权结构掌握85%投票权。投资者实际上无法影响战略决策、董事会组成或资本配置。马斯克的其他事务（特斯拉、政治活动）造成分心和关键人物风险。</w:t>
      </w:r>
    </w:p>
    <w:p>
      <w:pPr>
        <w:spacing w:after="40" w:before="160"/>
        <w:jc w:val="center"/>
      </w:pPr>
      <w:r>
        <w:rPr>
          <w:rFonts w:ascii="Times New Roman" w:hAnsi="Times New Roman" w:eastAsia="黑体"/>
          <w:b/>
          <w:sz w:val="20"/>
        </w:rPr>
        <w:t>图9 — 各板块调整后EBITDA（FY2025）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840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cx_chart9_ebitda_seg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4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宋体"/>
          <w:i/>
          <w:color w:val="757575"/>
          <w:sz w:val="16"/>
        </w:rPr>
        <w:t>资料来源：S-1招股说明书。</w:t>
      </w:r>
    </w:p>
    <w:p>
      <w:r>
        <w:br w:type="page"/>
      </w:r>
    </w:p>
    <w:p>
      <w:pPr>
        <w:spacing w:after="160" w:before="0"/>
      </w:pPr>
      <w:r>
        <w:rPr>
          <w:rFonts w:ascii="Times New Roman" w:hAnsi="Times New Roman" w:eastAsia="黑体"/>
          <w:b/>
          <w:color w:val="003366"/>
          <w:sz w:val="28"/>
        </w:rPr>
        <w:t>估值与目标价</w:t>
      </w:r>
    </w:p>
    <w:p>
      <w:pPr>
        <w:spacing w:after="120" w:before="0"/>
      </w:pPr>
      <w:r>
        <w:rPr>
          <w:rFonts w:ascii="Times New Roman" w:hAnsi="Times New Roman" w:eastAsia="黑体"/>
          <w:b/>
          <w:sz w:val="24"/>
        </w:rPr>
        <w:t>估值框架</w:t>
      </w:r>
    </w:p>
    <w:p>
      <w:pPr>
        <w:spacing w:after="120" w:before="0"/>
      </w:pPr>
      <w:r>
        <w:rPr>
          <w:rFonts w:ascii="Times New Roman" w:hAnsi="Times New Roman" w:eastAsia="宋体"/>
          <w:sz w:val="21"/>
        </w:rPr>
        <w:t>SpaceX的估值面临独特挑战。作为三板块综合体（增长和盈利特征差异巨大），分部加总法（SOTP）最为合适。</w:t>
        <w:br/>
        <w:br/>
        <w:t>连接业务（星链）——8,000亿-1万亿美元价值：对FY2027E收入160亿美元施以20倍估值，反映星链的市场主导地位、60%以上EBITDA利润率和强劲用户增长。这高于卫星同业但低于高增长SaaS公司的估值。</w:t>
        <w:br/>
        <w:br/>
        <w:t>太空——1,500亿-2,000亿美元价值：对FY2027E太空收入50亿美元施以10倍估值，加上1,000亿美元星舰长期潜力的期权价值（对执行风险和时间表不确定性进行大幅折扣）。</w:t>
        <w:br/>
        <w:br/>
        <w:t>AI（xAI）——800亿-1,200亿美元价值：2026年2月xAI合并隐含约800亿美元独立估值。鉴于亏损加速和竞争逆风，我们维持该水平作为基准。</w:t>
        <w:br/>
        <w:br/>
        <w:t>SOTP公允价值：1.03万亿-1.32万亿美元 → 每股约$80-$100</w:t>
        <w:br/>
        <w:br/>
        <w:t>目标价$150（高于SOTP）包含50%"平台溢价"，反映SpaceX集成太空-连接-AI生态系统的独特战略价值，但仍低于当前约$161交易水平，体现我们认为IPO后热情已过度反映近期基本面的观点。</w:t>
      </w:r>
    </w:p>
    <w:p>
      <w:pPr>
        <w:spacing w:after="40" w:before="160"/>
        <w:jc w:val="center"/>
      </w:pPr>
      <w:r>
        <w:rPr>
          <w:rFonts w:ascii="Times New Roman" w:hAnsi="Times New Roman" w:eastAsia="黑体"/>
          <w:b/>
          <w:sz w:val="20"/>
        </w:rPr>
        <w:t>图10 — IPO估值：市销率对比同业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41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cx_chart10_valuation_comp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4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 w:eastAsia="宋体"/>
          <w:i/>
          <w:color w:val="757575"/>
          <w:sz w:val="16"/>
        </w:rPr>
        <w:t>资料来源：Bloomberg、分析师预测。市销率基于过去12个月收入计算。</w:t>
      </w:r>
    </w:p>
    <w:p>
      <w:r>
        <w:br w:type="page"/>
      </w:r>
    </w:p>
    <w:p>
      <w:pPr>
        <w:spacing w:after="160" w:before="0"/>
      </w:pPr>
      <w:r>
        <w:rPr>
          <w:rFonts w:ascii="Times New Roman" w:hAnsi="Times New Roman" w:eastAsia="黑体"/>
          <w:b/>
          <w:color w:val="003366"/>
          <w:sz w:val="28"/>
        </w:rPr>
        <w:t>资料来源与参考文献</w:t>
      </w:r>
    </w:p>
    <w:p>
      <w:pPr>
        <w:spacing w:after="80" w:before="0"/>
      </w:pPr>
      <w:r>
        <w:rPr>
          <w:rFonts w:ascii="Times New Roman" w:hAnsi="Times New Roman" w:eastAsia="黑体"/>
          <w:b/>
          <w:sz w:val="21"/>
        </w:rPr>
        <w:t>SEC文件：</w:t>
      </w:r>
    </w:p>
    <w:p>
      <w:pPr>
        <w:spacing w:after="60"/>
        <w:ind w:left="283"/>
      </w:pPr>
      <w:r>
        <w:rPr>
          <w:rFonts w:ascii="Times New Roman" w:hAnsi="Times New Roman" w:eastAsia="宋体"/>
          <w:sz w:val="20"/>
        </w:rPr>
        <w:t xml:space="preserve">• </w:t>
      </w:r>
      <w:hyperlink r:id="rId19">
        <w:r>
          <w:rPr>
            <w:rStyle w:val="Hyperlink"/>
            <w:color w:val="0563C1"/>
            <w:u w:val="single"/>
            <w:sz w:val="16"/>
            <w:rFonts w:ascii="Times New Roman" w:hAnsi="Times New Roman"/>
          </w:rPr>
          <w:t>S-1招股说明书（2026年5月20日提交）</w:t>
        </w:r>
      </w:hyperlink>
    </w:p>
    <w:p>
      <w:pPr>
        <w:spacing w:after="60"/>
        <w:ind w:left="283"/>
      </w:pPr>
      <w:r>
        <w:rPr>
          <w:rFonts w:ascii="Times New Roman" w:hAnsi="Times New Roman" w:eastAsia="宋体"/>
          <w:sz w:val="20"/>
        </w:rPr>
        <w:t xml:space="preserve">• </w:t>
      </w:r>
      <w:hyperlink r:id="rId20">
        <w:r>
          <w:rPr>
            <w:rStyle w:val="Hyperlink"/>
            <w:color w:val="0563C1"/>
            <w:u w:val="single"/>
            <w:sz w:val="16"/>
            <w:rFonts w:ascii="Times New Roman" w:hAnsi="Times New Roman"/>
          </w:rPr>
          <w:t>Form 8-K — Q1 2026业绩新闻稿（2026年5月7日提交）</w:t>
        </w:r>
      </w:hyperlink>
    </w:p>
    <w:p>
      <w:pPr>
        <w:spacing w:after="80" w:before="0"/>
      </w:pPr>
      <w:r>
        <w:rPr>
          <w:rFonts w:ascii="Times New Roman" w:hAnsi="Times New Roman" w:eastAsia="宋体"/>
          <w:sz w:val="22"/>
        </w:rPr>
      </w:r>
    </w:p>
    <w:p>
      <w:pPr>
        <w:spacing w:after="80" w:before="0"/>
      </w:pPr>
      <w:r>
        <w:rPr>
          <w:rFonts w:ascii="Times New Roman" w:hAnsi="Times New Roman" w:eastAsia="黑体"/>
          <w:b/>
          <w:sz w:val="21"/>
        </w:rPr>
        <w:t>新闻与分析：</w:t>
      </w:r>
    </w:p>
    <w:p>
      <w:pPr>
        <w:spacing w:after="60"/>
        <w:ind w:left="283"/>
      </w:pPr>
      <w:r>
        <w:rPr>
          <w:rFonts w:ascii="Times New Roman" w:hAnsi="Times New Roman" w:eastAsia="宋体"/>
          <w:sz w:val="20"/>
        </w:rPr>
        <w:t xml:space="preserve">• </w:t>
      </w:r>
      <w:hyperlink r:id="rId21">
        <w:r>
          <w:rPr>
            <w:rStyle w:val="Hyperlink"/>
            <w:color w:val="0563C1"/>
            <w:u w:val="single"/>
            <w:sz w:val="16"/>
            <w:rFonts w:ascii="Times New Roman" w:hAnsi="Times New Roman"/>
          </w:rPr>
          <w:t>SpaceX IPO Takes Off — CNBC（2026年6月12日）</w:t>
        </w:r>
      </w:hyperlink>
    </w:p>
    <w:p>
      <w:pPr>
        <w:spacing w:after="60"/>
        <w:ind w:left="283"/>
      </w:pPr>
      <w:r>
        <w:rPr>
          <w:rFonts w:ascii="Times New Roman" w:hAnsi="Times New Roman" w:eastAsia="宋体"/>
          <w:sz w:val="20"/>
        </w:rPr>
        <w:t xml:space="preserve">• </w:t>
      </w:r>
      <w:hyperlink r:id="rId22">
        <w:r>
          <w:rPr>
            <w:rStyle w:val="Hyperlink"/>
            <w:color w:val="0563C1"/>
            <w:u w:val="single"/>
            <w:sz w:val="16"/>
            <w:rFonts w:ascii="Times New Roman" w:hAnsi="Times New Roman"/>
          </w:rPr>
          <w:t>SpaceX提交IPO招股书 — Yahoo Finance（2026年5月20日）</w:t>
        </w:r>
      </w:hyperlink>
    </w:p>
    <w:p>
      <w:pPr>
        <w:spacing w:after="60"/>
        <w:ind w:left="283"/>
      </w:pPr>
      <w:r>
        <w:rPr>
          <w:rFonts w:ascii="Times New Roman" w:hAnsi="Times New Roman" w:eastAsia="宋体"/>
          <w:sz w:val="20"/>
        </w:rPr>
        <w:t xml:space="preserve">• </w:t>
      </w:r>
      <w:hyperlink r:id="rId23">
        <w:r>
          <w:rPr>
            <w:rStyle w:val="Hyperlink"/>
            <w:color w:val="0563C1"/>
            <w:u w:val="single"/>
            <w:sz w:val="16"/>
            <w:rFonts w:ascii="Times New Roman" w:hAnsi="Times New Roman"/>
          </w:rPr>
          <w:t>深度解析SpaceX S-1：三家公司，一个利润 — SatNews（2026年5月21日）</w:t>
        </w:r>
      </w:hyperlink>
    </w:p>
    <w:p>
      <w:pPr>
        <w:spacing w:after="60"/>
        <w:ind w:left="283"/>
      </w:pPr>
      <w:r>
        <w:rPr>
          <w:rFonts w:ascii="Times New Roman" w:hAnsi="Times New Roman" w:eastAsia="宋体"/>
          <w:sz w:val="20"/>
        </w:rPr>
        <w:t xml:space="preserve">• </w:t>
      </w:r>
      <w:hyperlink r:id="rId24">
        <w:r>
          <w:rPr>
            <w:rStyle w:val="Hyperlink"/>
            <w:color w:val="0563C1"/>
            <w:u w:val="single"/>
            <w:sz w:val="16"/>
            <w:rFonts w:ascii="Times New Roman" w:hAnsi="Times New Roman"/>
          </w:rPr>
          <w:t>SpaceX Pre-IPO财务六图 — Morningstar</w:t>
        </w:r>
      </w:hyperlink>
    </w:p>
    <w:p>
      <w:pPr>
        <w:spacing w:after="80" w:before="0"/>
      </w:pPr>
      <w:r>
        <w:rPr>
          <w:rFonts w:ascii="Times New Roman" w:hAnsi="Times New Roman" w:eastAsia="宋体"/>
          <w:sz w:val="22"/>
        </w:rPr>
      </w:r>
    </w:p>
    <w:p>
      <w:pPr>
        <w:spacing w:after="80" w:before="0"/>
      </w:pPr>
      <w:r>
        <w:rPr>
          <w:rFonts w:ascii="Times New Roman" w:hAnsi="Times New Roman" w:eastAsia="黑体"/>
          <w:b/>
          <w:sz w:val="21"/>
        </w:rPr>
        <w:t>市场数据：</w:t>
      </w:r>
    </w:p>
    <w:p>
      <w:pPr>
        <w:spacing w:after="120" w:before="0"/>
      </w:pPr>
      <w:r>
        <w:rPr>
          <w:rFonts w:ascii="Times New Roman" w:hAnsi="Times New Roman" w:eastAsia="宋体"/>
          <w:sz w:val="20"/>
        </w:rPr>
        <w:t>• Bloomberg / Yahoo Finance / yfinance 实时市场数据</w:t>
        <w:br/>
        <w:t>• SpaceX投资者关系：https://investor.spacex.com</w:t>
        <w:br/>
        <w:t>• Nasdaq上市页面：https://www.nasdaq.com/market-activity/stocks/spcx</w:t>
      </w:r>
    </w:p>
    <w:p>
      <w:pPr>
        <w:spacing w:after="120" w:before="0"/>
      </w:pPr>
      <w:r>
        <w:rPr>
          <w:rFonts w:ascii="Times New Roman" w:hAnsi="Times New Roman" w:eastAsia="宋体"/>
          <w:sz w:val="22"/>
        </w:rPr>
      </w:r>
    </w:p>
    <w:p>
      <w:pPr>
        <w:spacing w:after="40" w:before="0"/>
      </w:pPr>
      <w:r>
        <w:rPr>
          <w:rFonts w:ascii="Times New Roman" w:hAnsi="Times New Roman" w:eastAsia="黑体"/>
          <w:b/>
          <w:color w:val="757575"/>
          <w:sz w:val="18"/>
        </w:rPr>
        <w:t>免责声明</w:t>
      </w:r>
    </w:p>
    <w:p>
      <w:pPr>
        <w:spacing w:after="80" w:before="0"/>
      </w:pPr>
      <w:r>
        <w:rPr>
          <w:rFonts w:ascii="Times New Roman" w:hAnsi="Times New Roman" w:eastAsia="宋体"/>
          <w:color w:val="999999"/>
          <w:sz w:val="16"/>
        </w:rPr>
        <w:t>本报告仅供信息参考，不构成投资建议。分析师不是持牌投资顾问。所有预测和目标价均基于公开信息，代表分析师的独立评估。过往表现不代表未来结果。投资者在做出投资决策前应进行独立的尽职调查。分析师在SPCX无持仓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yperlink" Target="https://www.sec.gov/Archives/edgar/data/1181412/000162828026036936/spaceexplorationtechnologi.htm" TargetMode="External"/><Relationship Id="rId20" Type="http://schemas.openxmlformats.org/officeDocument/2006/relationships/hyperlink" Target="https://www.marketbeat.com/earnings/reports/2026-5-7-spacex-stock/" TargetMode="External"/><Relationship Id="rId21" Type="http://schemas.openxmlformats.org/officeDocument/2006/relationships/hyperlink" Target="https://www.cnbc.com/2026/06/12/spacex-ipo-spcx-live-updates.html" TargetMode="External"/><Relationship Id="rId22" Type="http://schemas.openxmlformats.org/officeDocument/2006/relationships/hyperlink" Target="https://finance.yahoo.com/markets/article/spacex-files-ipo-prospectus-offering-a-peek-into-its-finances-205406189.html" TargetMode="External"/><Relationship Id="rId23" Type="http://schemas.openxmlformats.org/officeDocument/2006/relationships/hyperlink" Target="https://satnews.com/2026/05/21/inside-spacexs-s-1-three-companies-one-profit-1-75-trillion/" TargetMode="External"/><Relationship Id="rId24" Type="http://schemas.openxmlformats.org/officeDocument/2006/relationships/hyperlink" Target="https://www.morningstar.com/stocks/6-charts-spacexs-s-1-financi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