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8C8C8C"/>
          <w:sz w:val="17"/>
        </w:rPr>
        <w:t>股票研究  |  航空航天与国防</w:t>
      </w:r>
    </w:p>
    <w:p>
      <w:pPr>
        <w:jc w:val="center"/>
      </w:pPr>
      <w:r>
        <w:rPr>
          <w:rFonts w:ascii="黑体" w:hAnsi="黑体" w:eastAsia="黑体"/>
          <w:b/>
          <w:color w:val="1B3A6B"/>
          <w:sz w:val="40"/>
        </w:rPr>
        <w:t>火箭实验室 ROCKET LAB (NASDAQ: RKLB)</w:t>
      </w:r>
    </w:p>
    <w:p>
      <w:pPr>
        <w:jc w:val="center"/>
      </w:pPr>
      <w:r>
        <w:rPr>
          <w:rFonts w:ascii="宋体" w:hAnsi="宋体" w:eastAsia="宋体"/>
          <w:i/>
          <w:color w:val="4A90D9"/>
          <w:sz w:val="26"/>
        </w:rPr>
        <w:t>2026财年第一季度业绩更新 — 首破2亿美元大关，全指标超预期</w:t>
      </w:r>
    </w:p>
    <w:p>
      <w:pPr>
        <w:jc w:val="center"/>
      </w:pPr>
      <w:r>
        <w:rPr>
          <w:rFonts w:ascii="宋体" w:hAnsi="宋体" w:eastAsia="宋体"/>
          <w:color w:val="8C8C8C"/>
          <w:sz w:val="18"/>
        </w:rPr>
        <w:t>财报发布日: 2026年5月7日  |  报告日期: 2026年6月16日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3A6B" w:val="clear"/>
          </w:tcPr>
          <w:p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评级</w:t>
            </w:r>
          </w:p>
        </w:tc>
        <w:tc>
          <w:tcPr>
            <w:tcW w:type="dxa" w:w="1568"/>
            <w:shd w:fill="1B3A6B" w:val="clear"/>
          </w:tcPr>
          <w:p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目标价</w:t>
            </w:r>
          </w:p>
        </w:tc>
        <w:tc>
          <w:tcPr>
            <w:tcW w:type="dxa" w:w="1568"/>
            <w:shd w:fill="1B3A6B" w:val="clear"/>
          </w:tcPr>
          <w:p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当前股价</w:t>
            </w:r>
          </w:p>
        </w:tc>
        <w:tc>
          <w:tcPr>
            <w:tcW w:type="dxa" w:w="1568"/>
            <w:shd w:fill="1B3A6B" w:val="clear"/>
          </w:tcPr>
          <w:p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总市值</w:t>
            </w:r>
          </w:p>
        </w:tc>
        <w:tc>
          <w:tcPr>
            <w:tcW w:type="dxa" w:w="1568"/>
            <w:shd w:fill="1B3A6B" w:val="clear"/>
          </w:tcPr>
          <w:p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52周最低</w:t>
            </w:r>
          </w:p>
        </w:tc>
        <w:tc>
          <w:tcPr>
            <w:tcW w:type="dxa" w:w="1568"/>
            <w:shd w:fill="1B3A6B" w:val="clear"/>
          </w:tcPr>
          <w:p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52周最高</w:t>
            </w:r>
          </w:p>
        </w:tc>
      </w:tr>
      <w:tr>
        <w:tc>
          <w:tcPr>
            <w:tcW w:type="dxa" w:w="1568"/>
            <w:shd w:fill="27AE60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22"/>
              </w:rPr>
              <w:t>买入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0"/>
              </w:rPr>
              <w:t>$120.00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$105.63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约660亿美元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$25.71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$151.00</w:t>
            </w:r>
          </w:p>
        </w:tc>
      </w:tr>
    </w:tbl>
    <w:p/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6"/>
        </w:rPr>
        <w:t>核心要点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b/>
          <w:color w:val="27AE60"/>
          <w:sz w:val="20"/>
        </w:rPr>
        <w:t xml:space="preserve">营收超预期: </w:t>
      </w:r>
      <w:r>
        <w:rPr>
          <w:rFonts w:ascii="宋体" w:hAnsi="宋体" w:eastAsia="宋体"/>
          <w:sz w:val="20"/>
        </w:rPr>
        <w:t>创纪录季度营收2.003亿美元（同比+63.5%，环比+11.5%），超市场一致预期1.894亿美元1,090万美元（+5.8%），并超公司指引上限（1.85亿–2.0亿美元）。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b/>
          <w:color w:val="27AE60"/>
          <w:sz w:val="20"/>
        </w:rPr>
        <w:t xml:space="preserve">每股收益超预期: </w:t>
      </w:r>
      <w:r>
        <w:rPr>
          <w:rFonts w:ascii="宋体" w:hAnsi="宋体" w:eastAsia="宋体"/>
          <w:sz w:val="20"/>
        </w:rPr>
        <w:t>GAAP每股亏损($0.07)，优于一致预期($0.08)，为公司历史最窄季度亏损，较Q1 2025的($0.12)大幅改善。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b/>
          <w:color w:val="27AE60"/>
          <w:sz w:val="20"/>
        </w:rPr>
        <w:t xml:space="preserve">EBITDA大幅超预期: </w:t>
      </w:r>
      <w:r>
        <w:rPr>
          <w:rFonts w:ascii="宋体" w:hAnsi="宋体" w:eastAsia="宋体"/>
          <w:sz w:val="20"/>
        </w:rPr>
        <w:t>调整后EBITDA亏损($11.8M)，大幅优于一致预期($26M)的1,420万美元，也显著优于指引中值约1,200万美元。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b/>
          <w:color w:val="27AE60"/>
          <w:sz w:val="20"/>
        </w:rPr>
        <w:t xml:space="preserve">毛利率超预期: </w:t>
      </w:r>
      <w:r>
        <w:rPr>
          <w:rFonts w:ascii="宋体" w:hAnsi="宋体" w:eastAsia="宋体"/>
          <w:sz w:val="20"/>
        </w:rPr>
        <w:t>GAAP毛利率38.2%（指引34-36%），非GAAP毛利率43.0%（指引39-41%），均超指引200+基点。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b/>
          <w:color w:val="1B3A6B"/>
          <w:sz w:val="20"/>
        </w:rPr>
        <w:t xml:space="preserve">在手订单激增: </w:t>
      </w:r>
      <w:r>
        <w:rPr>
          <w:rFonts w:ascii="宋体" w:hAnsi="宋体" w:eastAsia="宋体"/>
          <w:sz w:val="20"/>
        </w:rPr>
        <w:t>创纪录在手订单22亿美元（同比+108%，环比+20%），包含公司史上最大合同（5架Neutron+3架Electron至2029年）及1.9亿美元HASTE批量采购订单。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b/>
          <w:color w:val="1B3A6B"/>
          <w:sz w:val="20"/>
        </w:rPr>
        <w:t xml:space="preserve">Q2指引超预期: </w:t>
      </w:r>
      <w:r>
        <w:rPr>
          <w:rFonts w:ascii="宋体" w:hAnsi="宋体" w:eastAsia="宋体"/>
          <w:sz w:val="20"/>
        </w:rPr>
        <w:t>Q2 2026营收指引2.25亿–2.4亿美元，较华尔街预期2.075亿美元高出10-16%，显示持续强劲增长动能。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b/>
          <w:color w:val="1B3A6B"/>
          <w:sz w:val="20"/>
        </w:rPr>
        <w:t xml:space="preserve">战略级合同: </w:t>
      </w:r>
      <w:r>
        <w:rPr>
          <w:rFonts w:ascii="宋体" w:hAnsi="宋体" w:eastAsia="宋体"/>
          <w:sz w:val="20"/>
        </w:rPr>
        <w:t>Q1签署31份新发射合同（超2025全年总数）；与雷神联合入选金穹（Golden Dome）天基拦截器（SBI）项目。</w:t>
      </w:r>
    </w:p>
    <w:p/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6"/>
        </w:rPr>
        <w:t>业绩概览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1B3A6B" w:val="clea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1881"/>
            <w:vAlign w:val="center"/>
            <w:shd w:fill="1B3A6B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Q1 2026实际</w:t>
            </w:r>
          </w:p>
        </w:tc>
        <w:tc>
          <w:tcPr>
            <w:tcW w:type="dxa" w:w="1881"/>
            <w:vAlign w:val="center"/>
            <w:shd w:fill="1B3A6B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一致预期/指引</w:t>
            </w:r>
          </w:p>
        </w:tc>
        <w:tc>
          <w:tcPr>
            <w:tcW w:type="dxa" w:w="1881"/>
            <w:vAlign w:val="center"/>
            <w:shd w:fill="1B3A6B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超/不及</w:t>
            </w:r>
          </w:p>
        </w:tc>
        <w:tc>
          <w:tcPr>
            <w:tcW w:type="dxa" w:w="1881"/>
            <w:vAlign w:val="center"/>
            <w:shd w:fill="1B3A6B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同比Q1 2025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t>总营收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$200.3M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$189.4M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+$10.9M (+5.8%)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+63.5%</w:t>
            </w:r>
          </w:p>
        </w:tc>
      </w:tr>
      <w:tr>
        <w:tc>
          <w:tcPr>
            <w:tcW w:type="dxa" w:w="1881"/>
            <w:vAlign w:val="center"/>
            <w:shd w:fill="EBF5FB" w:val="clear"/>
          </w:tcPr>
          <w:p>
            <w:pPr>
              <w:jc w:val="left"/>
            </w:pPr>
            <w:r>
              <w:t xml:space="preserve">  发射服务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$63.7M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$59.0M (est.)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+$4.7M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+78.9%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t xml:space="preserve">  太空系统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$136.7M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$132.1M (est.)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+$4.6M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+57.2%</w:t>
            </w:r>
          </w:p>
        </w:tc>
      </w:tr>
      <w:tr>
        <w:tc>
          <w:tcPr>
            <w:tcW w:type="dxa" w:w="1881"/>
            <w:vAlign w:val="center"/>
            <w:shd w:fill="EBF5FB" w:val="clear"/>
          </w:tcPr>
          <w:p>
            <w:pPr>
              <w:jc w:val="left"/>
            </w:pPr>
            <w:r>
              <w:t>GAAP毛利率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38.2%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34–36% (指引)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+220–420bps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+950bps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t>非GAAP毛利率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43.0%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39–41% (指引)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+200–400bps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+960bps</w:t>
            </w:r>
          </w:p>
        </w:tc>
      </w:tr>
      <w:tr>
        <w:tc>
          <w:tcPr>
            <w:tcW w:type="dxa" w:w="1881"/>
            <w:vAlign w:val="center"/>
            <w:shd w:fill="EBF5FB" w:val="clear"/>
          </w:tcPr>
          <w:p>
            <w:pPr>
              <w:jc w:val="left"/>
            </w:pPr>
            <w:r>
              <w:t>调整后EBITDA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($11.8M)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($26.0M)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+$14.2M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+$18.2M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t>GAAP每股收益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($0.07)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($0.08)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+$0.01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+$0.05</w:t>
            </w:r>
          </w:p>
        </w:tc>
      </w:tr>
      <w:tr>
        <w:tc>
          <w:tcPr>
            <w:tcW w:type="dxa" w:w="1881"/>
            <w:vAlign w:val="center"/>
            <w:shd w:fill="EBF5FB" w:val="clear"/>
          </w:tcPr>
          <w:p>
            <w:pPr>
              <w:jc w:val="left"/>
            </w:pPr>
            <w:r>
              <w:t>净亏损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($45.0M)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vs. ($60.6M)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t>在手订单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$22亿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+108% YoY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vs. $10.6亿</w:t>
            </w:r>
          </w:p>
        </w:tc>
      </w:tr>
      <w:tr>
        <w:tc>
          <w:tcPr>
            <w:tcW w:type="dxa" w:w="1881"/>
            <w:vAlign w:val="center"/>
            <w:shd w:fill="EBF5FB" w:val="clear"/>
          </w:tcPr>
          <w:p>
            <w:pPr>
              <w:jc w:val="left"/>
            </w:pPr>
            <w:r>
              <w:t>现金及等价物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$12.055亿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81"/>
            <w:vAlign w:val="center"/>
            <w:shd w:fill="EBF5FB" w:val="clear"/>
          </w:tcPr>
          <w:p>
            <w:pPr>
              <w:jc w:val="center"/>
            </w:pPr>
            <w:r>
              <w:t>vs. $8.287亿</w:t>
            </w:r>
          </w:p>
        </w:tc>
      </w:tr>
    </w:tbl>
    <w:p>
      <w:r>
        <w:br w:type="page"/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6"/>
        </w:rPr>
        <w:t>详细业绩分析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2"/>
        </w:rPr>
        <w:t>营收：首次突破2亿美元大关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火箭实验室Q1 2026营收2.003亿美元，创单季历史新高，首次突破2亿美元里程碑。同比增长63.5%，环比增长11.5%（Q4 2025为1.797亿美元）。营收超出公司指引上限（1.85亿–2.0亿美元），并大幅超出市场一致预期1.894亿美元达1,090万美元（+5.8%）。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太空系统业务仍为主要收入来源，贡献1.367亿美元（同比+57.2%，环比+31.7%），增长受益于SDA第二/三期卫星项目推进及太阳能产品和组件的旺盛需求。发射服务贡献6,370万美元（同比+78.9%），环比下降16.1%系Q4 2025异常强劲的7次任务季度的正常回落。两大业务线均超出FactSet分段估计（分别为1.321亿和5,900万美元）。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21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lb_chart1_quarterly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2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i/>
          <w:color w:val="8C8C8C"/>
          <w:sz w:val="17"/>
        </w:rPr>
        <w:t>图1：季度营收走势 Q1 2024–Q1 2026 | 数据来源：火箭实验室财报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727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lb_chart3_segment_reven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2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i/>
          <w:color w:val="8C8C8C"/>
          <w:sz w:val="17"/>
        </w:rPr>
        <w:t>图2：Q1 2026分部营收构成及同比对比 | 数据来源：火箭实验室财报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2"/>
        </w:rPr>
        <w:t>超预期分析：全线超预期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Q1 2026业绩在所有关键指标上均超预期——这一全面超预期推动股价当日上涨34%：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120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lb_chart4_beat_mi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2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i/>
          <w:color w:val="8C8C8C"/>
          <w:sz w:val="17"/>
        </w:rPr>
        <w:t>图3：Q1 2026超/不及预期汇总 | 数据来源：火箭实验室、Bloomberg/FactSet一致预期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营收2.003亿美元超出一致预期1.894亿美元5.8%，主要受益于太空系统交付强于预期及发射定价提升（商业Electron单次发射定价已升至约850万美元，较历史500-600万美元水平显著提升）。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调整后EBITDA亏损($11.8M)是最大亮点，超出一致预期($26M)1,420万美元，同比改善61%——清晰展现了盈利能力路径。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GAAP毛利率38.2%超出公司指引上限（36%）220个基点，受益于有利的产品组合及持续的成本优化。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GAAP每股亏损($0.07)优于一致预期($0.08)1美分，为公司历史最窄季度亏损。净亏损同比改善26%。</w:t>
      </w:r>
    </w:p>
    <w:p>
      <w:r>
        <w:br w:type="page"/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2"/>
        </w:rPr>
        <w:t>毛利率：持续扩张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Q1 2026 GAAP毛利率38.2%，较Q1 2024的20.0%提升了1,820个基点（近两年），较Q1 2025的28.7%提升了950个基点（一年）。非GAAP毛利率43.0%，两年前仅为28.0%，近乎翻倍。主要驱动因素：(1)更高利润率的发射合同，反映了Electron作为最可靠小型运载火箭的市场定位；(2)太空系统项目执行效率提升及SDA交付的学习曲线效益；(3)Gauss电推力器进入量产阶段具有有利的单位经济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21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lb_chart5_gross_mar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2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i/>
          <w:color w:val="8C8C8C"/>
          <w:sz w:val="17"/>
        </w:rPr>
        <w:t>图4：GAAP与非GAAP毛利率趋势 | 数据来源：火箭实验室财报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2"/>
        </w:rPr>
        <w:t>调整后EBITDA：亏损快速收窄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调整后EBITDA亏损从Q1 2025的($30.0M)持续改善：Q2 ($29.0M) → Q3 ($26.3M) → Q4 ($17.4M) → Q1 2026 ($11.8M)，同比改善61%。公司正走在实现季度EBITDA盈利的道路上（预计Q3或Q4 2026可实现）。Q2指引的($20M)–($26M)较Q1有所扩大，主要反映Mynaric整合成本及产品组合不利因素，我们视为阶段性回调。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634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lb_chart6_adj_ebit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3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i/>
          <w:color w:val="8C8C8C"/>
          <w:sz w:val="17"/>
        </w:rPr>
        <w:t>图5：调整后EBITDA趋势 Q1'25–Q1'26 | 数据来源：火箭实验室财报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21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lb_chart7_eps_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2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i/>
          <w:color w:val="8C8C8C"/>
          <w:sz w:val="17"/>
        </w:rPr>
        <w:t>图6：GAAP每股收益季度趋势 Q1 2024–Q1 2026 | 数据来源：火箭实验室财报</w:t>
      </w:r>
    </w:p>
    <w:p>
      <w:r>
        <w:br w:type="page"/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6"/>
        </w:rPr>
        <w:t>关键指标与展望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2"/>
        </w:rPr>
        <w:t>在手订单：22亿美元，持续加速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合同在手订单季末达到创纪录的22亿美元，同比增长108%（去年同期10.6亿美元），环比增长20.2%（上季18.5亿美元）。增长由两大标志性合同驱动：(1)公司史上最大合同——与保密客户签订的多年期合同（5架Neutron+3架Electron至2029年）；(2)通过Kratos获得的1.9亿美元HASTE批量采购订单（20次高超声速测试飞行）。发射服务占在手订单的41.5%，较历史水平显著提升，反映了Neutron在首飞之前就已获得客户订单——这是市场信心的有力信号。12个月收入转化率约为36%，意味着约7.9亿美元将在未来一年内转化为收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141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lb_chart8_back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4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i/>
          <w:color w:val="8C8C8C"/>
          <w:sz w:val="17"/>
        </w:rPr>
        <w:t>图7：在手订单增长趋势 Q1 2025–Q1 2026 | 数据来源：火箭实验室财报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2"/>
        </w:rPr>
        <w:t>发射活动与HASTE项目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Q1 2026签署31份新Electron和HASTE发射合同，超过2025全年发射合同签署总数。总合同任务清单超过70项。报告期截止已完成8次任务。商业Electron单次发射定价提升至约850万美元（历史约500-600万美元），反映了该运载火箭在可靠性和发射周期方面的市场领先优势。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HASTE项目已成为重要增长引擎：通过Kratos获得的1.9亿美元国防部合同（20次MACH-TB 2.0发射）现占总发射在手订单的约三分之一。HASTE为金穹（Golden Dome）架构提供高超声速测试和模拟能力，使火箭实验室成为美国导弹防御测试的关键基础设施。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21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lb_chart9_launch_cad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2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i/>
          <w:color w:val="8C8C8C"/>
          <w:sz w:val="17"/>
        </w:rPr>
        <w:t>图8：Electron发射节奏 Q1 2024–Q1 2026 | 数据来源：火箭实验室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2"/>
        </w:rPr>
        <w:t>Q2 2026展望：全面超华尔街预期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管理层给出Q2 2026营收指引2.25亿–2.4亿美元（中值2.325亿美元），环比增长约16%，显著高于华尔街预期约2.075亿美元。GAAP毛利率指引33–35%，非GAAP毛利率38–40%，均较Q1有所下降，反映SDA项目爬坡期产品组合不利及Mynaric整合拖累。调整后EBITDA指引($20M)–($26M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6B" w:val="clea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1881"/>
            <w:shd w:fill="1B3A6B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Q1 2026实际</w:t>
            </w:r>
          </w:p>
        </w:tc>
        <w:tc>
          <w:tcPr>
            <w:tcW w:type="dxa" w:w="1881"/>
            <w:shd w:fill="1B3A6B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Q2 2026指引</w:t>
            </w:r>
          </w:p>
        </w:tc>
        <w:tc>
          <w:tcPr>
            <w:tcW w:type="dxa" w:w="1881"/>
            <w:shd w:fill="1B3A6B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华尔街预期</w:t>
            </w:r>
          </w:p>
        </w:tc>
        <w:tc>
          <w:tcPr>
            <w:tcW w:type="dxa" w:w="1881"/>
            <w:shd w:fill="1B3A6B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指引vs预期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营收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$200.3M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$225M–$240M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$207.5M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+8%至+16%</w:t>
            </w:r>
          </w:p>
        </w:tc>
      </w:tr>
      <w:tr>
        <w:tc>
          <w:tcPr>
            <w:tcW w:type="dxa" w:w="1881"/>
            <w:shd w:fill="EBF5FB" w:val="clear"/>
          </w:tcPr>
          <w:p>
            <w:pPr>
              <w:jc w:val="left"/>
            </w:pPr>
            <w:r>
              <w:t>GAAP毛利率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38.2%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33%–35%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组合拖累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非GAAP毛利率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43.0%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38%–40%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Mynaric拖累</w:t>
            </w:r>
          </w:p>
        </w:tc>
      </w:tr>
      <w:tr>
        <w:tc>
          <w:tcPr>
            <w:tcW w:type="dxa" w:w="1881"/>
            <w:shd w:fill="EBF5FB" w:val="clear"/>
          </w:tcPr>
          <w:p>
            <w:pPr>
              <w:jc w:val="left"/>
            </w:pPr>
            <w:r>
              <w:t>调整后EBITDA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($11.8M)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($20M)–($26M)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($15.1M)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亏损扩大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t>加权平均股数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605.4M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~629M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含优先股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02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lb_chart10_guid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0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i/>
          <w:color w:val="8C8C8C"/>
          <w:sz w:val="17"/>
        </w:rPr>
        <w:t>图9：营收趋势与Q2 2026指引对比 | 数据来源：火箭实验室、LSEG/FactSet</w:t>
      </w:r>
    </w:p>
    <w:p>
      <w:r>
        <w:br w:type="page"/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6"/>
        </w:rPr>
        <w:t>投资论点更新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2"/>
        </w:rPr>
        <w:t>本季度关键变化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Q1 2026业绩具有里程碑意义——本季度验证了火箭实验室从小型发射专家向规模化、多业务航天平台公司的转型。关键增量变化：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b/>
          <w:sz w:val="20"/>
        </w:rPr>
        <w:t xml:space="preserve">积极: </w:t>
      </w:r>
      <w:r>
        <w:rPr>
          <w:rFonts w:ascii="宋体" w:hAnsi="宋体" w:eastAsia="宋体"/>
          <w:sz w:val="20"/>
        </w:rPr>
        <w:t>营收首次单季突破2亿美元，两大业务线均显著超预期。63.5%的同比增速较Q4 2025的36%明显加速。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b/>
          <w:sz w:val="20"/>
        </w:rPr>
        <w:t xml:space="preserve">积极: </w:t>
      </w:r>
      <w:r>
        <w:rPr>
          <w:rFonts w:ascii="宋体" w:hAnsi="宋体" w:eastAsia="宋体"/>
          <w:sz w:val="20"/>
        </w:rPr>
        <w:t>在手订单同比翻倍至22亿美元，提供极高收入可见度。客户在Neutron首飞前即预订发射——这是市场信心的有力证明。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b/>
          <w:sz w:val="20"/>
        </w:rPr>
        <w:t xml:space="preserve">积极: </w:t>
      </w:r>
      <w:r>
        <w:rPr>
          <w:rFonts w:ascii="宋体" w:hAnsi="宋体" w:eastAsia="宋体"/>
          <w:sz w:val="20"/>
        </w:rPr>
        <w:t>与雷神联合入选金穹天基拦截器（SBI）示范项目，使RKLB定位于最高优先级国防项目。结合HASTE在威胁模拟中的角色，RKLB嵌入导弹防御架构的多个层面。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b/>
          <w:sz w:val="20"/>
        </w:rPr>
        <w:t xml:space="preserve">中性: </w:t>
      </w:r>
      <w:r>
        <w:rPr>
          <w:rFonts w:ascii="宋体" w:hAnsi="宋体" w:eastAsia="宋体"/>
          <w:sz w:val="20"/>
        </w:rPr>
        <w:t>Neutron首飞仍定于2026年Q4，管理层拒绝就早期或晚期Q4做进一步缩窄。Archimedes发动机热试车持续进行中；着陆驳船海试计划于2026年稍后进行。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b/>
          <w:sz w:val="20"/>
        </w:rPr>
        <w:t xml:space="preserve">消极: </w:t>
      </w:r>
      <w:r>
        <w:rPr>
          <w:rFonts w:ascii="宋体" w:hAnsi="宋体" w:eastAsia="宋体"/>
          <w:sz w:val="20"/>
        </w:rPr>
        <w:t>通过ATM增发持续摊薄（Q1融资4.5亿美元，累计4.74亿美元以上）。股份总数从Q1 2025的5.056亿增至Q1 2026的6.054亿（+20%）。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2"/>
        </w:rPr>
        <w:t>核心论点：端到端太空基础设施平台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火箭实验室正在执行一项覆盖整个太空价值链的独特垂直整合战略：(1)Electron作为全球第二高发射频率的轨道火箭（仅次于猎鹰9号）；(2)即将面世的Neutron中型运载火箭，面向星座部署和国家安全任务；(3)快速增长的太空系统业务，制造航天器、太阳能产品、星跟踪器、分离系统和光通信终端；(4)通过HASTE、SBI和SDA项目在美国导弹防御领域的战略定位。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硬件制造规模、飞行验证经验和国防合同信誉的结合创造了极高的竞争壁垒，新进入者极难复制。凭借22亿美元在手订单和超20亿美元流动性，RKLB同时拥有需求信号和财务资源来执行其多年增长计划。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2"/>
        </w:rPr>
        <w:t>并购战略：构建平台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Q1 2026继续进行补强性并购活动，强化垂直整合论点：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Mynaric AG：完成对欧洲光通信终端公司的收购，增加了对SDA和商业星座项目至关重要的星间链路能力。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Motiv Space Systems：签署收购协议，获取NASA火星毅力号传承的机器人和运动控制技术，增加太阳能阵列驱动组件和航天器机构。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2"/>
        </w:rPr>
        <w:t>风险因素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b/>
          <w:sz w:val="20"/>
        </w:rPr>
        <w:t xml:space="preserve">风险1: </w:t>
      </w:r>
      <w:r>
        <w:rPr>
          <w:rFonts w:ascii="宋体" w:hAnsi="宋体" w:eastAsia="宋体"/>
          <w:sz w:val="20"/>
        </w:rPr>
        <w:t>Neutron首飞失败或进一步延迟可能损害投资者信心和客户管线。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b/>
          <w:sz w:val="20"/>
        </w:rPr>
        <w:t xml:space="preserve">风险2: </w:t>
      </w:r>
      <w:r>
        <w:rPr>
          <w:rFonts w:ascii="宋体" w:hAnsi="宋体" w:eastAsia="宋体"/>
          <w:sz w:val="20"/>
        </w:rPr>
        <w:t>持续通过ATM增发摊薄股份（仅Q1即4.74亿美元以上）以资助Neutron和并购。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b/>
          <w:sz w:val="20"/>
        </w:rPr>
        <w:t xml:space="preserve">风险3: </w:t>
      </w:r>
      <w:r>
        <w:rPr>
          <w:rFonts w:ascii="宋体" w:hAnsi="宋体" w:eastAsia="宋体"/>
          <w:sz w:val="20"/>
        </w:rPr>
        <w:t>Q2–Q3毛利率压缩，受SDA项目爬坡和Mynaric整合影响（Q2 GAAP毛利率指引33–35%）。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b/>
          <w:sz w:val="20"/>
        </w:rPr>
        <w:t xml:space="preserve">风险4: </w:t>
      </w:r>
      <w:r>
        <w:rPr>
          <w:rFonts w:ascii="宋体" w:hAnsi="宋体" w:eastAsia="宋体"/>
          <w:sz w:val="20"/>
        </w:rPr>
        <w:t>来自SpaceX星舰（中重型发射）及新兴小型运载火箭竞争对手的竞争压力。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b/>
          <w:sz w:val="20"/>
        </w:rPr>
        <w:t xml:space="preserve">风险5: </w:t>
      </w:r>
      <w:r>
        <w:rPr>
          <w:rFonts w:ascii="宋体" w:hAnsi="宋体" w:eastAsia="宋体"/>
          <w:sz w:val="20"/>
        </w:rPr>
        <w:t>持续的负自由现金流——Q1 2026自由现金流约为($77.4M)。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2"/>
        </w:rPr>
        <w:t>催化剂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Neutron首飞（目标Q4 2026）——最重要的估值重估催化剂。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纳入纳斯达克100指数（2026年6月22日生效）——预计将带来被动基金增量资金流入。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金穹/SBI项目进入示范阶段后的额外合同授予。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季度EBITDA盈利里程碑（按当前改善轨迹，可能在Q3或Q4 2026实现）。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Electron助推器复用验证——将在结构性降低单位成本的同时加速毛利率扩张。</w:t>
      </w:r>
    </w:p>
    <w:p>
      <w:r>
        <w:br w:type="page"/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6"/>
        </w:rPr>
        <w:t>估值与预测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2"/>
        </w:rPr>
        <w:t>同比营收增速重新加速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83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lb_chart2_yoy_grow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8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i/>
          <w:color w:val="8C8C8C"/>
          <w:sz w:val="17"/>
        </w:rPr>
        <w:t>图10：季度同比营收增长率 | 数据来源：火箭实验室财报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2"/>
        </w:rPr>
        <w:t>更新后的预测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基于Q1强劲业绩及超预期Q2指引，我们上调FY2026E营收预测至9.4亿美元（此前8.85亿美元）。同时上调FY2027E预测至12.5亿美元，反映Neutron从2027年下半年开始贡献收入。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3A6B" w:val="clea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1568"/>
            <w:shd w:fill="1B3A6B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FY2024A</w:t>
            </w:r>
          </w:p>
        </w:tc>
        <w:tc>
          <w:tcPr>
            <w:tcW w:type="dxa" w:w="1568"/>
            <w:shd w:fill="1B3A6B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FY2025A</w:t>
            </w:r>
          </w:p>
        </w:tc>
        <w:tc>
          <w:tcPr>
            <w:tcW w:type="dxa" w:w="1568"/>
            <w:shd w:fill="1B3A6B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FY2026E（新）</w:t>
            </w:r>
          </w:p>
        </w:tc>
        <w:tc>
          <w:tcPr>
            <w:tcW w:type="dxa" w:w="1568"/>
            <w:shd w:fill="1B3A6B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FY2026E（旧）</w:t>
            </w:r>
          </w:p>
        </w:tc>
        <w:tc>
          <w:tcPr>
            <w:tcW w:type="dxa" w:w="1568"/>
            <w:shd w:fill="1B3A6B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FY2027E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>
              <w:t>营收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$436.2M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$601.8M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$940M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$885M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$1.25B</w:t>
            </w:r>
          </w:p>
        </w:tc>
      </w:tr>
      <w:tr>
        <w:tc>
          <w:tcPr>
            <w:tcW w:type="dxa" w:w="1568"/>
            <w:shd w:fill="EBF5FB" w:val="clear"/>
          </w:tcPr>
          <w:p>
            <w:pPr>
              <w:jc w:val="left"/>
            </w:pPr>
            <w:r>
              <w:t>同比增速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>
              <w:t>+78%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>
              <w:t>+38%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>
              <w:t>+56%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>
              <w:t>+47%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>
              <w:t>+33%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>
              <w:t>GAAP毛利率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~27%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~34%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~35%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~37%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~38%</w:t>
            </w:r>
          </w:p>
        </w:tc>
      </w:tr>
      <w:tr>
        <w:tc>
          <w:tcPr>
            <w:tcW w:type="dxa" w:w="1568"/>
            <w:shd w:fill="EBF5FB" w:val="clear"/>
          </w:tcPr>
          <w:p>
            <w:pPr>
              <w:jc w:val="left"/>
            </w:pPr>
            <w:r>
              <w:t>调整后EBITDA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>
              <w:t>($91M)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>
              <w:t>($101M)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>
              <w:t>($30M)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>
              <w:t>盈亏平衡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>
              <w:t>$50M+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>
              <w:t>GAAP每股收益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($0.42)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($0.37)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($0.22)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($0.25)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($0.08)</w:t>
            </w:r>
          </w:p>
        </w:tc>
      </w:tr>
      <w:tr>
        <w:tc>
          <w:tcPr>
            <w:tcW w:type="dxa" w:w="1568"/>
            <w:shd w:fill="EBF5FB" w:val="clear"/>
          </w:tcPr>
          <w:p>
            <w:pPr>
              <w:jc w:val="left"/>
            </w:pPr>
            <w:r>
              <w:t>Electron发射数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>
              <w:t>~26–28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>
              <w:t>~24–26</w:t>
            </w:r>
          </w:p>
        </w:tc>
        <w:tc>
          <w:tcPr>
            <w:tcW w:type="dxa" w:w="1568"/>
            <w:shd w:fill="EBF5FB" w:val="clear"/>
          </w:tcPr>
          <w:p>
            <w:pPr>
              <w:jc w:val="center"/>
            </w:pPr>
            <w:r>
              <w:t>~30–34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i/>
          <w:color w:val="8C8C8C"/>
          <w:sz w:val="17"/>
        </w:rPr>
        <w:t>数据来源：火箭实验室财务报告（A=实际值），分析师预测（E）。旧预测来自2026年2月Q4 FY2025业绩更新报告。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2"/>
        </w:rPr>
        <w:t>估值框架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以当前股价$105.63计算，火箭实验室约以7.0x EV/FY2026E营收交易——该溢价反映了公司独特的竞争定位、超50%的营收增速及改善中的利润率轨迹。对于一家营收同比增长56%、EBITDA即将转正、拥有22亿美元在手订单的公司，我们认为该估值倍数相对航天及高成长工业可比公司是合理的。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我们的12个月目标价$120基于混合估值方法：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70%权重：70x EV/FY2027E EBITDA $50M+（适用于向盈利过渡的高成长航天公司）</w:t>
      </w:r>
    </w:p>
    <w:p>
      <w:pPr>
        <w:pStyle w:val="ListBullet"/>
        <w:spacing w:after="60"/>
        <w:ind w:left="360"/>
      </w:pPr>
      <w:r>
        <w:rPr>
          <w:rFonts w:ascii="宋体" w:hAnsi="宋体" w:eastAsia="宋体"/>
          <w:sz w:val="20"/>
        </w:rPr>
        <w:t>30%权重：50x EV/FY2026E营收$940M（成长溢价倍数）</w:t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2"/>
        </w:rPr>
        <w:t>情景分析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6B" w:val="clea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情景</w:t>
            </w:r>
          </w:p>
        </w:tc>
        <w:tc>
          <w:tcPr>
            <w:tcW w:type="dxa" w:w="1881"/>
            <w:shd w:fill="1B3A6B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估值方法</w:t>
            </w:r>
          </w:p>
        </w:tc>
        <w:tc>
          <w:tcPr>
            <w:tcW w:type="dxa" w:w="1881"/>
            <w:shd w:fill="1B3A6B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关键假设</w:t>
            </w:r>
          </w:p>
        </w:tc>
        <w:tc>
          <w:tcPr>
            <w:tcW w:type="dxa" w:w="1881"/>
            <w:shd w:fill="1B3A6B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隐含目标价</w:t>
            </w:r>
          </w:p>
        </w:tc>
        <w:tc>
          <w:tcPr>
            <w:tcW w:type="dxa" w:w="1881"/>
            <w:shd w:fill="1B3A6B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较当前</w:t>
            </w:r>
          </w:p>
        </w:tc>
      </w:tr>
      <w:tr>
        <w:tc>
          <w:tcPr>
            <w:tcW w:type="dxa" w:w="1881"/>
            <w:shd w:fill="FDFEFE" w:val="clear"/>
          </w:tcPr>
          <w:p>
            <w:pPr>
              <w:jc w:val="left"/>
            </w:pPr>
            <w:r>
              <w:t>悲观</w:t>
            </w:r>
          </w:p>
        </w:tc>
        <w:tc>
          <w:tcPr>
            <w:tcW w:type="dxa" w:w="1881"/>
            <w:shd w:fill="FDFEFE" w:val="clear"/>
          </w:tcPr>
          <w:p>
            <w:pPr>
              <w:jc w:val="center"/>
            </w:pPr>
            <w:r>
              <w:t>40x EV/FY27E EBITDA</w:t>
            </w:r>
          </w:p>
        </w:tc>
        <w:tc>
          <w:tcPr>
            <w:tcW w:type="dxa" w:w="1881"/>
            <w:shd w:fill="FDFEFE" w:val="clear"/>
          </w:tcPr>
          <w:p>
            <w:pPr>
              <w:jc w:val="center"/>
            </w:pPr>
            <w:r>
              <w:t>Neutron延至2027；利润率下滑</w:t>
            </w:r>
          </w:p>
        </w:tc>
        <w:tc>
          <w:tcPr>
            <w:tcW w:type="dxa" w:w="1881"/>
            <w:shd w:fill="FDFEFE" w:val="clear"/>
          </w:tcPr>
          <w:p>
            <w:pPr>
              <w:jc w:val="center"/>
            </w:pPr>
            <w:r>
              <w:t>~$65</w:t>
            </w:r>
          </w:p>
        </w:tc>
        <w:tc>
          <w:tcPr>
            <w:tcW w:type="dxa" w:w="1881"/>
            <w:shd w:fill="FDFEFE" w:val="clear"/>
          </w:tcPr>
          <w:p>
            <w:pPr>
              <w:jc w:val="center"/>
            </w:pPr>
            <w:r>
              <w:t>下行风险</w:t>
            </w:r>
          </w:p>
        </w:tc>
      </w:tr>
      <w:tr>
        <w:tc>
          <w:tcPr>
            <w:tcW w:type="dxa" w:w="1881"/>
            <w:shd w:fill="EBF5FB" w:val="clear"/>
          </w:tcPr>
          <w:p>
            <w:pPr>
              <w:jc w:val="left"/>
            </w:pPr>
            <w:r>
              <w:t>基准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混合方法（上述）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Neutron Q4'26；$940M营收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$120</w:t>
            </w:r>
          </w:p>
        </w:tc>
        <w:tc>
          <w:tcPr>
            <w:tcW w:type="dxa" w:w="1881"/>
            <w:shd w:fill="EBF5FB" w:val="clear"/>
          </w:tcPr>
          <w:p>
            <w:pPr>
              <w:jc w:val="center"/>
            </w:pPr>
            <w:r>
              <w:t>上行潜力</w:t>
            </w:r>
          </w:p>
        </w:tc>
      </w:tr>
      <w:tr>
        <w:tc>
          <w:tcPr>
            <w:tcW w:type="dxa" w:w="1881"/>
            <w:shd w:fill="D5F5E3" w:val="clear"/>
          </w:tcPr>
          <w:p>
            <w:pPr>
              <w:jc w:val="left"/>
            </w:pPr>
            <w:r>
              <w:t>乐观</w:t>
            </w:r>
          </w:p>
        </w:tc>
        <w:tc>
          <w:tcPr>
            <w:tcW w:type="dxa" w:w="1881"/>
            <w:shd w:fill="D5F5E3" w:val="clear"/>
          </w:tcPr>
          <w:p>
            <w:pPr>
              <w:jc w:val="center"/>
            </w:pPr>
            <w:r>
              <w:t>80x EV/FY27E EBITDA</w:t>
            </w:r>
          </w:p>
        </w:tc>
        <w:tc>
          <w:tcPr>
            <w:tcW w:type="dxa" w:w="1881"/>
            <w:shd w:fill="D5F5E3" w:val="clear"/>
          </w:tcPr>
          <w:p>
            <w:pPr>
              <w:jc w:val="center"/>
            </w:pPr>
            <w:r>
              <w:t>Neutron准时；FY26&gt;$1B；新合同</w:t>
            </w:r>
          </w:p>
        </w:tc>
        <w:tc>
          <w:tcPr>
            <w:tcW w:type="dxa" w:w="1881"/>
            <w:shd w:fill="D5F5E3" w:val="clear"/>
          </w:tcPr>
          <w:p>
            <w:pPr>
              <w:jc w:val="center"/>
            </w:pPr>
            <w:r>
              <w:t>~$160</w:t>
            </w:r>
          </w:p>
        </w:tc>
        <w:tc>
          <w:tcPr>
            <w:tcW w:type="dxa" w:w="1881"/>
            <w:shd w:fill="D5F5E3" w:val="clear"/>
          </w:tcPr>
          <w:p>
            <w:pPr>
              <w:jc w:val="center"/>
            </w:pPr>
            <w:r>
              <w:t>显著上行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color w:val="27AE60"/>
          <w:sz w:val="24"/>
        </w:rPr>
        <w:t xml:space="preserve">  维持买入评级  |  目标价：$120.00  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Q1 2026是火箭实验室的里程碑季度——公司首次实现单季2亿美元营收，所有指标超预期，股价首次突破100美元。22亿美元在手订单、不断扩大的国防定位（金穹/SBI、HASTE）以及即将到来的纳斯达克100纳入均支持建设性展望。尽管估值较高且Neutron执行风险犹存，我们认为加速增长、毛利率扩张及战略定位的组合证明了维持买入评级的合理性。我们将目标价从此前的$35上调至$120，以反映大幅改善的业务规模和市场定位。</w:t>
      </w:r>
    </w:p>
    <w:p>
      <w:r>
        <w:br w:type="page"/>
      </w:r>
    </w:p>
    <w:p>
      <w:pPr>
        <w:spacing w:before="280" w:after="80"/>
        <w:jc w:val="left"/>
        <w:pBdr>
          <w:bottom w:val="single" w:sz="6" w:space="4" w:color="1B3A6B"/>
        </w:pBdr>
      </w:pPr>
      <w:r>
        <w:rPr>
          <w:rFonts w:ascii="黑体" w:hAnsi="黑体" w:eastAsia="黑体"/>
          <w:b/>
          <w:color w:val="1B3A6B"/>
          <w:sz w:val="26"/>
        </w:rPr>
        <w:t>资料来源</w:t>
      </w:r>
    </w:p>
    <w:p>
      <w:pPr>
        <w:pStyle w:val="ListBullet"/>
        <w:spacing w:after="60"/>
        <w:ind w:left="360"/>
      </w:pPr>
      <w:hyperlink r:id="rId19">
        <w:r>
          <w:rPr>
            <w:color w:val="4A90D9"/>
            <w:u w:val="single"/>
          </w:rPr>
          <w:t>火箭实验室Q1 FY2026业绩新闻稿（2026年5月7日）</w:t>
        </w:r>
      </w:hyperlink>
    </w:p>
    <w:p>
      <w:pPr>
        <w:pStyle w:val="ListBullet"/>
        <w:spacing w:after="60"/>
        <w:ind w:left="360"/>
      </w:pPr>
      <w:hyperlink r:id="rId20">
        <w:r>
          <w:rPr>
            <w:color w:val="4A90D9"/>
            <w:u w:val="single"/>
          </w:rPr>
          <w:t>火箭实验室 Form 8-K Q1 2026（SEC EDGAR，2026年5月7日）</w:t>
        </w:r>
      </w:hyperlink>
    </w:p>
    <w:p>
      <w:pPr>
        <w:pStyle w:val="ListBullet"/>
        <w:spacing w:after="60"/>
        <w:ind w:left="360"/>
      </w:pPr>
      <w:hyperlink r:id="rId21">
        <w:r>
          <w:rPr>
            <w:color w:val="4A90D9"/>
            <w:u w:val="single"/>
          </w:rPr>
          <w:t>火箭实验室 Form 10-Q Q1 2026（SEC EDGAR，截至2026年3月31日）</w:t>
        </w:r>
      </w:hyperlink>
    </w:p>
    <w:p>
      <w:pPr>
        <w:pStyle w:val="ListBullet"/>
        <w:spacing w:after="60"/>
        <w:ind w:left="360"/>
      </w:pPr>
      <w:hyperlink r:id="rId22">
        <w:r>
          <w:rPr>
            <w:color w:val="4A90D9"/>
            <w:u w:val="single"/>
          </w:rPr>
          <w:t>火箭实验室Q1 2026业绩电话会议纪要（Seeking Alpha，2026年5月7日）</w:t>
        </w:r>
      </w:hyperlink>
    </w:p>
    <w:p>
      <w:pPr>
        <w:pStyle w:val="ListBullet"/>
        <w:spacing w:after="60"/>
        <w:ind w:left="360"/>
      </w:pPr>
      <w:hyperlink r:id="rId23">
        <w:r>
          <w:rPr>
            <w:color w:val="4A90D9"/>
            <w:u w:val="single"/>
          </w:rPr>
          <w:t>火箭实验室Q1 2026业绩电话会议纪要（Motley Fool，2026年5月8日）</w:t>
        </w:r>
      </w:hyperlink>
    </w:p>
    <w:p>
      <w:pPr>
        <w:pStyle w:val="ListBullet"/>
        <w:spacing w:after="60"/>
        <w:ind w:left="360"/>
      </w:pPr>
      <w:hyperlink r:id="rId24">
        <w:r>
          <w:rPr>
            <w:color w:val="4A90D9"/>
            <w:u w:val="single"/>
          </w:rPr>
          <w:t>RKLB Q1 2026业绩分析（CNBC，2026年5月8日）</w:t>
        </w:r>
      </w:hyperlink>
    </w:p>
    <w:p>
      <w:pPr>
        <w:pStyle w:val="ListBullet"/>
        <w:spacing w:after="60"/>
        <w:ind w:left="360"/>
      </w:pPr>
      <w:hyperlink r:id="rId25">
        <w:r>
          <w:rPr>
            <w:color w:val="4A90D9"/>
            <w:u w:val="single"/>
          </w:rPr>
          <w:t>火箭实验室Q4及FY2025业绩新闻稿（2026年2月26日）——上季度参考</w:t>
        </w:r>
      </w:hyperlink>
    </w:p>
    <w:p>
      <w:pPr>
        <w:pStyle w:val="ListBullet"/>
        <w:spacing w:after="60"/>
        <w:ind w:left="360"/>
      </w:pPr>
      <w:hyperlink r:id="rId26">
        <w:r>
          <w:rPr>
            <w:color w:val="4A90D9"/>
            <w:u w:val="single"/>
          </w:rPr>
          <w:t>RKLB营收历史数据（StockAnalysis.com）</w:t>
        </w:r>
      </w:hyperlink>
    </w:p>
    <w:p>
      <w:pPr>
        <w:pStyle w:val="ListBullet"/>
        <w:spacing w:after="60"/>
        <w:ind w:left="360"/>
      </w:pPr>
      <w:hyperlink r:id="rId27">
        <w:r>
          <w:rPr>
            <w:color w:val="4A90D9"/>
            <w:u w:val="single"/>
          </w:rPr>
          <w:t>市场数据：yfinance（报告生成时实时获取）</w:t>
        </w:r>
      </w:hyperlink>
    </w:p>
    <w:p/>
    <w:p>
      <w:pPr>
        <w:spacing w:after="80"/>
      </w:pPr>
      <w:r>
        <w:rPr>
          <w:rFonts w:ascii="宋体" w:hAnsi="宋体" w:eastAsia="宋体"/>
          <w:b w:val="0"/>
          <w:i/>
          <w:color w:val="8C8C8C"/>
          <w:sz w:val="17"/>
        </w:rPr>
        <w:t>分析师一致预期：Bloomberg / FactSet / LSEG，截至2026年5月7日盘前。标注"E"为分析师预测。目标价与评级为分析师独立评估。</w:t>
      </w:r>
    </w:p>
    <w:p>
      <w:pPr>
        <w:spacing w:after="80"/>
      </w:pPr>
      <w:r>
        <w:rPr>
          <w:rFonts w:ascii="宋体" w:hAnsi="宋体" w:eastAsia="宋体"/>
          <w:b w:val="0"/>
          <w:i/>
          <w:color w:val="8C8C8C"/>
          <w:sz w:val="17"/>
        </w:rPr>
        <w:t>免责声明：本报告仅供参考，不构成投资建议。分析师及机构未持有RKLB仓位。过往表现不代表未来收益。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investors.rocketlabcorp.com/news-releases/news-release-details/rocket-lab-announces-first-quarter-2026-financial-results" TargetMode="External"/><Relationship Id="rId20" Type="http://schemas.openxmlformats.org/officeDocument/2006/relationships/hyperlink" Target="https://www.sec.gov/Archives/edgar/data/0001819994/000181999426000027/rklb-05072026ex991.htm" TargetMode="External"/><Relationship Id="rId21" Type="http://schemas.openxmlformats.org/officeDocument/2006/relationships/hyperlink" Target="https://www.sec.gov/Archives/edgar/data/0001819994/000181999426000028/rklb-20260331.htm" TargetMode="External"/><Relationship Id="rId22" Type="http://schemas.openxmlformats.org/officeDocument/2006/relationships/hyperlink" Target="https://seekingalpha.com/article/4901108-rocket-lab-corporation-rklb-q1-2026-earnings-call-transcript" TargetMode="External"/><Relationship Id="rId23" Type="http://schemas.openxmlformats.org/officeDocument/2006/relationships/hyperlink" Target="https://www.fool.com/earnings/call-transcripts/2026/05/08/rocket-lab-rklb-q1-2026-earnings-transcript/" TargetMode="External"/><Relationship Id="rId24" Type="http://schemas.openxmlformats.org/officeDocument/2006/relationships/hyperlink" Target="https://www.cnbc.com/2026/05/08/rocket-lab-rklb-q1-earnings-2026.html" TargetMode="External"/><Relationship Id="rId25" Type="http://schemas.openxmlformats.org/officeDocument/2006/relationships/hyperlink" Target="https://www.sec.gov/Archives/edgar/data/0001819994/000181999426000012/rklb-02262026ex991.htm" TargetMode="External"/><Relationship Id="rId26" Type="http://schemas.openxmlformats.org/officeDocument/2006/relationships/hyperlink" Target="https://stockanalysis.com/stocks/rklb/revenue/" TargetMode="External"/><Relationship Id="rId27" Type="http://schemas.openxmlformats.org/officeDocument/2006/relationships/hyperlink" Target="https://finance.yahoo.com/quote/RKL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