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36"/>
        </w:rPr>
        <w:t>MiniMax Group Inc.（稀宇科技，0100.HK）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66CC"/>
          <w:sz w:val="28"/>
        </w:rPr>
        <w:t>FY2025年度业绩更新报告</w:t>
      </w:r>
    </w:p>
    <w:p>
      <w:pPr>
        <w:spacing w:before="40" w:after="40"/>
      </w:pPr>
      <w:r>
        <w:rPr>
          <w:rFonts w:ascii="Times New Roman" w:hAnsi="Times New Roman" w:eastAsia="宋体"/>
          <w:b/>
          <w:i w:val="0"/>
          <w:color w:val="003366"/>
          <w:sz w:val="20"/>
        </w:rPr>
        <w:t>评级：买入  |  目标价：HK$1,100  |  现价：HK$768.5  |  市值：约US$30.9B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/>
          <w:color w:val="444444"/>
          <w:sz w:val="18"/>
        </w:rPr>
        <w:t>行业：科技——AI基础模型  |  交易所：香港交易所  |  报告日期：2026年3月2日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核心要点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收入同比大增158.9%至7,900万美元，超出市场一致预期约11%，海外收入占比提升至73%，全球化战略成效显著。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毛利率从12.2%大幅提升至25.4%（提升13.2个百分点），反映模型推理效率优化和云基础设施成本下降。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Q4 2025收入约2,600万美元（同比+131%），超高盛预期19%；调整后净亏损6,500万美元，较预期的1.3亿美元大幅收窄50%。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销售费用逆势下降40.3%至5,190万美元，在收入近翻三倍的背景下实现，体现产品驱动增长的强劲势头。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截至2026年2月，年化经常性收入（ARR）突破1.5亿美元，暗示2026年收入有望大幅超出市场预期。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现金储备增至10.5亿美元（+19.3%），按当前调整后亏损率计算，可支撑约4.2年运营。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业绩概览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FY2025实际</w:t>
            </w:r>
          </w:p>
        </w:tc>
        <w:tc>
          <w:tcPr>
            <w:tcW w:type="dxa" w:w="1701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FY2024实际</w:t>
            </w:r>
          </w:p>
        </w:tc>
        <w:tc>
          <w:tcPr>
            <w:tcW w:type="dxa" w:w="1417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同比变动</w:t>
            </w:r>
          </w:p>
        </w:tc>
        <w:tc>
          <w:tcPr>
            <w:tcW w:type="dxa" w:w="1417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对比一致预期</w:t>
            </w:r>
          </w:p>
        </w:tc>
      </w:tr>
      <w:tr>
        <w:tc>
          <w:tcPr>
            <w:tcW w:type="dxa" w:w="1984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收入</w:t>
            </w:r>
          </w:p>
        </w:tc>
        <w:tc>
          <w:tcPr>
            <w:tcW w:type="dxa" w:w="1701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7,900万美元</w:t>
            </w:r>
          </w:p>
        </w:tc>
        <w:tc>
          <w:tcPr>
            <w:tcW w:type="dxa" w:w="1701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3,050万美元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+158.9%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超出约11%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毛利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2,010万美元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374万美元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+437.2%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超出</w:t>
            </w:r>
          </w:p>
        </w:tc>
      </w:tr>
      <w:tr>
        <w:tc>
          <w:tcPr>
            <w:tcW w:type="dxa" w:w="1984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毛利率</w:t>
            </w:r>
          </w:p>
        </w:tc>
        <w:tc>
          <w:tcPr>
            <w:tcW w:type="dxa" w:w="1701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25.4%</w:t>
            </w:r>
          </w:p>
        </w:tc>
        <w:tc>
          <w:tcPr>
            <w:tcW w:type="dxa" w:w="1701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12.2%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+13.2pp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超出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调整后净亏损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(2.509亿美元)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(2.442亿美元)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+2.7%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基本持平</w:t>
            </w:r>
          </w:p>
        </w:tc>
      </w:tr>
      <w:tr>
        <w:tc>
          <w:tcPr>
            <w:tcW w:type="dxa" w:w="1984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研发支出</w:t>
            </w:r>
          </w:p>
        </w:tc>
        <w:tc>
          <w:tcPr>
            <w:tcW w:type="dxa" w:w="1701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2.528亿美元</w:t>
            </w:r>
          </w:p>
        </w:tc>
        <w:tc>
          <w:tcPr>
            <w:tcW w:type="dxa" w:w="1701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1.890亿美元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+33.8%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——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现金储备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10.503亿美元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8.806亿美元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+19.3%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——</w:t>
            </w:r>
          </w:p>
        </w:tc>
      </w:tr>
    </w:tbl>
    <w:p>
      <w:pPr>
        <w:spacing w:before="40" w:after="40"/>
      </w:pPr>
      <w:r>
        <w:rPr>
          <w:rFonts w:ascii="Times New Roman" w:hAnsi="Times New Roman" w:eastAsia="宋体"/>
          <w:b w:val="0"/>
          <w:i/>
          <w:color w:val="444444"/>
          <w:sz w:val="16"/>
        </w:rPr>
        <w:t>数据来源：MiniMax FY2025年度业绩公告（2026年3月2日）；高盛一致预期。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8"/>
        </w:rPr>
        <w:t>详细业绩分析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收入表现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MiniMax FY2025全年实现收入7,900万美元，同比增长158.9%，较FY2024的3,050万美元大幅增长。这是公司自2026年1月9日在港交所上市以来发布的首份年度报告。业绩超出中金公司预期约11%，验证了AI基础模型平台的强劲商业化势头。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两大业务板块均实现高速增长：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AI原生产品（Talkie/星野、Hailuo AI）：收入增长143.4%至5,310万美元（占收入67.2%），受益于累计用户突破2.36亿、覆盖200+国家和地区的快速增长。截至2025年9月，月活用户约2,760万。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开放平台及企业服务：收入飙升197.8%至2,600万美元（占收入32.8%），企业客户和开发者超过21.4万家，遍布100+国家。MiniMax-M2成为OpenRouter平台上首个日处理Token超500亿的中国模型。</w:t>
      </w:r>
    </w:p>
    <w:p>
      <w:r>
        <w:drawing>
          <wp:inline xmlns:a="http://schemas.openxmlformats.org/drawingml/2006/main" xmlns:pic="http://schemas.openxmlformats.org/drawingml/2006/picture">
            <wp:extent cx="5029200" cy="28425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max_chart1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2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444444"/>
          <w:sz w:val="16"/>
        </w:rPr>
        <w:t>图1：年度收入增长趋势。数据来源：公司公告。</w:t>
      </w:r>
    </w:p>
    <w:p>
      <w:r>
        <w:drawing>
          <wp:inline xmlns:a="http://schemas.openxmlformats.org/drawingml/2006/main" xmlns:pic="http://schemas.openxmlformats.org/drawingml/2006/picture">
            <wp:extent cx="5029200" cy="28425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max_chart2_seg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2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444444"/>
          <w:sz w:val="16"/>
        </w:rPr>
        <w:t>图2：收入结构——按业务板块。数据来源：公司公告。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地域多元化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海外市场贡献了FY2025收入的73.0%（较FY2024的69.8%进一步提升），这对于一家中国AI公司而言是极为突出的成就。全球化布局大幅降低了中国特有的监管和地缘政治风险，也体现了MiniMax旗下Talkie（AI社交陪伴）和Hailuo AI（视频生成）等消费级AI产品的全球吸引力。公司产品已覆盖超过200个国家和地区。</w:t>
      </w:r>
    </w:p>
    <w:p>
      <w:r>
        <w:drawing>
          <wp:inline xmlns:a="http://schemas.openxmlformats.org/drawingml/2006/main" xmlns:pic="http://schemas.openxmlformats.org/drawingml/2006/picture">
            <wp:extent cx="5029200" cy="27919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max_chart6_ge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1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444444"/>
          <w:sz w:val="16"/>
        </w:rPr>
        <w:t>图3：收入地域分布。数据来源：公司公告。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8"/>
        </w:rPr>
        <w:t>关键指标与利润率分析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毛利率扩张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毛利率大幅提升13.2个百分点至25.4%，为MiniMax历史上最重要的盈利能力里程碑。毛利增长437.2%至2,010万美元。改善主要受益于：（1）自研Lightning Attention架构优化模型推理成本；（2）云基础设施利用率提升；（3）收入规模增长摊薄固定服务器成本。毛利率从FY2023的负值，到FY2024的12.2%，再到FY2025的25.4%，展现了清晰的长期盈利路径。</w:t>
      </w:r>
    </w:p>
    <w:p>
      <w:r>
        <w:drawing>
          <wp:inline xmlns:a="http://schemas.openxmlformats.org/drawingml/2006/main" xmlns:pic="http://schemas.openxmlformats.org/drawingml/2006/picture">
            <wp:extent cx="5029200" cy="28425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max_chart3_mar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2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444444"/>
          <w:sz w:val="16"/>
        </w:rPr>
        <w:t>图4：毛利率趋势。数据来源：公司公告。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运营费用控制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总运营费用相对收入增长呈现良好的成本纪律：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研发支出：增长33.8%至2.528亿美元，研发强度（研发/收入）从619%降至320%，收入增速远超研发增速。428人团队持续推进文本、视频、语音、音乐的多模态AI能力。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销售及分销费用：大幅下降40.3%至5,190万美元（FY2024为8,700万美元），在收入增长159%的背景下实现逆势缩减，表明产品驱动的有机增长模式已经跑通，对付费获客的依赖大幅降低。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行政费用：增长155.9%至3,680万美元，主要由IPO相关专业费用和上市公司合规成本驱动——属一次性阶梯式增加，预计后续将回归正常。</w:t>
      </w:r>
    </w:p>
    <w:p>
      <w:r>
        <w:drawing>
          <wp:inline xmlns:a="http://schemas.openxmlformats.org/drawingml/2006/main" xmlns:pic="http://schemas.openxmlformats.org/drawingml/2006/picture">
            <wp:extent cx="5029200" cy="28453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max_chart4_ope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444444"/>
          <w:sz w:val="16"/>
        </w:rPr>
        <w:t>图5：运营费用结构。数据来源：公司公告。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调整后净亏损与现金消耗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调整后净亏损为2.509亿美元，与FY2024的2.442亿美元基本持平。GAAP净亏损扩大至18.716亿美元，主要因可转换优先股公允价值重估产生15.899亿美元非现金损失（该等优先股已于2026年1月上市时转换为普通股）。值得注意的是，Q4 2025调整后净亏损约6,500万美元，较高盛预期的1.3亿美元大幅收窄50%，显示下半年费用效率显著改善。</w:t>
      </w:r>
    </w:p>
    <w:p>
      <w:r>
        <w:drawing>
          <wp:inline xmlns:a="http://schemas.openxmlformats.org/drawingml/2006/main" xmlns:pic="http://schemas.openxmlformats.org/drawingml/2006/picture">
            <wp:extent cx="5029200" cy="28453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max_chart5_adj_lo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444444"/>
          <w:sz w:val="16"/>
        </w:rPr>
        <w:t>图6：调整后净亏损趋势。数据来源：公司公告。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8"/>
        </w:rPr>
        <w:t>投资论点更新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1A6B3A"/>
          <w:sz w:val="26"/>
        </w:rPr>
        <w:t>变化要点——论点影响：正面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MiniMax首份年度报告从多个维度强化了投资论点：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收入动能加速：Q4收入约2,600万美元（同比+131%，超预期19%），加上截至2026年2月ARR突破1.5亿美元，暗示FY2026收入有望大幅超出高盛2.5亿美元的预期。收入曲线呈加速上行态势。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利润率改善超预期：25.4%的毛利率和销售费用40%的压缩证明MiniMax的单位经济模型改善速度远超同行。高盛预计2029年实现盈亏平衡，但该预测可能偏保守。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全球AI平台战略：73%的海外收入占比使MiniMax堪称全球化程度最高的中国AI基础模型公司，在与OpenAI、Anthropic、Google的全球竞争格局中占据独特定位。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模型竞争力：M2.5（2026年2月发布）编程基准测试成绩达80.2%，逼近Claude Opus 4.6的80.8%，验证了MiniMax在前沿AI技术层面的实力。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充裕的现金储备：10.503亿美元的总流动性按当前调整后亏损率可支撑4年以上运营，有效消除近期稀释风险。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CC0000"/>
          <w:sz w:val="26"/>
        </w:rPr>
        <w:t>主要风险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盈利时间表：调整后净亏损仍高达2.509亿美元。高盛预计2029年实现盈亏平衡——若时间推迟将对股价形成压力。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竞争激烈：AI基础模型领域竞争异常激烈。OpenAI、Google、Anthropic在资源和企业渠道方面拥有显著优势。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监管风险：作为全球运营的中国AI公司，MiniMax面临地缘政治逆风、出口限制和数据主权法规的潜在影响。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客户集中度：消费产品（Talkie、Hailuo）主导收入，企业端收入仅2,600万美元，尚处早期。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资产负债率：FY2025末攀升至343.3%（FY2024末为187.8%），主因优先股负债（已于上市时转换），但仍需持续关注。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催化剂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MiniMax-M3模型发布（预计2026年下半年）——模型能力的阶梯式跃升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Hailuo-03新一代视频模型：端到端原生多模态架构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企业平台收入拐点——管理层定位"AI时代的平台型公司"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潜在纳入港股通——释放内地投资者资金流入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Q1 2026业绩发布（预计2026年6月）——首份上市后季度报告，ARR验证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8"/>
        </w:rPr>
        <w:t>估值与预测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收入预测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</w:r>
          </w:p>
        </w:tc>
        <w:tc>
          <w:tcPr>
            <w:tcW w:type="dxa" w:w="1417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FY2024实际</w:t>
            </w:r>
          </w:p>
        </w:tc>
        <w:tc>
          <w:tcPr>
            <w:tcW w:type="dxa" w:w="1417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FY2025实际</w:t>
            </w:r>
          </w:p>
        </w:tc>
        <w:tc>
          <w:tcPr>
            <w:tcW w:type="dxa" w:w="1417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FY2026预测</w:t>
            </w:r>
          </w:p>
        </w:tc>
        <w:tc>
          <w:tcPr>
            <w:tcW w:type="dxa" w:w="1417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FY2027预测</w:t>
            </w:r>
          </w:p>
        </w:tc>
      </w:tr>
      <w:tr>
        <w:tc>
          <w:tcPr>
            <w:tcW w:type="dxa" w:w="2268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收入（百万美元）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30.5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79.0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250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980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同比增速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+323%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+158.9%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+216%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+292%</w:t>
            </w:r>
          </w:p>
        </w:tc>
      </w:tr>
      <w:tr>
        <w:tc>
          <w:tcPr>
            <w:tcW w:type="dxa" w:w="2268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毛利率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12.2%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25.4%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约32%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约40%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调整后净亏损（百万美元）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(244.2)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(250.9)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约(200)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约(100)</w:t>
            </w:r>
          </w:p>
        </w:tc>
      </w:tr>
      <w:tr>
        <w:tc>
          <w:tcPr>
            <w:tcW w:type="dxa" w:w="2268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ARR（百万美元）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N/A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N/A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&gt;150（2026.2月）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待定</w:t>
            </w:r>
          </w:p>
        </w:tc>
      </w:tr>
    </w:tbl>
    <w:p>
      <w:pPr>
        <w:spacing w:before="40" w:after="40"/>
      </w:pPr>
      <w:r>
        <w:rPr>
          <w:rFonts w:ascii="Times New Roman" w:hAnsi="Times New Roman" w:eastAsia="宋体"/>
          <w:b w:val="0"/>
          <w:i/>
          <w:color w:val="444444"/>
          <w:sz w:val="16"/>
        </w:rPr>
        <w:t>数据来源：FY2024-2025实际数据来自公司公告；FY2026-2027预测基于高盛研报（2026年3月）。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估值框架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鉴于MiniMax尚未实现盈利，我们主要采用基于收入的估值方法：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当前市值：按HK$768.5计算约US$30.9B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EV/收入（FY2026E）：基于2.5亿美元收入预测，隐含的估值倍数与高增长AI同行一致。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高盛预计MiniMax全球市场份额将从2026年的0.3%扩大至2030年的2.5%，2029年实现盈亏平衡。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公司股价自HK$165的IPO价格上涨约366%至约HK$768，反映投资者对AI基础设施标的的强烈需求。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分析师一致预期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分析师</w:t>
            </w:r>
          </w:p>
        </w:tc>
        <w:tc>
          <w:tcPr>
            <w:tcW w:type="dxa" w:w="1417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评级</w:t>
            </w:r>
          </w:p>
        </w:tc>
        <w:tc>
          <w:tcPr>
            <w:tcW w:type="dxa" w:w="1984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目标价（港元）</w:t>
            </w:r>
          </w:p>
        </w:tc>
        <w:tc>
          <w:tcPr>
            <w:tcW w:type="dxa" w:w="1701"/>
            <w:shd w:val="clear" w:color="auto" w:fill="00336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隐含上行空间</w:t>
            </w:r>
          </w:p>
        </w:tc>
      </w:tr>
      <w:tr>
        <w:tc>
          <w:tcPr>
            <w:tcW w:type="dxa" w:w="2268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高盛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中性</w:t>
            </w:r>
          </w:p>
        </w:tc>
        <w:tc>
          <w:tcPr>
            <w:tcW w:type="dxa" w:w="1984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1,018</w:t>
            </w:r>
          </w:p>
        </w:tc>
        <w:tc>
          <w:tcPr>
            <w:tcW w:type="dxa" w:w="1701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+32%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中金公司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跑赢行业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1,109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+44%</w:t>
            </w:r>
          </w:p>
        </w:tc>
      </w:tr>
      <w:tr>
        <w:tc>
          <w:tcPr>
            <w:tcW w:type="dxa" w:w="2268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国泰海通国际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增持</w:t>
            </w:r>
          </w:p>
        </w:tc>
        <w:tc>
          <w:tcPr>
            <w:tcW w:type="dxa" w:w="1984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1,012</w:t>
            </w:r>
          </w:p>
        </w:tc>
        <w:tc>
          <w:tcPr>
            <w:tcW w:type="dxa" w:w="1701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+32%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东吴证券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买入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1,100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+43%</w:t>
            </w:r>
          </w:p>
        </w:tc>
      </w:tr>
      <w:tr>
        <w:tc>
          <w:tcPr>
            <w:tcW w:type="dxa" w:w="2268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一致预期（12位分析师）</w:t>
            </w:r>
          </w:p>
        </w:tc>
        <w:tc>
          <w:tcPr>
            <w:tcW w:type="dxa" w:w="1417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强烈买入</w:t>
            </w:r>
          </w:p>
        </w:tc>
        <w:tc>
          <w:tcPr>
            <w:tcW w:type="dxa" w:w="1984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1,114</w:t>
            </w:r>
          </w:p>
        </w:tc>
        <w:tc>
          <w:tcPr>
            <w:tcW w:type="dxa" w:w="1701"/>
            <w:shd w:val="clear" w:color="auto" w:fill="F2F6F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color w:val="444444"/>
                <w:sz w:val="18"/>
              </w:rPr>
              <w:t>+45%</w:t>
            </w:r>
          </w:p>
        </w:tc>
      </w:tr>
    </w:tbl>
    <w:p>
      <w:pPr>
        <w:spacing w:before="40" w:after="40"/>
      </w:pPr>
      <w:r>
        <w:rPr>
          <w:rFonts w:ascii="Times New Roman" w:hAnsi="Times New Roman" w:eastAsia="宋体"/>
          <w:b w:val="0"/>
          <w:i/>
          <w:color w:val="444444"/>
          <w:sz w:val="16"/>
        </w:rPr>
        <w:t>数据来源：Bloomberg一致预期，截至2026年5月。12位买入，0位卖出。</w:t>
      </w:r>
    </w:p>
    <w:p>
      <w:r>
        <w:drawing>
          <wp:inline xmlns:a="http://schemas.openxmlformats.org/drawingml/2006/main" xmlns:pic="http://schemas.openxmlformats.org/drawingml/2006/picture">
            <wp:extent cx="5029200" cy="28453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max_chart10_targe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444444"/>
          <w:sz w:val="16"/>
        </w:rPr>
        <w:t>图7：分析师目标价对比当前股价。数据来源：Bloomberg。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研发投入背景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MiniMax FY2025研发支出2.528亿美元（占收入320%），在中国AI行业中研发强度位居前列。虽然短期拖累盈利，但研发投入驱动的模型创新管线是商业化增长的核心引擎。研发强度从FY2024的619%大幅下降，证明收入增长远快于研发支出增速（33.8%）。</w:t>
      </w:r>
    </w:p>
    <w:p>
      <w:r>
        <w:drawing>
          <wp:inline xmlns:a="http://schemas.openxmlformats.org/drawingml/2006/main" xmlns:pic="http://schemas.openxmlformats.org/drawingml/2006/picture">
            <wp:extent cx="5029200" cy="28425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max_chart8_rd_vs_rev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2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444444"/>
          <w:sz w:val="16"/>
        </w:rPr>
        <w:t>图8：研发投入与收入对比。数据来源：公司公告。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8"/>
        </w:rPr>
        <w:t>用户数据与运营亮点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用户增长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MiniMax累计服务2.36亿+个人用户（覆盖200+国家），21.4万+企业客户和开发者（来自100+国家）。核心产品里程碑：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Talkie/星野（AI社交陪伴）：截至2025年9月月活约2,000万，为全球最受欢迎的AI陪伴应用之一。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Hailuo AI（视频生成）：月活约560万，累计生成超6亿个视频。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语音模型：累计生成超2亿小时语音内容。</w:t>
      </w:r>
    </w:p>
    <w:p>
      <w:pPr>
        <w:pStyle w:val="ListBullet"/>
        <w:spacing w:before="20" w:after="20"/>
      </w:pPr>
      <w:r>
        <w:rPr>
          <w:rFonts w:ascii="Times New Roman" w:hAnsi="Times New Roman" w:eastAsia="宋体"/>
          <w:color w:val="444444"/>
          <w:sz w:val="20"/>
        </w:rPr>
        <w:t>M2模型登录OpenRouter：成为首个在该平台日处理Token超500亿的中国模型。</w:t>
      </w:r>
    </w:p>
    <w:p>
      <w:r>
        <w:drawing>
          <wp:inline xmlns:a="http://schemas.openxmlformats.org/drawingml/2006/main" xmlns:pic="http://schemas.openxmlformats.org/drawingml/2006/picture">
            <wp:extent cx="5029200" cy="28425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max_chart7_us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2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444444"/>
          <w:sz w:val="16"/>
        </w:rPr>
        <w:t>图9：累计用户增长。数据来源：公司公告、招股书。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现金储备与资产负债表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截至2025年12月31日，总现金储备（含受限现金、定期存款及短期金融资产）为10.503亿美元，较2024年末的8.806亿美元增长19.3%。增长主要来自IPO募集资金和持续融资。按调整后年度消耗率约2.51亿美元计算，MiniMax拥有约4.2年运营跑道——远超机构投资者通常要求的2年门槛。</w:t>
      </w:r>
    </w:p>
    <w:p>
      <w:r>
        <w:drawing>
          <wp:inline xmlns:a="http://schemas.openxmlformats.org/drawingml/2006/main" xmlns:pic="http://schemas.openxmlformats.org/drawingml/2006/picture">
            <wp:extent cx="5029200" cy="28398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max_chart9_cas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444444"/>
          <w:sz w:val="16"/>
        </w:rPr>
        <w:t>图10：现金储备变化。数据来源：公司公告。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6"/>
        </w:rPr>
        <w:t>员工指标</w:t>
      </w:r>
    </w:p>
    <w:p>
      <w:pPr>
        <w:spacing w:before="40" w:after="40"/>
      </w:pPr>
      <w:r>
        <w:rPr>
          <w:rFonts w:ascii="Times New Roman" w:hAnsi="Times New Roman" w:eastAsia="宋体"/>
          <w:b w:val="0"/>
          <w:i w:val="0"/>
          <w:color w:val="444444"/>
          <w:sz w:val="20"/>
        </w:rPr>
        <w:t>MiniMax以428名全职员工的精干团队运营，FY2025人均收入约18.5万美元，人均研发支出约59.1万美元。相对于收入和模型能力而言极小的团队规模，充分体现了运营效率。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 w:eastAsia="黑体"/>
          <w:b/>
          <w:color w:val="003366"/>
          <w:sz w:val="28"/>
        </w:rPr>
        <w:t>数据来源与参考文献</w:t>
      </w:r>
    </w:p>
    <w:p>
      <w:pPr>
        <w:spacing w:before="40" w:after="40"/>
      </w:pPr>
      <w:r>
        <w:rPr>
          <w:rFonts w:ascii="Times New Roman" w:hAnsi="Times New Roman" w:eastAsia="宋体"/>
          <w:b/>
          <w:i w:val="0"/>
          <w:color w:val="444444"/>
          <w:sz w:val="20"/>
        </w:rPr>
        <w:t>业绩材料（FY2025）：</w:t>
      </w:r>
    </w:p>
    <w:p>
      <w:pPr>
        <w:spacing w:before="40" w:after="40"/>
      </w:pPr>
      <w:r>
        <w:rPr>
          <w:rFonts w:ascii="Times New Roman" w:hAnsi="Times New Roman" w:eastAsia="宋体"/>
          <w:color w:val="444444"/>
          <w:sz w:val="18"/>
        </w:rPr>
        <w:t>• MiniMax FY2025年度业绩公告（2026年3月2日）：</w:t>
      </w:r>
      <w:hyperlink r:id="rId19">
        <w:r>
          <w:rPr>
            <w:rStyle w:val="Hyperlink"/>
            <w:color w:val="0066CC"/>
            <w:u w:val="single"/>
            <w:sz w:val="20"/>
          </w:rPr>
          <w:t>MiniMax官方公告</w:t>
        </w:r>
      </w:hyperlink>
    </w:p>
    <w:p>
      <w:pPr>
        <w:spacing w:before="40" w:after="40"/>
      </w:pPr>
      <w:r>
        <w:rPr>
          <w:rFonts w:ascii="Times New Roman" w:hAnsi="Times New Roman" w:eastAsia="宋体"/>
          <w:color w:val="444444"/>
          <w:sz w:val="18"/>
        </w:rPr>
        <w:t>• PR Newswire新闻稿（2026年3月2日）：</w:t>
      </w:r>
      <w:hyperlink r:id="rId20">
        <w:r>
          <w:rPr>
            <w:rStyle w:val="Hyperlink"/>
            <w:color w:val="0066CC"/>
            <w:u w:val="single"/>
            <w:sz w:val="20"/>
          </w:rPr>
          <w:t>PR Newswire</w:t>
        </w:r>
      </w:hyperlink>
    </w:p>
    <w:p>
      <w:pPr>
        <w:spacing w:before="40" w:after="40"/>
      </w:pPr>
      <w:r>
        <w:rPr>
          <w:rFonts w:ascii="Times New Roman" w:hAnsi="Times New Roman" w:eastAsia="宋体"/>
          <w:b/>
          <w:i w:val="0"/>
          <w:color w:val="444444"/>
          <w:sz w:val="20"/>
        </w:rPr>
        <w:t>分析师研报：</w:t>
      </w:r>
    </w:p>
    <w:p>
      <w:pPr>
        <w:spacing w:before="40" w:after="40"/>
      </w:pPr>
      <w:r>
        <w:rPr>
          <w:rFonts w:ascii="Times New Roman" w:hAnsi="Times New Roman" w:eastAsia="宋体"/>
          <w:color w:val="444444"/>
          <w:sz w:val="18"/>
        </w:rPr>
        <w:t>• 高盛——MiniMax（00100.HK）Q4业绩超预期（2026年3月3日）：</w:t>
      </w:r>
      <w:hyperlink r:id="rId21">
        <w:r>
          <w:rPr>
            <w:rStyle w:val="Hyperlink"/>
            <w:color w:val="0066CC"/>
            <w:u w:val="single"/>
            <w:sz w:val="20"/>
          </w:rPr>
          <w:t>高盛研报</w:t>
        </w:r>
      </w:hyperlink>
    </w:p>
    <w:p>
      <w:pPr>
        <w:spacing w:before="40" w:after="40"/>
      </w:pPr>
      <w:r>
        <w:rPr>
          <w:rFonts w:ascii="Times New Roman" w:hAnsi="Times New Roman" w:eastAsia="宋体"/>
          <w:color w:val="444444"/>
          <w:sz w:val="18"/>
        </w:rPr>
        <w:t>• 中金公司——跑赢行业，目标价HK$1,109（2026年3月3日）：</w:t>
      </w:r>
      <w:hyperlink r:id="rId22">
        <w:r>
          <w:rPr>
            <w:rStyle w:val="Hyperlink"/>
            <w:color w:val="0066CC"/>
            <w:u w:val="single"/>
            <w:sz w:val="20"/>
          </w:rPr>
          <w:t>中金研报</w:t>
        </w:r>
      </w:hyperlink>
    </w:p>
    <w:p>
      <w:pPr>
        <w:spacing w:before="40" w:after="40"/>
      </w:pPr>
      <w:r>
        <w:rPr>
          <w:rFonts w:ascii="Times New Roman" w:hAnsi="Times New Roman" w:eastAsia="宋体"/>
          <w:b/>
          <w:i w:val="0"/>
          <w:color w:val="444444"/>
          <w:sz w:val="20"/>
        </w:rPr>
        <w:t>其他来源：</w:t>
      </w:r>
    </w:p>
    <w:p>
      <w:pPr>
        <w:spacing w:before="40" w:after="40"/>
      </w:pPr>
      <w:r>
        <w:rPr>
          <w:rFonts w:ascii="Times New Roman" w:hAnsi="Times New Roman" w:eastAsia="宋体"/>
          <w:color w:val="444444"/>
          <w:sz w:val="18"/>
        </w:rPr>
        <w:t>• Bloomberg一致预期（截至2026年5月）</w:t>
      </w:r>
    </w:p>
    <w:p>
      <w:pPr>
        <w:spacing w:before="40" w:after="40"/>
      </w:pPr>
      <w:r>
        <w:rPr>
          <w:rFonts w:ascii="Times New Roman" w:hAnsi="Times New Roman" w:eastAsia="宋体"/>
          <w:color w:val="444444"/>
          <w:sz w:val="18"/>
        </w:rPr>
        <w:t>• 市场数据：Yahoo Finance（0100.HK），通过yfinance API获取</w:t>
      </w:r>
    </w:p>
    <w:p/>
    <w:p>
      <w:pPr>
        <w:spacing w:before="40" w:after="40"/>
      </w:pPr>
      <w:r>
        <w:rPr>
          <w:rFonts w:ascii="Times New Roman" w:hAnsi="Times New Roman" w:eastAsia="宋体"/>
          <w:b w:val="0"/>
          <w:i/>
          <w:color w:val="444444"/>
          <w:sz w:val="16"/>
        </w:rPr>
        <w:t>免责声明：本报告仅供参考，不构成投资建议。过往表现不代表未来收益。作者可能持有本报告讨论的证券头寸。所有数据来源于公开的公司公告和第三方研究报告。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minimax.io/news/minimax-global-announces-full-year-2025-financial-results" TargetMode="External"/><Relationship Id="rId20" Type="http://schemas.openxmlformats.org/officeDocument/2006/relationships/hyperlink" Target="https://www.prnewswire.com/apac/news-releases/minimax-announces-full-year-2025-financial-results-302700878.html" TargetMode="External"/><Relationship Id="rId21" Type="http://schemas.openxmlformats.org/officeDocument/2006/relationships/hyperlink" Target="https://finance.sina.com.cn/stock/hkstock/hkgg/2026-03-03/doc-inhpsxzn7541443.shtml" TargetMode="External"/><Relationship Id="rId22" Type="http://schemas.openxmlformats.org/officeDocument/2006/relationships/hyperlink" Target="https://finance.sina.com.cn/stock/hkstock/hkgg/2026-03-03/doc-inhpteik7480227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