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Times New Roman" w:hAnsi="Times New Roman"/>
          <w:b/>
          <w:color w:val="003366"/>
          <w:sz w:val="36"/>
        </w:rPr>
        <w:t>MiniMax Group Inc. (0100.HK)</w:t>
      </w:r>
    </w:p>
    <w:p>
      <w:pPr>
        <w:spacing w:before="120" w:after="80"/>
      </w:pPr>
      <w:r>
        <w:rPr>
          <w:rFonts w:ascii="Times New Roman" w:hAnsi="Times New Roman"/>
          <w:b/>
          <w:color w:val="0066CC"/>
          <w:sz w:val="28"/>
        </w:rPr>
        <w:t>FY2025 Annual Results — Earnings Update</w:t>
      </w:r>
    </w:p>
    <w:p>
      <w:pPr>
        <w:spacing w:before="40" w:after="40"/>
      </w:pPr>
      <w:r>
        <w:rPr>
          <w:rFonts w:ascii="Times New Roman" w:hAnsi="Times New Roman"/>
          <w:b/>
          <w:i w:val="0"/>
          <w:color w:val="003366"/>
          <w:sz w:val="20"/>
        </w:rPr>
        <w:t>Rating: BUY  |  Price Target: HK$1,100  |  Current Price: HK$768.5  |  Mkt Cap: ~US$30.9B</w:t>
      </w:r>
    </w:p>
    <w:p>
      <w:pPr>
        <w:spacing w:before="40" w:after="40"/>
      </w:pPr>
      <w:r>
        <w:rPr>
          <w:rFonts w:ascii="Times New Roman" w:hAnsi="Times New Roman"/>
          <w:b w:val="0"/>
          <w:i/>
          <w:color w:val="444444"/>
          <w:sz w:val="18"/>
        </w:rPr>
        <w:t>Sector: Technology — AI Foundation Models  |  Exchange: HKEX  |  Report Date: March 2, 2026</w:t>
      </w:r>
    </w:p>
    <w:p>
      <w:pPr>
        <w:spacing w:before="120" w:after="80"/>
      </w:pPr>
      <w:r>
        <w:rPr>
          <w:rFonts w:ascii="Times New Roman" w:hAnsi="Times New Roman"/>
          <w:b/>
          <w:color w:val="003366"/>
          <w:sz w:val="26"/>
        </w:rPr>
        <w:t>Key Takeaways</w:t>
      </w:r>
    </w:p>
    <w:p>
      <w:pPr>
        <w:pStyle w:val="ListBullet"/>
        <w:spacing w:before="20" w:after="20"/>
      </w:pPr>
      <w:r>
        <w:rPr>
          <w:rFonts w:ascii="Times New Roman" w:hAnsi="Times New Roman"/>
          <w:color w:val="444444"/>
          <w:sz w:val="20"/>
        </w:rPr>
        <w:t>Revenue surged 158.9% YoY to US$79.0M, beating consensus by ~11%, driven by rapid global expansion with international revenue now at 73% of total.</w:t>
      </w:r>
    </w:p>
    <w:p>
      <w:pPr>
        <w:pStyle w:val="ListBullet"/>
        <w:spacing w:before="20" w:after="20"/>
      </w:pPr>
      <w:r>
        <w:rPr>
          <w:rFonts w:ascii="Times New Roman" w:hAnsi="Times New Roman"/>
          <w:color w:val="444444"/>
          <w:sz w:val="20"/>
        </w:rPr>
        <w:t>Gross margin expanded dramatically to 25.4% (from 12.2%), reflecting improved model efficiency and optimized cloud infrastructure costs.</w:t>
      </w:r>
    </w:p>
    <w:p>
      <w:pPr>
        <w:pStyle w:val="ListBullet"/>
        <w:spacing w:before="20" w:after="20"/>
      </w:pPr>
      <w:r>
        <w:rPr>
          <w:rFonts w:ascii="Times New Roman" w:hAnsi="Times New Roman"/>
          <w:color w:val="444444"/>
          <w:sz w:val="20"/>
        </w:rPr>
        <w:t>Q4 2025 revenue reached ~US$26M (+131% YoY), beating Goldman Sachs estimate by 19%; adjusted net loss of US$65M was 50% better than the US$130M expected.</w:t>
      </w:r>
    </w:p>
    <w:p>
      <w:pPr>
        <w:pStyle w:val="ListBullet"/>
        <w:spacing w:before="20" w:after="20"/>
      </w:pPr>
      <w:r>
        <w:rPr>
          <w:rFonts w:ascii="Times New Roman" w:hAnsi="Times New Roman"/>
          <w:color w:val="444444"/>
          <w:sz w:val="20"/>
        </w:rPr>
        <w:t>Sales &amp; distribution expenses cut 40.3% despite revenue near-tripling, demonstrating strong organic user acquisition and product-market fit.</w:t>
      </w:r>
    </w:p>
    <w:p>
      <w:pPr>
        <w:pStyle w:val="ListBullet"/>
        <w:spacing w:before="20" w:after="20"/>
      </w:pPr>
      <w:r>
        <w:rPr>
          <w:rFonts w:ascii="Times New Roman" w:hAnsi="Times New Roman"/>
          <w:color w:val="444444"/>
          <w:sz w:val="20"/>
        </w:rPr>
        <w:t>ARR exceeded US$150M by February 2026, implying a significant acceleration in revenue run-rate entering 2026.</w:t>
      </w:r>
    </w:p>
    <w:p>
      <w:pPr>
        <w:pStyle w:val="ListBullet"/>
        <w:spacing w:before="20" w:after="20"/>
      </w:pPr>
      <w:r>
        <w:rPr>
          <w:rFonts w:ascii="Times New Roman" w:hAnsi="Times New Roman"/>
          <w:color w:val="444444"/>
          <w:sz w:val="20"/>
        </w:rPr>
        <w:t>Cash position strengthened to US$1,050.3M (+19.3% YoY), providing ample runway for continued R&amp;D investment.</w:t>
      </w:r>
    </w:p>
    <w:p>
      <w:pPr>
        <w:spacing w:before="120" w:after="80"/>
      </w:pPr>
      <w:r>
        <w:rPr>
          <w:rFonts w:ascii="Times New Roman" w:hAnsi="Times New Roman"/>
          <w:b/>
          <w:color w:val="003366"/>
          <w:sz w:val="26"/>
        </w:rPr>
        <w:t>Results Snapshot</w:t>
      </w:r>
    </w:p>
    <w:tbl>
      <w:tblPr>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003366"/>
            <w:vAlign w:val="center"/>
          </w:tcPr>
          <w:p>
            <w:pPr>
              <w:jc w:val="center"/>
            </w:pPr>
            <w:r>
              <w:rPr>
                <w:rFonts w:ascii="Times New Roman" w:hAnsi="Times New Roman"/>
                <w:b/>
                <w:color w:val="FFFFFF"/>
                <w:sz w:val="18"/>
              </w:rPr>
              <w:t>Metric</w:t>
            </w:r>
          </w:p>
        </w:tc>
        <w:tc>
          <w:tcPr>
            <w:tcW w:type="dxa" w:w="1701"/>
            <w:shd w:val="clear" w:color="auto" w:fill="003366"/>
            <w:vAlign w:val="center"/>
          </w:tcPr>
          <w:p>
            <w:pPr>
              <w:jc w:val="center"/>
            </w:pPr>
            <w:r>
              <w:rPr>
                <w:rFonts w:ascii="Times New Roman" w:hAnsi="Times New Roman"/>
                <w:b/>
                <w:color w:val="FFFFFF"/>
                <w:sz w:val="18"/>
              </w:rPr>
              <w:t>FY2025A</w:t>
            </w:r>
          </w:p>
        </w:tc>
        <w:tc>
          <w:tcPr>
            <w:tcW w:type="dxa" w:w="1701"/>
            <w:shd w:val="clear" w:color="auto" w:fill="003366"/>
            <w:vAlign w:val="center"/>
          </w:tcPr>
          <w:p>
            <w:pPr>
              <w:jc w:val="center"/>
            </w:pPr>
            <w:r>
              <w:rPr>
                <w:rFonts w:ascii="Times New Roman" w:hAnsi="Times New Roman"/>
                <w:b/>
                <w:color w:val="FFFFFF"/>
                <w:sz w:val="18"/>
              </w:rPr>
              <w:t>FY2024A</w:t>
            </w:r>
          </w:p>
        </w:tc>
        <w:tc>
          <w:tcPr>
            <w:tcW w:type="dxa" w:w="1417"/>
            <w:shd w:val="clear" w:color="auto" w:fill="003366"/>
            <w:vAlign w:val="center"/>
          </w:tcPr>
          <w:p>
            <w:pPr>
              <w:jc w:val="center"/>
            </w:pPr>
            <w:r>
              <w:rPr>
                <w:rFonts w:ascii="Times New Roman" w:hAnsi="Times New Roman"/>
                <w:b/>
                <w:color w:val="FFFFFF"/>
                <w:sz w:val="18"/>
              </w:rPr>
              <w:t>YoY Change</w:t>
            </w:r>
          </w:p>
        </w:tc>
        <w:tc>
          <w:tcPr>
            <w:tcW w:type="dxa" w:w="1417"/>
            <w:shd w:val="clear" w:color="auto" w:fill="003366"/>
            <w:vAlign w:val="center"/>
          </w:tcPr>
          <w:p>
            <w:pPr>
              <w:jc w:val="center"/>
            </w:pPr>
            <w:r>
              <w:rPr>
                <w:rFonts w:ascii="Times New Roman" w:hAnsi="Times New Roman"/>
                <w:b/>
                <w:color w:val="FFFFFF"/>
                <w:sz w:val="18"/>
              </w:rPr>
              <w:t>vs Consensus</w:t>
            </w:r>
          </w:p>
        </w:tc>
      </w:tr>
      <w:tr>
        <w:tc>
          <w:tcPr>
            <w:tcW w:type="dxa" w:w="2268"/>
            <w:shd w:val="clear" w:color="auto" w:fill="F2F6FA"/>
            <w:vAlign w:val="center"/>
          </w:tcPr>
          <w:p>
            <w:pPr>
              <w:jc w:val="center"/>
            </w:pPr>
            <w:r>
              <w:rPr>
                <w:rFonts w:ascii="Times New Roman" w:hAnsi="Times New Roman"/>
                <w:color w:val="444444"/>
                <w:sz w:val="18"/>
              </w:rPr>
              <w:t>Revenue</w:t>
            </w:r>
          </w:p>
        </w:tc>
        <w:tc>
          <w:tcPr>
            <w:tcW w:type="dxa" w:w="1701"/>
            <w:shd w:val="clear" w:color="auto" w:fill="F2F6FA"/>
            <w:vAlign w:val="center"/>
          </w:tcPr>
          <w:p>
            <w:pPr>
              <w:jc w:val="center"/>
            </w:pPr>
            <w:r>
              <w:rPr>
                <w:rFonts w:ascii="Times New Roman" w:hAnsi="Times New Roman"/>
                <w:color w:val="444444"/>
                <w:sz w:val="18"/>
              </w:rPr>
              <w:t>US$79.0M</w:t>
            </w:r>
          </w:p>
        </w:tc>
        <w:tc>
          <w:tcPr>
            <w:tcW w:type="dxa" w:w="1701"/>
            <w:shd w:val="clear" w:color="auto" w:fill="F2F6FA"/>
            <w:vAlign w:val="center"/>
          </w:tcPr>
          <w:p>
            <w:pPr>
              <w:jc w:val="center"/>
            </w:pPr>
            <w:r>
              <w:rPr>
                <w:rFonts w:ascii="Times New Roman" w:hAnsi="Times New Roman"/>
                <w:color w:val="444444"/>
                <w:sz w:val="18"/>
              </w:rPr>
              <w:t>US$30.5M</w:t>
            </w:r>
          </w:p>
        </w:tc>
        <w:tc>
          <w:tcPr>
            <w:tcW w:type="dxa" w:w="1417"/>
            <w:shd w:val="clear" w:color="auto" w:fill="F2F6FA"/>
            <w:vAlign w:val="center"/>
          </w:tcPr>
          <w:p>
            <w:pPr>
              <w:jc w:val="center"/>
            </w:pPr>
            <w:r>
              <w:rPr>
                <w:rFonts w:ascii="Times New Roman" w:hAnsi="Times New Roman"/>
                <w:color w:val="444444"/>
                <w:sz w:val="18"/>
              </w:rPr>
              <w:t>+158.9%</w:t>
            </w:r>
          </w:p>
        </w:tc>
        <w:tc>
          <w:tcPr>
            <w:tcW w:type="dxa" w:w="1417"/>
            <w:shd w:val="clear" w:color="auto" w:fill="F2F6FA"/>
            <w:vAlign w:val="center"/>
          </w:tcPr>
          <w:p>
            <w:pPr>
              <w:jc w:val="center"/>
            </w:pPr>
            <w:r>
              <w:rPr>
                <w:rFonts w:ascii="Times New Roman" w:hAnsi="Times New Roman"/>
                <w:color w:val="444444"/>
                <w:sz w:val="18"/>
              </w:rPr>
              <w:t>Beat ~11%</w:t>
            </w:r>
          </w:p>
        </w:tc>
      </w:tr>
      <w:tr>
        <w:tc>
          <w:tcPr>
            <w:tcW w:type="dxa" w:w="2268"/>
            <w:vAlign w:val="center"/>
          </w:tcPr>
          <w:p>
            <w:pPr>
              <w:jc w:val="center"/>
            </w:pPr>
            <w:r>
              <w:rPr>
                <w:rFonts w:ascii="Times New Roman" w:hAnsi="Times New Roman"/>
                <w:color w:val="444444"/>
                <w:sz w:val="18"/>
              </w:rPr>
              <w:t>Gross Profit</w:t>
            </w:r>
          </w:p>
        </w:tc>
        <w:tc>
          <w:tcPr>
            <w:tcW w:type="dxa" w:w="1701"/>
            <w:vAlign w:val="center"/>
          </w:tcPr>
          <w:p>
            <w:pPr>
              <w:jc w:val="center"/>
            </w:pPr>
            <w:r>
              <w:rPr>
                <w:rFonts w:ascii="Times New Roman" w:hAnsi="Times New Roman"/>
                <w:color w:val="444444"/>
                <w:sz w:val="18"/>
              </w:rPr>
              <w:t>US$20.1M</w:t>
            </w:r>
          </w:p>
        </w:tc>
        <w:tc>
          <w:tcPr>
            <w:tcW w:type="dxa" w:w="1701"/>
            <w:vAlign w:val="center"/>
          </w:tcPr>
          <w:p>
            <w:pPr>
              <w:jc w:val="center"/>
            </w:pPr>
            <w:r>
              <w:rPr>
                <w:rFonts w:ascii="Times New Roman" w:hAnsi="Times New Roman"/>
                <w:color w:val="444444"/>
                <w:sz w:val="18"/>
              </w:rPr>
              <w:t>US$3.7M</w:t>
            </w:r>
          </w:p>
        </w:tc>
        <w:tc>
          <w:tcPr>
            <w:tcW w:type="dxa" w:w="1417"/>
            <w:vAlign w:val="center"/>
          </w:tcPr>
          <w:p>
            <w:pPr>
              <w:jc w:val="center"/>
            </w:pPr>
            <w:r>
              <w:rPr>
                <w:rFonts w:ascii="Times New Roman" w:hAnsi="Times New Roman"/>
                <w:color w:val="444444"/>
                <w:sz w:val="18"/>
              </w:rPr>
              <w:t>+437.2%</w:t>
            </w:r>
          </w:p>
        </w:tc>
        <w:tc>
          <w:tcPr>
            <w:tcW w:type="dxa" w:w="1417"/>
            <w:vAlign w:val="center"/>
          </w:tcPr>
          <w:p>
            <w:pPr>
              <w:jc w:val="center"/>
            </w:pPr>
            <w:r>
              <w:rPr>
                <w:rFonts w:ascii="Times New Roman" w:hAnsi="Times New Roman"/>
                <w:color w:val="444444"/>
                <w:sz w:val="18"/>
              </w:rPr>
              <w:t>Beat</w:t>
            </w:r>
          </w:p>
        </w:tc>
      </w:tr>
      <w:tr>
        <w:tc>
          <w:tcPr>
            <w:tcW w:type="dxa" w:w="2268"/>
            <w:shd w:val="clear" w:color="auto" w:fill="F2F6FA"/>
            <w:vAlign w:val="center"/>
          </w:tcPr>
          <w:p>
            <w:pPr>
              <w:jc w:val="center"/>
            </w:pPr>
            <w:r>
              <w:rPr>
                <w:rFonts w:ascii="Times New Roman" w:hAnsi="Times New Roman"/>
                <w:color w:val="444444"/>
                <w:sz w:val="18"/>
              </w:rPr>
              <w:t>Gross Margin</w:t>
            </w:r>
          </w:p>
        </w:tc>
        <w:tc>
          <w:tcPr>
            <w:tcW w:type="dxa" w:w="1701"/>
            <w:shd w:val="clear" w:color="auto" w:fill="F2F6FA"/>
            <w:vAlign w:val="center"/>
          </w:tcPr>
          <w:p>
            <w:pPr>
              <w:jc w:val="center"/>
            </w:pPr>
            <w:r>
              <w:rPr>
                <w:rFonts w:ascii="Times New Roman" w:hAnsi="Times New Roman"/>
                <w:color w:val="444444"/>
                <w:sz w:val="18"/>
              </w:rPr>
              <w:t>25.4%</w:t>
            </w:r>
          </w:p>
        </w:tc>
        <w:tc>
          <w:tcPr>
            <w:tcW w:type="dxa" w:w="1701"/>
            <w:shd w:val="clear" w:color="auto" w:fill="F2F6FA"/>
            <w:vAlign w:val="center"/>
          </w:tcPr>
          <w:p>
            <w:pPr>
              <w:jc w:val="center"/>
            </w:pPr>
            <w:r>
              <w:rPr>
                <w:rFonts w:ascii="Times New Roman" w:hAnsi="Times New Roman"/>
                <w:color w:val="444444"/>
                <w:sz w:val="18"/>
              </w:rPr>
              <w:t>12.2%</w:t>
            </w:r>
          </w:p>
        </w:tc>
        <w:tc>
          <w:tcPr>
            <w:tcW w:type="dxa" w:w="1417"/>
            <w:shd w:val="clear" w:color="auto" w:fill="F2F6FA"/>
            <w:vAlign w:val="center"/>
          </w:tcPr>
          <w:p>
            <w:pPr>
              <w:jc w:val="center"/>
            </w:pPr>
            <w:r>
              <w:rPr>
                <w:rFonts w:ascii="Times New Roman" w:hAnsi="Times New Roman"/>
                <w:color w:val="444444"/>
                <w:sz w:val="18"/>
              </w:rPr>
              <w:t>+13.2pp</w:t>
            </w:r>
          </w:p>
        </w:tc>
        <w:tc>
          <w:tcPr>
            <w:tcW w:type="dxa" w:w="1417"/>
            <w:shd w:val="clear" w:color="auto" w:fill="F2F6FA"/>
            <w:vAlign w:val="center"/>
          </w:tcPr>
          <w:p>
            <w:pPr>
              <w:jc w:val="center"/>
            </w:pPr>
            <w:r>
              <w:rPr>
                <w:rFonts w:ascii="Times New Roman" w:hAnsi="Times New Roman"/>
                <w:color w:val="444444"/>
                <w:sz w:val="18"/>
              </w:rPr>
              <w:t>Beat</w:t>
            </w:r>
          </w:p>
        </w:tc>
      </w:tr>
      <w:tr>
        <w:tc>
          <w:tcPr>
            <w:tcW w:type="dxa" w:w="2268"/>
            <w:vAlign w:val="center"/>
          </w:tcPr>
          <w:p>
            <w:pPr>
              <w:jc w:val="center"/>
            </w:pPr>
            <w:r>
              <w:rPr>
                <w:rFonts w:ascii="Times New Roman" w:hAnsi="Times New Roman"/>
                <w:color w:val="444444"/>
                <w:sz w:val="18"/>
              </w:rPr>
              <w:t>Adj. Net Loss</w:t>
            </w:r>
          </w:p>
        </w:tc>
        <w:tc>
          <w:tcPr>
            <w:tcW w:type="dxa" w:w="1701"/>
            <w:vAlign w:val="center"/>
          </w:tcPr>
          <w:p>
            <w:pPr>
              <w:jc w:val="center"/>
            </w:pPr>
            <w:r>
              <w:rPr>
                <w:rFonts w:ascii="Times New Roman" w:hAnsi="Times New Roman"/>
                <w:color w:val="444444"/>
                <w:sz w:val="18"/>
              </w:rPr>
              <w:t>(US$250.9M)</w:t>
            </w:r>
          </w:p>
        </w:tc>
        <w:tc>
          <w:tcPr>
            <w:tcW w:type="dxa" w:w="1701"/>
            <w:vAlign w:val="center"/>
          </w:tcPr>
          <w:p>
            <w:pPr>
              <w:jc w:val="center"/>
            </w:pPr>
            <w:r>
              <w:rPr>
                <w:rFonts w:ascii="Times New Roman" w:hAnsi="Times New Roman"/>
                <w:color w:val="444444"/>
                <w:sz w:val="18"/>
              </w:rPr>
              <w:t>(US$244.2M)</w:t>
            </w:r>
          </w:p>
        </w:tc>
        <w:tc>
          <w:tcPr>
            <w:tcW w:type="dxa" w:w="1417"/>
            <w:vAlign w:val="center"/>
          </w:tcPr>
          <w:p>
            <w:pPr>
              <w:jc w:val="center"/>
            </w:pPr>
            <w:r>
              <w:rPr>
                <w:rFonts w:ascii="Times New Roman" w:hAnsi="Times New Roman"/>
                <w:color w:val="444444"/>
                <w:sz w:val="18"/>
              </w:rPr>
              <w:t>+2.7%</w:t>
            </w:r>
          </w:p>
        </w:tc>
        <w:tc>
          <w:tcPr>
            <w:tcW w:type="dxa" w:w="1417"/>
            <w:vAlign w:val="center"/>
          </w:tcPr>
          <w:p>
            <w:pPr>
              <w:jc w:val="center"/>
            </w:pPr>
            <w:r>
              <w:rPr>
                <w:rFonts w:ascii="Times New Roman" w:hAnsi="Times New Roman"/>
                <w:color w:val="444444"/>
                <w:sz w:val="18"/>
              </w:rPr>
              <w:t>In-line</w:t>
            </w:r>
          </w:p>
        </w:tc>
      </w:tr>
      <w:tr>
        <w:tc>
          <w:tcPr>
            <w:tcW w:type="dxa" w:w="2268"/>
            <w:shd w:val="clear" w:color="auto" w:fill="F2F6FA"/>
            <w:vAlign w:val="center"/>
          </w:tcPr>
          <w:p>
            <w:pPr>
              <w:jc w:val="center"/>
            </w:pPr>
            <w:r>
              <w:rPr>
                <w:rFonts w:ascii="Times New Roman" w:hAnsi="Times New Roman"/>
                <w:color w:val="444444"/>
                <w:sz w:val="18"/>
              </w:rPr>
              <w:t>R&amp;D Expense</w:t>
            </w:r>
          </w:p>
        </w:tc>
        <w:tc>
          <w:tcPr>
            <w:tcW w:type="dxa" w:w="1701"/>
            <w:shd w:val="clear" w:color="auto" w:fill="F2F6FA"/>
            <w:vAlign w:val="center"/>
          </w:tcPr>
          <w:p>
            <w:pPr>
              <w:jc w:val="center"/>
            </w:pPr>
            <w:r>
              <w:rPr>
                <w:rFonts w:ascii="Times New Roman" w:hAnsi="Times New Roman"/>
                <w:color w:val="444444"/>
                <w:sz w:val="18"/>
              </w:rPr>
              <w:t>US$252.8M</w:t>
            </w:r>
          </w:p>
        </w:tc>
        <w:tc>
          <w:tcPr>
            <w:tcW w:type="dxa" w:w="1701"/>
            <w:shd w:val="clear" w:color="auto" w:fill="F2F6FA"/>
            <w:vAlign w:val="center"/>
          </w:tcPr>
          <w:p>
            <w:pPr>
              <w:jc w:val="center"/>
            </w:pPr>
            <w:r>
              <w:rPr>
                <w:rFonts w:ascii="Times New Roman" w:hAnsi="Times New Roman"/>
                <w:color w:val="444444"/>
                <w:sz w:val="18"/>
              </w:rPr>
              <w:t>US$189.0M</w:t>
            </w:r>
          </w:p>
        </w:tc>
        <w:tc>
          <w:tcPr>
            <w:tcW w:type="dxa" w:w="1417"/>
            <w:shd w:val="clear" w:color="auto" w:fill="F2F6FA"/>
            <w:vAlign w:val="center"/>
          </w:tcPr>
          <w:p>
            <w:pPr>
              <w:jc w:val="center"/>
            </w:pPr>
            <w:r>
              <w:rPr>
                <w:rFonts w:ascii="Times New Roman" w:hAnsi="Times New Roman"/>
                <w:color w:val="444444"/>
                <w:sz w:val="18"/>
              </w:rPr>
              <w:t>+33.8%</w:t>
            </w:r>
          </w:p>
        </w:tc>
        <w:tc>
          <w:tcPr>
            <w:tcW w:type="dxa" w:w="1417"/>
            <w:shd w:val="clear" w:color="auto" w:fill="F2F6FA"/>
            <w:vAlign w:val="center"/>
          </w:tcPr>
          <w:p>
            <w:pPr>
              <w:jc w:val="center"/>
            </w:pPr>
            <w:r>
              <w:rPr>
                <w:rFonts w:ascii="Times New Roman" w:hAnsi="Times New Roman"/>
                <w:color w:val="444444"/>
                <w:sz w:val="18"/>
              </w:rPr>
              <w:t>—</w:t>
            </w:r>
          </w:p>
        </w:tc>
      </w:tr>
      <w:tr>
        <w:tc>
          <w:tcPr>
            <w:tcW w:type="dxa" w:w="2268"/>
            <w:vAlign w:val="center"/>
          </w:tcPr>
          <w:p>
            <w:pPr>
              <w:jc w:val="center"/>
            </w:pPr>
            <w:r>
              <w:rPr>
                <w:rFonts w:ascii="Times New Roman" w:hAnsi="Times New Roman"/>
                <w:color w:val="444444"/>
                <w:sz w:val="18"/>
              </w:rPr>
              <w:t>Cash Balance</w:t>
            </w:r>
          </w:p>
        </w:tc>
        <w:tc>
          <w:tcPr>
            <w:tcW w:type="dxa" w:w="1701"/>
            <w:vAlign w:val="center"/>
          </w:tcPr>
          <w:p>
            <w:pPr>
              <w:jc w:val="center"/>
            </w:pPr>
            <w:r>
              <w:rPr>
                <w:rFonts w:ascii="Times New Roman" w:hAnsi="Times New Roman"/>
                <w:color w:val="444444"/>
                <w:sz w:val="18"/>
              </w:rPr>
              <w:t>US$1,050.3M</w:t>
            </w:r>
          </w:p>
        </w:tc>
        <w:tc>
          <w:tcPr>
            <w:tcW w:type="dxa" w:w="1701"/>
            <w:vAlign w:val="center"/>
          </w:tcPr>
          <w:p>
            <w:pPr>
              <w:jc w:val="center"/>
            </w:pPr>
            <w:r>
              <w:rPr>
                <w:rFonts w:ascii="Times New Roman" w:hAnsi="Times New Roman"/>
                <w:color w:val="444444"/>
                <w:sz w:val="18"/>
              </w:rPr>
              <w:t>US$880.6M</w:t>
            </w:r>
          </w:p>
        </w:tc>
        <w:tc>
          <w:tcPr>
            <w:tcW w:type="dxa" w:w="1417"/>
            <w:vAlign w:val="center"/>
          </w:tcPr>
          <w:p>
            <w:pPr>
              <w:jc w:val="center"/>
            </w:pPr>
            <w:r>
              <w:rPr>
                <w:rFonts w:ascii="Times New Roman" w:hAnsi="Times New Roman"/>
                <w:color w:val="444444"/>
                <w:sz w:val="18"/>
              </w:rPr>
              <w:t>+19.3%</w:t>
            </w:r>
          </w:p>
        </w:tc>
        <w:tc>
          <w:tcPr>
            <w:tcW w:type="dxa" w:w="1417"/>
            <w:vAlign w:val="center"/>
          </w:tcPr>
          <w:p>
            <w:pPr>
              <w:jc w:val="center"/>
            </w:pPr>
            <w:r>
              <w:rPr>
                <w:rFonts w:ascii="Times New Roman" w:hAnsi="Times New Roman"/>
                <w:color w:val="444444"/>
                <w:sz w:val="18"/>
              </w:rPr>
              <w:t>—</w:t>
            </w:r>
          </w:p>
        </w:tc>
      </w:tr>
    </w:tbl>
    <w:p>
      <w:pPr>
        <w:spacing w:before="40" w:after="40"/>
      </w:pPr>
      <w:r>
        <w:rPr>
          <w:rFonts w:ascii="Times New Roman" w:hAnsi="Times New Roman"/>
          <w:b w:val="0"/>
          <w:i/>
          <w:color w:val="444444"/>
          <w:sz w:val="16"/>
        </w:rPr>
        <w:t>Source: MiniMax FY2025 Annual Results Press Release, March 2, 2026; Goldman Sachs consensus estimates.</w:t>
      </w:r>
    </w:p>
    <w:p>
      <w:r>
        <w:br w:type="page"/>
      </w:r>
    </w:p>
    <w:p>
      <w:pPr>
        <w:spacing w:before="120" w:after="80"/>
      </w:pPr>
      <w:r>
        <w:rPr>
          <w:rFonts w:ascii="Times New Roman" w:hAnsi="Times New Roman"/>
          <w:b/>
          <w:color w:val="003366"/>
          <w:sz w:val="28"/>
        </w:rPr>
        <w:t>Detailed Results Analysis</w:t>
      </w:r>
    </w:p>
    <w:p>
      <w:pPr>
        <w:spacing w:before="120" w:after="80"/>
      </w:pPr>
      <w:r>
        <w:rPr>
          <w:rFonts w:ascii="Times New Roman" w:hAnsi="Times New Roman"/>
          <w:b/>
          <w:color w:val="003366"/>
          <w:sz w:val="26"/>
        </w:rPr>
        <w:t>Revenue Performance</w:t>
      </w:r>
    </w:p>
    <w:p>
      <w:pPr>
        <w:spacing w:before="40" w:after="40"/>
      </w:pPr>
      <w:r>
        <w:rPr>
          <w:rFonts w:ascii="Times New Roman" w:hAnsi="Times New Roman"/>
          <w:b w:val="0"/>
          <w:i w:val="0"/>
          <w:color w:val="444444"/>
          <w:sz w:val="20"/>
        </w:rPr>
        <w:t>MiniMax delivered FY2025 revenue of US$79.0M, a 158.9% increase from US$30.5M in FY2024, marking the company's first annual report since listing on HKEX on January 9, 2026. The result beat CICC's estimate by approximately 11%, underscoring the strong monetization momentum of its AI foundation model platform.</w:t>
      </w:r>
    </w:p>
    <w:p>
      <w:pPr>
        <w:spacing w:before="40" w:after="40"/>
      </w:pPr>
      <w:r>
        <w:rPr>
          <w:rFonts w:ascii="Times New Roman" w:hAnsi="Times New Roman"/>
          <w:b w:val="0"/>
          <w:i w:val="0"/>
          <w:color w:val="444444"/>
          <w:sz w:val="20"/>
        </w:rPr>
        <w:t>Revenue growth was broad-based across both business segments:</w:t>
      </w:r>
    </w:p>
    <w:p>
      <w:pPr>
        <w:pStyle w:val="ListBullet"/>
        <w:spacing w:before="20" w:after="20"/>
      </w:pPr>
      <w:r>
        <w:rPr>
          <w:rFonts w:ascii="Times New Roman" w:hAnsi="Times New Roman"/>
          <w:color w:val="444444"/>
          <w:sz w:val="20"/>
        </w:rPr>
        <w:t>AI-Native Products (Talkie/Xingye, Hailuo AI): Revenue grew 143.4% to US$53.1M (67.2% of total), driven by rapid user growth to 236M+ cumulative users across 200+ countries. Monthly active users reached ~27.6M by September 2025.</w:t>
      </w:r>
    </w:p>
    <w:p>
      <w:pPr>
        <w:pStyle w:val="ListBullet"/>
        <w:spacing w:before="20" w:after="20"/>
      </w:pPr>
      <w:r>
        <w:rPr>
          <w:rFonts w:ascii="Times New Roman" w:hAnsi="Times New Roman"/>
          <w:color w:val="444444"/>
          <w:sz w:val="20"/>
        </w:rPr>
        <w:t>Open Platform &amp; Enterprise Services: Revenue surged 197.8% to US$26.0M (32.8% of total), reflecting expanding adoption among 214,000+ enterprise customers and developers. The MiniMax-M2 model became the first Chinese model on OpenRouter to exceed 50 billion daily tokens.</w:t>
      </w:r>
    </w:p>
    <w:p>
      <w:r>
        <w:drawing>
          <wp:inline xmlns:a="http://schemas.openxmlformats.org/drawingml/2006/main" xmlns:pic="http://schemas.openxmlformats.org/drawingml/2006/picture">
            <wp:extent cx="5029200" cy="2842591"/>
            <wp:docPr id="1" name="Picture 1"/>
            <wp:cNvGraphicFramePr>
              <a:graphicFrameLocks noChangeAspect="1"/>
            </wp:cNvGraphicFramePr>
            <a:graphic>
              <a:graphicData uri="http://schemas.openxmlformats.org/drawingml/2006/picture">
                <pic:pic>
                  <pic:nvPicPr>
                    <pic:cNvPr id="0" name="minimax_chart1_revenue.png"/>
                    <pic:cNvPicPr/>
                  </pic:nvPicPr>
                  <pic:blipFill>
                    <a:blip r:embed="rId9"/>
                    <a:stretch>
                      <a:fillRect/>
                    </a:stretch>
                  </pic:blipFill>
                  <pic:spPr>
                    <a:xfrm>
                      <a:off x="0" y="0"/>
                      <a:ext cx="5029200" cy="2842591"/>
                    </a:xfrm>
                    <a:prstGeom prst="rect"/>
                  </pic:spPr>
                </pic:pic>
              </a:graphicData>
            </a:graphic>
          </wp:inline>
        </w:drawing>
      </w:r>
    </w:p>
    <w:p>
      <w:pPr>
        <w:spacing w:after="80"/>
      </w:pPr>
      <w:r>
        <w:rPr>
          <w:rFonts w:ascii="Times New Roman" w:hAnsi="Times New Roman"/>
          <w:i/>
          <w:color w:val="444444"/>
          <w:sz w:val="16"/>
        </w:rPr>
        <w:t>Figure 1: Annual revenue progression. Source: Company filings.</w:t>
      </w:r>
    </w:p>
    <w:p>
      <w:r>
        <w:drawing>
          <wp:inline xmlns:a="http://schemas.openxmlformats.org/drawingml/2006/main" xmlns:pic="http://schemas.openxmlformats.org/drawingml/2006/picture">
            <wp:extent cx="5029200" cy="2842591"/>
            <wp:docPr id="2" name="Picture 2"/>
            <wp:cNvGraphicFramePr>
              <a:graphicFrameLocks noChangeAspect="1"/>
            </wp:cNvGraphicFramePr>
            <a:graphic>
              <a:graphicData uri="http://schemas.openxmlformats.org/drawingml/2006/picture">
                <pic:pic>
                  <pic:nvPicPr>
                    <pic:cNvPr id="0" name="minimax_chart2_segment.png"/>
                    <pic:cNvPicPr/>
                  </pic:nvPicPr>
                  <pic:blipFill>
                    <a:blip r:embed="rId10"/>
                    <a:stretch>
                      <a:fillRect/>
                    </a:stretch>
                  </pic:blipFill>
                  <pic:spPr>
                    <a:xfrm>
                      <a:off x="0" y="0"/>
                      <a:ext cx="5029200" cy="2842591"/>
                    </a:xfrm>
                    <a:prstGeom prst="rect"/>
                  </pic:spPr>
                </pic:pic>
              </a:graphicData>
            </a:graphic>
          </wp:inline>
        </w:drawing>
      </w:r>
    </w:p>
    <w:p>
      <w:pPr>
        <w:spacing w:after="80"/>
      </w:pPr>
      <w:r>
        <w:rPr>
          <w:rFonts w:ascii="Times New Roman" w:hAnsi="Times New Roman"/>
          <w:i/>
          <w:color w:val="444444"/>
          <w:sz w:val="16"/>
        </w:rPr>
        <w:t>Figure 2: Revenue by business segment. Source: Company filings.</w:t>
      </w:r>
    </w:p>
    <w:p>
      <w:pPr>
        <w:spacing w:before="120" w:after="80"/>
      </w:pPr>
      <w:r>
        <w:rPr>
          <w:rFonts w:ascii="Times New Roman" w:hAnsi="Times New Roman"/>
          <w:b/>
          <w:color w:val="003366"/>
          <w:sz w:val="26"/>
        </w:rPr>
        <w:t>Geographic Diversification</w:t>
      </w:r>
    </w:p>
    <w:p>
      <w:pPr>
        <w:spacing w:before="40" w:after="40"/>
      </w:pPr>
      <w:r>
        <w:rPr>
          <w:rFonts w:ascii="Times New Roman" w:hAnsi="Times New Roman"/>
          <w:b w:val="0"/>
          <w:i w:val="0"/>
          <w:color w:val="444444"/>
          <w:sz w:val="20"/>
        </w:rPr>
        <w:t>International markets accounted for 73.0% of FY2025 revenue (up from 69.8% in FY2024), a notable achievement for a Chinese AI company. This global diversification significantly reduces China-specific regulatory and geopolitical risks, and reflects the universal appeal of MiniMax's consumer-facing AI products such as Talkie (social AI companion) and Hailuo AI (video generation). The company's products serve users in over 200 countries and regions.</w:t>
      </w:r>
    </w:p>
    <w:p>
      <w:r>
        <w:drawing>
          <wp:inline xmlns:a="http://schemas.openxmlformats.org/drawingml/2006/main" xmlns:pic="http://schemas.openxmlformats.org/drawingml/2006/picture">
            <wp:extent cx="5029200" cy="2791995"/>
            <wp:docPr id="3" name="Picture 3"/>
            <wp:cNvGraphicFramePr>
              <a:graphicFrameLocks noChangeAspect="1"/>
            </wp:cNvGraphicFramePr>
            <a:graphic>
              <a:graphicData uri="http://schemas.openxmlformats.org/drawingml/2006/picture">
                <pic:pic>
                  <pic:nvPicPr>
                    <pic:cNvPr id="0" name="minimax_chart6_geo.png"/>
                    <pic:cNvPicPr/>
                  </pic:nvPicPr>
                  <pic:blipFill>
                    <a:blip r:embed="rId11"/>
                    <a:stretch>
                      <a:fillRect/>
                    </a:stretch>
                  </pic:blipFill>
                  <pic:spPr>
                    <a:xfrm>
                      <a:off x="0" y="0"/>
                      <a:ext cx="5029200" cy="2791995"/>
                    </a:xfrm>
                    <a:prstGeom prst="rect"/>
                  </pic:spPr>
                </pic:pic>
              </a:graphicData>
            </a:graphic>
          </wp:inline>
        </w:drawing>
      </w:r>
    </w:p>
    <w:p>
      <w:pPr>
        <w:spacing w:after="80"/>
      </w:pPr>
      <w:r>
        <w:rPr>
          <w:rFonts w:ascii="Times New Roman" w:hAnsi="Times New Roman"/>
          <w:i/>
          <w:color w:val="444444"/>
          <w:sz w:val="16"/>
        </w:rPr>
        <w:t>Figure 3: Geographic revenue split. Source: Company filings.</w:t>
      </w:r>
    </w:p>
    <w:p>
      <w:r>
        <w:br w:type="page"/>
      </w:r>
    </w:p>
    <w:p>
      <w:pPr>
        <w:spacing w:before="120" w:after="80"/>
      </w:pPr>
      <w:r>
        <w:rPr>
          <w:rFonts w:ascii="Times New Roman" w:hAnsi="Times New Roman"/>
          <w:b/>
          <w:color w:val="003366"/>
          <w:sz w:val="28"/>
        </w:rPr>
        <w:t>Key Metrics &amp; Margin Analysis</w:t>
      </w:r>
    </w:p>
    <w:p>
      <w:pPr>
        <w:spacing w:before="120" w:after="80"/>
      </w:pPr>
      <w:r>
        <w:rPr>
          <w:rFonts w:ascii="Times New Roman" w:hAnsi="Times New Roman"/>
          <w:b/>
          <w:color w:val="003366"/>
          <w:sz w:val="26"/>
        </w:rPr>
        <w:t>Gross Margin Expansion</w:t>
      </w:r>
    </w:p>
    <w:p>
      <w:pPr>
        <w:spacing w:before="40" w:after="40"/>
      </w:pPr>
      <w:r>
        <w:rPr>
          <w:rFonts w:ascii="Times New Roman" w:hAnsi="Times New Roman"/>
          <w:b w:val="0"/>
          <w:i w:val="0"/>
          <w:color w:val="444444"/>
          <w:sz w:val="20"/>
        </w:rPr>
        <w:t>Gross margin improved by 13.2 percentage points to 25.4%, the most significant profitability milestone in MiniMax's history. Gross profit grew 437.2% to US$20.1M. The improvement was driven by: (1) optimized model inference costs through proprietary Lightning Attention architecture, (2) better cloud infrastructure utilization, and (3) increasing revenue scale diluting fixed server costs. The gross margin trajectory — from negative in FY2023, to 12.2% in FY2024, to 25.4% in FY2025 — demonstrates a clear path toward long-term profitability.</w:t>
      </w:r>
    </w:p>
    <w:p>
      <w:r>
        <w:drawing>
          <wp:inline xmlns:a="http://schemas.openxmlformats.org/drawingml/2006/main" xmlns:pic="http://schemas.openxmlformats.org/drawingml/2006/picture">
            <wp:extent cx="5029200" cy="2842591"/>
            <wp:docPr id="4" name="Picture 4"/>
            <wp:cNvGraphicFramePr>
              <a:graphicFrameLocks noChangeAspect="1"/>
            </wp:cNvGraphicFramePr>
            <a:graphic>
              <a:graphicData uri="http://schemas.openxmlformats.org/drawingml/2006/picture">
                <pic:pic>
                  <pic:nvPicPr>
                    <pic:cNvPr id="0" name="minimax_chart3_margin.png"/>
                    <pic:cNvPicPr/>
                  </pic:nvPicPr>
                  <pic:blipFill>
                    <a:blip r:embed="rId12"/>
                    <a:stretch>
                      <a:fillRect/>
                    </a:stretch>
                  </pic:blipFill>
                  <pic:spPr>
                    <a:xfrm>
                      <a:off x="0" y="0"/>
                      <a:ext cx="5029200" cy="2842591"/>
                    </a:xfrm>
                    <a:prstGeom prst="rect"/>
                  </pic:spPr>
                </pic:pic>
              </a:graphicData>
            </a:graphic>
          </wp:inline>
        </w:drawing>
      </w:r>
    </w:p>
    <w:p>
      <w:pPr>
        <w:spacing w:after="80"/>
      </w:pPr>
      <w:r>
        <w:rPr>
          <w:rFonts w:ascii="Times New Roman" w:hAnsi="Times New Roman"/>
          <w:i/>
          <w:color w:val="444444"/>
          <w:sz w:val="16"/>
        </w:rPr>
        <w:t>Figure 4: Gross margin trend. Source: Company filings.</w:t>
      </w:r>
    </w:p>
    <w:p>
      <w:pPr>
        <w:spacing w:before="120" w:after="80"/>
      </w:pPr>
      <w:r>
        <w:rPr>
          <w:rFonts w:ascii="Times New Roman" w:hAnsi="Times New Roman"/>
          <w:b/>
          <w:color w:val="003366"/>
          <w:sz w:val="26"/>
        </w:rPr>
        <w:t>Operating Expense Discipline</w:t>
      </w:r>
    </w:p>
    <w:p>
      <w:pPr>
        <w:spacing w:before="40" w:after="40"/>
      </w:pPr>
      <w:r>
        <w:rPr>
          <w:rFonts w:ascii="Times New Roman" w:hAnsi="Times New Roman"/>
          <w:b w:val="0"/>
          <w:i w:val="0"/>
          <w:color w:val="444444"/>
          <w:sz w:val="20"/>
        </w:rPr>
        <w:t>Total operating expenses increased modestly relative to revenue growth, reflecting improving cost discipline:</w:t>
      </w:r>
    </w:p>
    <w:p>
      <w:pPr>
        <w:pStyle w:val="ListBullet"/>
        <w:spacing w:before="20" w:after="20"/>
      </w:pPr>
      <w:r>
        <w:rPr>
          <w:rFonts w:ascii="Times New Roman" w:hAnsi="Times New Roman"/>
          <w:color w:val="444444"/>
          <w:sz w:val="20"/>
        </w:rPr>
        <w:t>R&amp;D Expenses: Grew 33.8% to US$252.8M, with R&amp;D intensity (R&amp;D/Revenue) declining from 619% to 320% as revenue scaled faster. The 428-person team continues to advance multi-modal AI capabilities across text, video, speech, and music.</w:t>
      </w:r>
    </w:p>
    <w:p>
      <w:pPr>
        <w:pStyle w:val="ListBullet"/>
        <w:spacing w:before="20" w:after="20"/>
      </w:pPr>
      <w:r>
        <w:rPr>
          <w:rFonts w:ascii="Times New Roman" w:hAnsi="Times New Roman"/>
          <w:color w:val="444444"/>
          <w:sz w:val="20"/>
        </w:rPr>
        <w:t>Sales &amp; Distribution: Declined 40.3% to US$51.9M (from US$87.0M), a remarkable achievement given the 159% revenue growth. This signals strong organic product-led growth and reduced dependence on paid user acquisition.</w:t>
      </w:r>
    </w:p>
    <w:p>
      <w:pPr>
        <w:pStyle w:val="ListBullet"/>
        <w:spacing w:before="20" w:after="20"/>
      </w:pPr>
      <w:r>
        <w:rPr>
          <w:rFonts w:ascii="Times New Roman" w:hAnsi="Times New Roman"/>
          <w:color w:val="444444"/>
          <w:sz w:val="20"/>
        </w:rPr>
        <w:t>Administrative: Increased 155.9% to US$36.8M, primarily driven by IPO-related professional fees and public company compliance costs — a one-time step-up expected to normalize.</w:t>
      </w:r>
    </w:p>
    <w:p>
      <w:r>
        <w:drawing>
          <wp:inline xmlns:a="http://schemas.openxmlformats.org/drawingml/2006/main" xmlns:pic="http://schemas.openxmlformats.org/drawingml/2006/picture">
            <wp:extent cx="5029200" cy="2845340"/>
            <wp:docPr id="5" name="Picture 5"/>
            <wp:cNvGraphicFramePr>
              <a:graphicFrameLocks noChangeAspect="1"/>
            </wp:cNvGraphicFramePr>
            <a:graphic>
              <a:graphicData uri="http://schemas.openxmlformats.org/drawingml/2006/picture">
                <pic:pic>
                  <pic:nvPicPr>
                    <pic:cNvPr id="0" name="minimax_chart4_opex.png"/>
                    <pic:cNvPicPr/>
                  </pic:nvPicPr>
                  <pic:blipFill>
                    <a:blip r:embed="rId13"/>
                    <a:stretch>
                      <a:fillRect/>
                    </a:stretch>
                  </pic:blipFill>
                  <pic:spPr>
                    <a:xfrm>
                      <a:off x="0" y="0"/>
                      <a:ext cx="5029200" cy="2845340"/>
                    </a:xfrm>
                    <a:prstGeom prst="rect"/>
                  </pic:spPr>
                </pic:pic>
              </a:graphicData>
            </a:graphic>
          </wp:inline>
        </w:drawing>
      </w:r>
    </w:p>
    <w:p>
      <w:pPr>
        <w:spacing w:after="80"/>
      </w:pPr>
      <w:r>
        <w:rPr>
          <w:rFonts w:ascii="Times New Roman" w:hAnsi="Times New Roman"/>
          <w:i/>
          <w:color w:val="444444"/>
          <w:sz w:val="16"/>
        </w:rPr>
        <w:t>Figure 5: Operating expense breakdown. Source: Company filings.</w:t>
      </w:r>
    </w:p>
    <w:p>
      <w:pPr>
        <w:spacing w:before="120" w:after="80"/>
      </w:pPr>
      <w:r>
        <w:rPr>
          <w:rFonts w:ascii="Times New Roman" w:hAnsi="Times New Roman"/>
          <w:b/>
          <w:color w:val="003366"/>
          <w:sz w:val="26"/>
        </w:rPr>
        <w:t>Adjusted Net Loss &amp; Cash Burn</w:t>
      </w:r>
    </w:p>
    <w:p>
      <w:pPr>
        <w:spacing w:before="40" w:after="40"/>
      </w:pPr>
      <w:r>
        <w:rPr>
          <w:rFonts w:ascii="Times New Roman" w:hAnsi="Times New Roman"/>
          <w:b w:val="0"/>
          <w:i w:val="0"/>
          <w:color w:val="444444"/>
          <w:sz w:val="20"/>
        </w:rPr>
        <w:t>The adjusted net loss was US$250.9M, roughly flat versus US$244.2M in FY2024. While the GAAP net loss widened to US$1,871.6M, this was primarily driven by US$1,589.9M in non-cash fair value losses on convertible preferred shares (which converted to equity upon the January 2026 IPO). Importantly, Q4 2025 adjusted net loss of ~US$65M came in 50% below Goldman Sachs' estimate of US$130M, suggesting meaningful expense efficiency gains in the latter half of the year.</w:t>
      </w:r>
    </w:p>
    <w:p>
      <w:r>
        <w:drawing>
          <wp:inline xmlns:a="http://schemas.openxmlformats.org/drawingml/2006/main" xmlns:pic="http://schemas.openxmlformats.org/drawingml/2006/picture">
            <wp:extent cx="5029200" cy="2845340"/>
            <wp:docPr id="6" name="Picture 6"/>
            <wp:cNvGraphicFramePr>
              <a:graphicFrameLocks noChangeAspect="1"/>
            </wp:cNvGraphicFramePr>
            <a:graphic>
              <a:graphicData uri="http://schemas.openxmlformats.org/drawingml/2006/picture">
                <pic:pic>
                  <pic:nvPicPr>
                    <pic:cNvPr id="0" name="minimax_chart5_adj_loss.png"/>
                    <pic:cNvPicPr/>
                  </pic:nvPicPr>
                  <pic:blipFill>
                    <a:blip r:embed="rId14"/>
                    <a:stretch>
                      <a:fillRect/>
                    </a:stretch>
                  </pic:blipFill>
                  <pic:spPr>
                    <a:xfrm>
                      <a:off x="0" y="0"/>
                      <a:ext cx="5029200" cy="2845340"/>
                    </a:xfrm>
                    <a:prstGeom prst="rect"/>
                  </pic:spPr>
                </pic:pic>
              </a:graphicData>
            </a:graphic>
          </wp:inline>
        </w:drawing>
      </w:r>
    </w:p>
    <w:p>
      <w:pPr>
        <w:spacing w:after="80"/>
      </w:pPr>
      <w:r>
        <w:rPr>
          <w:rFonts w:ascii="Times New Roman" w:hAnsi="Times New Roman"/>
          <w:i/>
          <w:color w:val="444444"/>
          <w:sz w:val="16"/>
        </w:rPr>
        <w:t>Figure 6: Adjusted net loss trend. Source: Company filings.</w:t>
      </w:r>
    </w:p>
    <w:p>
      <w:r>
        <w:br w:type="page"/>
      </w:r>
    </w:p>
    <w:p>
      <w:pPr>
        <w:spacing w:before="120" w:after="80"/>
      </w:pPr>
      <w:r>
        <w:rPr>
          <w:rFonts w:ascii="Times New Roman" w:hAnsi="Times New Roman"/>
          <w:b/>
          <w:color w:val="003366"/>
          <w:sz w:val="28"/>
        </w:rPr>
        <w:t>Updated Investment Thesis</w:t>
      </w:r>
    </w:p>
    <w:p>
      <w:pPr>
        <w:spacing w:before="120" w:after="80"/>
      </w:pPr>
      <w:r>
        <w:rPr>
          <w:rFonts w:ascii="Times New Roman" w:hAnsi="Times New Roman"/>
          <w:b/>
          <w:color w:val="1A6B3A"/>
          <w:sz w:val="26"/>
        </w:rPr>
        <w:t>What Changed — Thesis Impact: Positive</w:t>
      </w:r>
    </w:p>
    <w:p>
      <w:pPr>
        <w:spacing w:before="40" w:after="40"/>
      </w:pPr>
      <w:r>
        <w:rPr>
          <w:rFonts w:ascii="Times New Roman" w:hAnsi="Times New Roman"/>
          <w:b w:val="0"/>
          <w:i w:val="0"/>
          <w:color w:val="444444"/>
          <w:sz w:val="20"/>
        </w:rPr>
        <w:t>MiniMax's inaugural annual report materially strengthens our investment thesis. Several developments stand out:</w:t>
      </w:r>
    </w:p>
    <w:p>
      <w:pPr>
        <w:pStyle w:val="ListBullet"/>
        <w:spacing w:before="20" w:after="20"/>
      </w:pPr>
      <w:r>
        <w:rPr>
          <w:rFonts w:ascii="Times New Roman" w:hAnsi="Times New Roman"/>
          <w:color w:val="444444"/>
          <w:sz w:val="20"/>
        </w:rPr>
        <w:t>Revenue Momentum Accelerating: Q4 revenue of ~US$26M (+131% YoY, beating by 19%) and ARR exceeding US$150M by February 2026 suggest FY2026 revenue could significantly surpass the US$250M Goldman Sachs estimate. The revenue trajectory is inflecting upward.</w:t>
      </w:r>
    </w:p>
    <w:p>
      <w:pPr>
        <w:pStyle w:val="ListBullet"/>
        <w:spacing w:before="20" w:after="20"/>
      </w:pPr>
      <w:r>
        <w:rPr>
          <w:rFonts w:ascii="Times New Roman" w:hAnsi="Times New Roman"/>
          <w:color w:val="444444"/>
          <w:sz w:val="20"/>
        </w:rPr>
        <w:t>Margin Trajectory Exceeding Expectations: The 25.4% gross margin and 40% cut in sales expenses demonstrate that MiniMax's unit economics are improving far faster than peers. Breakeven by 2029 (Goldman Sachs estimate) may prove conservative.</w:t>
      </w:r>
    </w:p>
    <w:p>
      <w:pPr>
        <w:pStyle w:val="ListBullet"/>
        <w:spacing w:before="20" w:after="20"/>
      </w:pPr>
      <w:r>
        <w:rPr>
          <w:rFonts w:ascii="Times New Roman" w:hAnsi="Times New Roman"/>
          <w:color w:val="444444"/>
          <w:sz w:val="20"/>
        </w:rPr>
        <w:t>Global AI Platform Strategy: With 73% international revenue, MiniMax is arguably the most globally diversified Chinese AI foundation model company. This positions it uniquely in the global competitive landscape alongside OpenAI, Anthropic, and Google.</w:t>
      </w:r>
    </w:p>
    <w:p>
      <w:pPr>
        <w:pStyle w:val="ListBullet"/>
        <w:spacing w:before="20" w:after="20"/>
      </w:pPr>
      <w:r>
        <w:rPr>
          <w:rFonts w:ascii="Times New Roman" w:hAnsi="Times New Roman"/>
          <w:color w:val="444444"/>
          <w:sz w:val="20"/>
        </w:rPr>
        <w:t>Model Competitiveness: M2.5 (launched February 2026) achieved coding benchmarks (80.2%) comparable to Claude Opus 4.6 (80.8%), validating MiniMax's technical capabilities at the frontier.</w:t>
      </w:r>
    </w:p>
    <w:p>
      <w:pPr>
        <w:pStyle w:val="ListBullet"/>
        <w:spacing w:before="20" w:after="20"/>
      </w:pPr>
      <w:r>
        <w:rPr>
          <w:rFonts w:ascii="Times New Roman" w:hAnsi="Times New Roman"/>
          <w:color w:val="444444"/>
          <w:sz w:val="20"/>
        </w:rPr>
        <w:t>Strong Cash Position: US$1,050.3M in total liquidity provides 4+ years of runway at current adjusted loss rates, eliminating near-term dilution risk.</w:t>
      </w:r>
    </w:p>
    <w:p>
      <w:pPr>
        <w:spacing w:before="120" w:after="80"/>
      </w:pPr>
      <w:r>
        <w:rPr>
          <w:rFonts w:ascii="Times New Roman" w:hAnsi="Times New Roman"/>
          <w:b/>
          <w:color w:val="CC0000"/>
          <w:sz w:val="26"/>
        </w:rPr>
        <w:t>Key Risks</w:t>
      </w:r>
    </w:p>
    <w:p>
      <w:pPr>
        <w:pStyle w:val="ListBullet"/>
        <w:spacing w:before="20" w:after="20"/>
      </w:pPr>
      <w:r>
        <w:rPr>
          <w:rFonts w:ascii="Times New Roman" w:hAnsi="Times New Roman"/>
          <w:color w:val="444444"/>
          <w:sz w:val="20"/>
        </w:rPr>
        <w:t>Profitability Timeline: Adjusted net loss of US$250.9M remains substantial. Goldman Sachs projects breakeven by 2029 — any delay could pressure the stock.</w:t>
      </w:r>
    </w:p>
    <w:p>
      <w:pPr>
        <w:pStyle w:val="ListBullet"/>
        <w:spacing w:before="20" w:after="20"/>
      </w:pPr>
      <w:r>
        <w:rPr>
          <w:rFonts w:ascii="Times New Roman" w:hAnsi="Times New Roman"/>
          <w:color w:val="444444"/>
          <w:sz w:val="20"/>
        </w:rPr>
        <w:t>Competitive Intensity: The AI foundation model space is intensely competitive. OpenAI, Google, and Anthropic have significantly larger resource pools and enterprise distribution.</w:t>
      </w:r>
    </w:p>
    <w:p>
      <w:pPr>
        <w:pStyle w:val="ListBullet"/>
        <w:spacing w:before="20" w:after="20"/>
      </w:pPr>
      <w:r>
        <w:rPr>
          <w:rFonts w:ascii="Times New Roman" w:hAnsi="Times New Roman"/>
          <w:color w:val="444444"/>
          <w:sz w:val="20"/>
        </w:rPr>
        <w:t>Regulatory Risk: As a Chinese AI company operating globally, MiniMax faces potential geopolitical headwinds, export restrictions, and data sovereignty regulations.</w:t>
      </w:r>
    </w:p>
    <w:p>
      <w:pPr>
        <w:pStyle w:val="ListBullet"/>
        <w:spacing w:before="20" w:after="20"/>
      </w:pPr>
      <w:r>
        <w:rPr>
          <w:rFonts w:ascii="Times New Roman" w:hAnsi="Times New Roman"/>
          <w:color w:val="444444"/>
          <w:sz w:val="20"/>
        </w:rPr>
        <w:t>Customer Concentration: Consumer products (Talkie, Hailuo) dominate revenue; enterprise adoption is still nascent at US$26M.</w:t>
      </w:r>
    </w:p>
    <w:p>
      <w:pPr>
        <w:pStyle w:val="ListBullet"/>
        <w:spacing w:before="20" w:after="20"/>
      </w:pPr>
      <w:r>
        <w:rPr>
          <w:rFonts w:ascii="Times New Roman" w:hAnsi="Times New Roman"/>
          <w:color w:val="444444"/>
          <w:sz w:val="20"/>
        </w:rPr>
        <w:t>Debt/Asset Ratio: Climbed to 343.3% at year-end 2025 (from 187.8%), largely from preferred share liabilities that converted at IPO, but warrants monitoring.</w:t>
      </w:r>
    </w:p>
    <w:p>
      <w:pPr>
        <w:spacing w:before="120" w:after="80"/>
      </w:pPr>
      <w:r>
        <w:rPr>
          <w:rFonts w:ascii="Times New Roman" w:hAnsi="Times New Roman"/>
          <w:b/>
          <w:color w:val="003366"/>
          <w:sz w:val="26"/>
        </w:rPr>
        <w:t>Catalysts</w:t>
      </w:r>
    </w:p>
    <w:p>
      <w:pPr>
        <w:pStyle w:val="ListBullet"/>
        <w:spacing w:before="20" w:after="20"/>
      </w:pPr>
      <w:r>
        <w:rPr>
          <w:rFonts w:ascii="Times New Roman" w:hAnsi="Times New Roman"/>
          <w:color w:val="444444"/>
          <w:sz w:val="20"/>
        </w:rPr>
        <w:t>MiniMax-M3 model launch (expected H2 2026) — potential step-change in model capabilities</w:t>
      </w:r>
    </w:p>
    <w:p>
      <w:pPr>
        <w:pStyle w:val="ListBullet"/>
        <w:spacing w:before="20" w:after="20"/>
      </w:pPr>
      <w:r>
        <w:rPr>
          <w:rFonts w:ascii="Times New Roman" w:hAnsi="Times New Roman"/>
          <w:color w:val="444444"/>
          <w:sz w:val="20"/>
        </w:rPr>
        <w:t>Hailuo-03 next-generation video model with end-to-end native multimodal architecture</w:t>
      </w:r>
    </w:p>
    <w:p>
      <w:pPr>
        <w:pStyle w:val="ListBullet"/>
        <w:spacing w:before="20" w:after="20"/>
      </w:pPr>
      <w:r>
        <w:rPr>
          <w:rFonts w:ascii="Times New Roman" w:hAnsi="Times New Roman"/>
          <w:color w:val="444444"/>
          <w:sz w:val="20"/>
        </w:rPr>
        <w:t>Enterprise platform revenue inflection — management targeting "platform company for the AI era"</w:t>
      </w:r>
    </w:p>
    <w:p>
      <w:pPr>
        <w:pStyle w:val="ListBullet"/>
        <w:spacing w:before="20" w:after="20"/>
      </w:pPr>
      <w:r>
        <w:rPr>
          <w:rFonts w:ascii="Times New Roman" w:hAnsi="Times New Roman"/>
          <w:color w:val="444444"/>
          <w:sz w:val="20"/>
        </w:rPr>
        <w:t>Potential inclusion in HK Stock Connect — unlocking mainland Chinese investor flows</w:t>
      </w:r>
    </w:p>
    <w:p>
      <w:pPr>
        <w:pStyle w:val="ListBullet"/>
        <w:spacing w:before="20" w:after="20"/>
      </w:pPr>
      <w:r>
        <w:rPr>
          <w:rFonts w:ascii="Times New Roman" w:hAnsi="Times New Roman"/>
          <w:color w:val="444444"/>
          <w:sz w:val="20"/>
        </w:rPr>
        <w:t>Q1 2026 results (expected June 2026) — first post-IPO quarterly update, ARR validation</w:t>
      </w:r>
    </w:p>
    <w:p>
      <w:r>
        <w:br w:type="page"/>
      </w:r>
    </w:p>
    <w:p>
      <w:pPr>
        <w:spacing w:before="120" w:after="80"/>
      </w:pPr>
      <w:r>
        <w:rPr>
          <w:rFonts w:ascii="Times New Roman" w:hAnsi="Times New Roman"/>
          <w:b/>
          <w:color w:val="003366"/>
          <w:sz w:val="28"/>
        </w:rPr>
        <w:t>Valuation &amp; Estimates</w:t>
      </w:r>
    </w:p>
    <w:p>
      <w:pPr>
        <w:spacing w:before="120" w:after="80"/>
      </w:pPr>
      <w:r>
        <w:rPr>
          <w:rFonts w:ascii="Times New Roman" w:hAnsi="Times New Roman"/>
          <w:b/>
          <w:color w:val="003366"/>
          <w:sz w:val="26"/>
        </w:rPr>
        <w:t>Revenue Estimates</w:t>
      </w:r>
    </w:p>
    <w:tbl>
      <w:tblPr>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003366"/>
            <w:vAlign w:val="center"/>
          </w:tcPr>
          <w:p>
            <w:pPr>
              <w:jc w:val="center"/>
            </w:pPr>
            <w:r>
              <w:rPr>
                <w:rFonts w:ascii="Times New Roman" w:hAnsi="Times New Roman"/>
                <w:b/>
                <w:color w:val="FFFFFF"/>
                <w:sz w:val="18"/>
              </w:rPr>
            </w:r>
          </w:p>
        </w:tc>
        <w:tc>
          <w:tcPr>
            <w:tcW w:type="dxa" w:w="1417"/>
            <w:shd w:val="clear" w:color="auto" w:fill="003366"/>
            <w:vAlign w:val="center"/>
          </w:tcPr>
          <w:p>
            <w:pPr>
              <w:jc w:val="center"/>
            </w:pPr>
            <w:r>
              <w:rPr>
                <w:rFonts w:ascii="Times New Roman" w:hAnsi="Times New Roman"/>
                <w:b/>
                <w:color w:val="FFFFFF"/>
                <w:sz w:val="18"/>
              </w:rPr>
              <w:t>FY2024A</w:t>
            </w:r>
          </w:p>
        </w:tc>
        <w:tc>
          <w:tcPr>
            <w:tcW w:type="dxa" w:w="1417"/>
            <w:shd w:val="clear" w:color="auto" w:fill="003366"/>
            <w:vAlign w:val="center"/>
          </w:tcPr>
          <w:p>
            <w:pPr>
              <w:jc w:val="center"/>
            </w:pPr>
            <w:r>
              <w:rPr>
                <w:rFonts w:ascii="Times New Roman" w:hAnsi="Times New Roman"/>
                <w:b/>
                <w:color w:val="FFFFFF"/>
                <w:sz w:val="18"/>
              </w:rPr>
              <w:t>FY2025A</w:t>
            </w:r>
          </w:p>
        </w:tc>
        <w:tc>
          <w:tcPr>
            <w:tcW w:type="dxa" w:w="1417"/>
            <w:shd w:val="clear" w:color="auto" w:fill="003366"/>
            <w:vAlign w:val="center"/>
          </w:tcPr>
          <w:p>
            <w:pPr>
              <w:jc w:val="center"/>
            </w:pPr>
            <w:r>
              <w:rPr>
                <w:rFonts w:ascii="Times New Roman" w:hAnsi="Times New Roman"/>
                <w:b/>
                <w:color w:val="FFFFFF"/>
                <w:sz w:val="18"/>
              </w:rPr>
              <w:t>FY2026E</w:t>
            </w:r>
          </w:p>
        </w:tc>
        <w:tc>
          <w:tcPr>
            <w:tcW w:type="dxa" w:w="1417"/>
            <w:shd w:val="clear" w:color="auto" w:fill="003366"/>
            <w:vAlign w:val="center"/>
          </w:tcPr>
          <w:p>
            <w:pPr>
              <w:jc w:val="center"/>
            </w:pPr>
            <w:r>
              <w:rPr>
                <w:rFonts w:ascii="Times New Roman" w:hAnsi="Times New Roman"/>
                <w:b/>
                <w:color w:val="FFFFFF"/>
                <w:sz w:val="18"/>
              </w:rPr>
              <w:t>FY2027E</w:t>
            </w:r>
          </w:p>
        </w:tc>
      </w:tr>
      <w:tr>
        <w:tc>
          <w:tcPr>
            <w:tcW w:type="dxa" w:w="2268"/>
            <w:shd w:val="clear" w:color="auto" w:fill="F2F6FA"/>
            <w:vAlign w:val="center"/>
          </w:tcPr>
          <w:p>
            <w:pPr>
              <w:jc w:val="center"/>
            </w:pPr>
            <w:r>
              <w:rPr>
                <w:rFonts w:ascii="Times New Roman" w:hAnsi="Times New Roman"/>
                <w:color w:val="444444"/>
                <w:sz w:val="18"/>
              </w:rPr>
              <w:t>Revenue (US$M)</w:t>
            </w:r>
          </w:p>
        </w:tc>
        <w:tc>
          <w:tcPr>
            <w:tcW w:type="dxa" w:w="1417"/>
            <w:shd w:val="clear" w:color="auto" w:fill="F2F6FA"/>
            <w:vAlign w:val="center"/>
          </w:tcPr>
          <w:p>
            <w:pPr>
              <w:jc w:val="center"/>
            </w:pPr>
            <w:r>
              <w:rPr>
                <w:rFonts w:ascii="Times New Roman" w:hAnsi="Times New Roman"/>
                <w:color w:val="444444"/>
                <w:sz w:val="18"/>
              </w:rPr>
              <w:t>30.5</w:t>
            </w:r>
          </w:p>
        </w:tc>
        <w:tc>
          <w:tcPr>
            <w:tcW w:type="dxa" w:w="1417"/>
            <w:shd w:val="clear" w:color="auto" w:fill="F2F6FA"/>
            <w:vAlign w:val="center"/>
          </w:tcPr>
          <w:p>
            <w:pPr>
              <w:jc w:val="center"/>
            </w:pPr>
            <w:r>
              <w:rPr>
                <w:rFonts w:ascii="Times New Roman" w:hAnsi="Times New Roman"/>
                <w:color w:val="444444"/>
                <w:sz w:val="18"/>
              </w:rPr>
              <w:t>79.0</w:t>
            </w:r>
          </w:p>
        </w:tc>
        <w:tc>
          <w:tcPr>
            <w:tcW w:type="dxa" w:w="1417"/>
            <w:shd w:val="clear" w:color="auto" w:fill="F2F6FA"/>
            <w:vAlign w:val="center"/>
          </w:tcPr>
          <w:p>
            <w:pPr>
              <w:jc w:val="center"/>
            </w:pPr>
            <w:r>
              <w:rPr>
                <w:rFonts w:ascii="Times New Roman" w:hAnsi="Times New Roman"/>
                <w:color w:val="444444"/>
                <w:sz w:val="18"/>
              </w:rPr>
              <w:t>250</w:t>
            </w:r>
          </w:p>
        </w:tc>
        <w:tc>
          <w:tcPr>
            <w:tcW w:type="dxa" w:w="1417"/>
            <w:shd w:val="clear" w:color="auto" w:fill="F2F6FA"/>
            <w:vAlign w:val="center"/>
          </w:tcPr>
          <w:p>
            <w:pPr>
              <w:jc w:val="center"/>
            </w:pPr>
            <w:r>
              <w:rPr>
                <w:rFonts w:ascii="Times New Roman" w:hAnsi="Times New Roman"/>
                <w:color w:val="444444"/>
                <w:sz w:val="18"/>
              </w:rPr>
              <w:t>980</w:t>
            </w:r>
          </w:p>
        </w:tc>
      </w:tr>
      <w:tr>
        <w:tc>
          <w:tcPr>
            <w:tcW w:type="dxa" w:w="2268"/>
            <w:vAlign w:val="center"/>
          </w:tcPr>
          <w:p>
            <w:pPr>
              <w:jc w:val="center"/>
            </w:pPr>
            <w:r>
              <w:rPr>
                <w:rFonts w:ascii="Times New Roman" w:hAnsi="Times New Roman"/>
                <w:color w:val="444444"/>
                <w:sz w:val="18"/>
              </w:rPr>
              <w:t>YoY Growth</w:t>
            </w:r>
          </w:p>
        </w:tc>
        <w:tc>
          <w:tcPr>
            <w:tcW w:type="dxa" w:w="1417"/>
            <w:vAlign w:val="center"/>
          </w:tcPr>
          <w:p>
            <w:pPr>
              <w:jc w:val="center"/>
            </w:pPr>
            <w:r>
              <w:rPr>
                <w:rFonts w:ascii="Times New Roman" w:hAnsi="Times New Roman"/>
                <w:color w:val="444444"/>
                <w:sz w:val="18"/>
              </w:rPr>
              <w:t>+323%</w:t>
            </w:r>
          </w:p>
        </w:tc>
        <w:tc>
          <w:tcPr>
            <w:tcW w:type="dxa" w:w="1417"/>
            <w:vAlign w:val="center"/>
          </w:tcPr>
          <w:p>
            <w:pPr>
              <w:jc w:val="center"/>
            </w:pPr>
            <w:r>
              <w:rPr>
                <w:rFonts w:ascii="Times New Roman" w:hAnsi="Times New Roman"/>
                <w:color w:val="444444"/>
                <w:sz w:val="18"/>
              </w:rPr>
              <w:t>+158.9%</w:t>
            </w:r>
          </w:p>
        </w:tc>
        <w:tc>
          <w:tcPr>
            <w:tcW w:type="dxa" w:w="1417"/>
            <w:vAlign w:val="center"/>
          </w:tcPr>
          <w:p>
            <w:pPr>
              <w:jc w:val="center"/>
            </w:pPr>
            <w:r>
              <w:rPr>
                <w:rFonts w:ascii="Times New Roman" w:hAnsi="Times New Roman"/>
                <w:color w:val="444444"/>
                <w:sz w:val="18"/>
              </w:rPr>
              <w:t>+216%</w:t>
            </w:r>
          </w:p>
        </w:tc>
        <w:tc>
          <w:tcPr>
            <w:tcW w:type="dxa" w:w="1417"/>
            <w:vAlign w:val="center"/>
          </w:tcPr>
          <w:p>
            <w:pPr>
              <w:jc w:val="center"/>
            </w:pPr>
            <w:r>
              <w:rPr>
                <w:rFonts w:ascii="Times New Roman" w:hAnsi="Times New Roman"/>
                <w:color w:val="444444"/>
                <w:sz w:val="18"/>
              </w:rPr>
              <w:t>+292%</w:t>
            </w:r>
          </w:p>
        </w:tc>
      </w:tr>
      <w:tr>
        <w:tc>
          <w:tcPr>
            <w:tcW w:type="dxa" w:w="2268"/>
            <w:shd w:val="clear" w:color="auto" w:fill="F2F6FA"/>
            <w:vAlign w:val="center"/>
          </w:tcPr>
          <w:p>
            <w:pPr>
              <w:jc w:val="center"/>
            </w:pPr>
            <w:r>
              <w:rPr>
                <w:rFonts w:ascii="Times New Roman" w:hAnsi="Times New Roman"/>
                <w:color w:val="444444"/>
                <w:sz w:val="18"/>
              </w:rPr>
              <w:t>Gross Margin</w:t>
            </w:r>
          </w:p>
        </w:tc>
        <w:tc>
          <w:tcPr>
            <w:tcW w:type="dxa" w:w="1417"/>
            <w:shd w:val="clear" w:color="auto" w:fill="F2F6FA"/>
            <w:vAlign w:val="center"/>
          </w:tcPr>
          <w:p>
            <w:pPr>
              <w:jc w:val="center"/>
            </w:pPr>
            <w:r>
              <w:rPr>
                <w:rFonts w:ascii="Times New Roman" w:hAnsi="Times New Roman"/>
                <w:color w:val="444444"/>
                <w:sz w:val="18"/>
              </w:rPr>
              <w:t>12.2%</w:t>
            </w:r>
          </w:p>
        </w:tc>
        <w:tc>
          <w:tcPr>
            <w:tcW w:type="dxa" w:w="1417"/>
            <w:shd w:val="clear" w:color="auto" w:fill="F2F6FA"/>
            <w:vAlign w:val="center"/>
          </w:tcPr>
          <w:p>
            <w:pPr>
              <w:jc w:val="center"/>
            </w:pPr>
            <w:r>
              <w:rPr>
                <w:rFonts w:ascii="Times New Roman" w:hAnsi="Times New Roman"/>
                <w:color w:val="444444"/>
                <w:sz w:val="18"/>
              </w:rPr>
              <w:t>25.4%</w:t>
            </w:r>
          </w:p>
        </w:tc>
        <w:tc>
          <w:tcPr>
            <w:tcW w:type="dxa" w:w="1417"/>
            <w:shd w:val="clear" w:color="auto" w:fill="F2F6FA"/>
            <w:vAlign w:val="center"/>
          </w:tcPr>
          <w:p>
            <w:pPr>
              <w:jc w:val="center"/>
            </w:pPr>
            <w:r>
              <w:rPr>
                <w:rFonts w:ascii="Times New Roman" w:hAnsi="Times New Roman"/>
                <w:color w:val="444444"/>
                <w:sz w:val="18"/>
              </w:rPr>
              <w:t>~32%</w:t>
            </w:r>
          </w:p>
        </w:tc>
        <w:tc>
          <w:tcPr>
            <w:tcW w:type="dxa" w:w="1417"/>
            <w:shd w:val="clear" w:color="auto" w:fill="F2F6FA"/>
            <w:vAlign w:val="center"/>
          </w:tcPr>
          <w:p>
            <w:pPr>
              <w:jc w:val="center"/>
            </w:pPr>
            <w:r>
              <w:rPr>
                <w:rFonts w:ascii="Times New Roman" w:hAnsi="Times New Roman"/>
                <w:color w:val="444444"/>
                <w:sz w:val="18"/>
              </w:rPr>
              <w:t>~40%</w:t>
            </w:r>
          </w:p>
        </w:tc>
      </w:tr>
      <w:tr>
        <w:tc>
          <w:tcPr>
            <w:tcW w:type="dxa" w:w="2268"/>
            <w:vAlign w:val="center"/>
          </w:tcPr>
          <w:p>
            <w:pPr>
              <w:jc w:val="center"/>
            </w:pPr>
            <w:r>
              <w:rPr>
                <w:rFonts w:ascii="Times New Roman" w:hAnsi="Times New Roman"/>
                <w:color w:val="444444"/>
                <w:sz w:val="18"/>
              </w:rPr>
              <w:t>Adj. Net Loss (US$M)</w:t>
            </w:r>
          </w:p>
        </w:tc>
        <w:tc>
          <w:tcPr>
            <w:tcW w:type="dxa" w:w="1417"/>
            <w:vAlign w:val="center"/>
          </w:tcPr>
          <w:p>
            <w:pPr>
              <w:jc w:val="center"/>
            </w:pPr>
            <w:r>
              <w:rPr>
                <w:rFonts w:ascii="Times New Roman" w:hAnsi="Times New Roman"/>
                <w:color w:val="444444"/>
                <w:sz w:val="18"/>
              </w:rPr>
              <w:t>(244.2)</w:t>
            </w:r>
          </w:p>
        </w:tc>
        <w:tc>
          <w:tcPr>
            <w:tcW w:type="dxa" w:w="1417"/>
            <w:vAlign w:val="center"/>
          </w:tcPr>
          <w:p>
            <w:pPr>
              <w:jc w:val="center"/>
            </w:pPr>
            <w:r>
              <w:rPr>
                <w:rFonts w:ascii="Times New Roman" w:hAnsi="Times New Roman"/>
                <w:color w:val="444444"/>
                <w:sz w:val="18"/>
              </w:rPr>
              <w:t>(250.9)</w:t>
            </w:r>
          </w:p>
        </w:tc>
        <w:tc>
          <w:tcPr>
            <w:tcW w:type="dxa" w:w="1417"/>
            <w:vAlign w:val="center"/>
          </w:tcPr>
          <w:p>
            <w:pPr>
              <w:jc w:val="center"/>
            </w:pPr>
            <w:r>
              <w:rPr>
                <w:rFonts w:ascii="Times New Roman" w:hAnsi="Times New Roman"/>
                <w:color w:val="444444"/>
                <w:sz w:val="18"/>
              </w:rPr>
              <w:t>~(200)</w:t>
            </w:r>
          </w:p>
        </w:tc>
        <w:tc>
          <w:tcPr>
            <w:tcW w:type="dxa" w:w="1417"/>
            <w:vAlign w:val="center"/>
          </w:tcPr>
          <w:p>
            <w:pPr>
              <w:jc w:val="center"/>
            </w:pPr>
            <w:r>
              <w:rPr>
                <w:rFonts w:ascii="Times New Roman" w:hAnsi="Times New Roman"/>
                <w:color w:val="444444"/>
                <w:sz w:val="18"/>
              </w:rPr>
              <w:t>~(100)</w:t>
            </w:r>
          </w:p>
        </w:tc>
      </w:tr>
      <w:tr>
        <w:tc>
          <w:tcPr>
            <w:tcW w:type="dxa" w:w="2268"/>
            <w:shd w:val="clear" w:color="auto" w:fill="F2F6FA"/>
            <w:vAlign w:val="center"/>
          </w:tcPr>
          <w:p>
            <w:pPr>
              <w:jc w:val="center"/>
            </w:pPr>
            <w:r>
              <w:rPr>
                <w:rFonts w:ascii="Times New Roman" w:hAnsi="Times New Roman"/>
                <w:color w:val="444444"/>
                <w:sz w:val="18"/>
              </w:rPr>
              <w:t>ARR (US$M)</w:t>
            </w:r>
          </w:p>
        </w:tc>
        <w:tc>
          <w:tcPr>
            <w:tcW w:type="dxa" w:w="1417"/>
            <w:shd w:val="clear" w:color="auto" w:fill="F2F6FA"/>
            <w:vAlign w:val="center"/>
          </w:tcPr>
          <w:p>
            <w:pPr>
              <w:jc w:val="center"/>
            </w:pPr>
            <w:r>
              <w:rPr>
                <w:rFonts w:ascii="Times New Roman" w:hAnsi="Times New Roman"/>
                <w:color w:val="444444"/>
                <w:sz w:val="18"/>
              </w:rPr>
              <w:t>N/A</w:t>
            </w:r>
          </w:p>
        </w:tc>
        <w:tc>
          <w:tcPr>
            <w:tcW w:type="dxa" w:w="1417"/>
            <w:shd w:val="clear" w:color="auto" w:fill="F2F6FA"/>
            <w:vAlign w:val="center"/>
          </w:tcPr>
          <w:p>
            <w:pPr>
              <w:jc w:val="center"/>
            </w:pPr>
            <w:r>
              <w:rPr>
                <w:rFonts w:ascii="Times New Roman" w:hAnsi="Times New Roman"/>
                <w:color w:val="444444"/>
                <w:sz w:val="18"/>
              </w:rPr>
              <w:t>N/A</w:t>
            </w:r>
          </w:p>
        </w:tc>
        <w:tc>
          <w:tcPr>
            <w:tcW w:type="dxa" w:w="1417"/>
            <w:shd w:val="clear" w:color="auto" w:fill="F2F6FA"/>
            <w:vAlign w:val="center"/>
          </w:tcPr>
          <w:p>
            <w:pPr>
              <w:jc w:val="center"/>
            </w:pPr>
            <w:r>
              <w:rPr>
                <w:rFonts w:ascii="Times New Roman" w:hAnsi="Times New Roman"/>
                <w:color w:val="444444"/>
                <w:sz w:val="18"/>
              </w:rPr>
              <w:t>&gt;150 (Feb'26)</w:t>
            </w:r>
          </w:p>
        </w:tc>
        <w:tc>
          <w:tcPr>
            <w:tcW w:type="dxa" w:w="1417"/>
            <w:shd w:val="clear" w:color="auto" w:fill="F2F6FA"/>
            <w:vAlign w:val="center"/>
          </w:tcPr>
          <w:p>
            <w:pPr>
              <w:jc w:val="center"/>
            </w:pPr>
            <w:r>
              <w:rPr>
                <w:rFonts w:ascii="Times New Roman" w:hAnsi="Times New Roman"/>
                <w:color w:val="444444"/>
                <w:sz w:val="18"/>
              </w:rPr>
              <w:t>TBD</w:t>
            </w:r>
          </w:p>
        </w:tc>
      </w:tr>
    </w:tbl>
    <w:p>
      <w:pPr>
        <w:spacing w:before="40" w:after="40"/>
      </w:pPr>
      <w:r>
        <w:rPr>
          <w:rFonts w:ascii="Times New Roman" w:hAnsi="Times New Roman"/>
          <w:b w:val="0"/>
          <w:i/>
          <w:color w:val="444444"/>
          <w:sz w:val="16"/>
        </w:rPr>
        <w:t>Source: FY2024-2025 actual from company filings; FY2026-2027E based on Goldman Sachs estimates (March 2026).</w:t>
      </w:r>
    </w:p>
    <w:p>
      <w:pPr>
        <w:spacing w:before="120" w:after="80"/>
      </w:pPr>
      <w:r>
        <w:rPr>
          <w:rFonts w:ascii="Times New Roman" w:hAnsi="Times New Roman"/>
          <w:b/>
          <w:color w:val="003366"/>
          <w:sz w:val="26"/>
        </w:rPr>
        <w:t>Valuation Framework</w:t>
      </w:r>
    </w:p>
    <w:p>
      <w:pPr>
        <w:spacing w:before="40" w:after="40"/>
      </w:pPr>
      <w:r>
        <w:rPr>
          <w:rFonts w:ascii="Times New Roman" w:hAnsi="Times New Roman"/>
          <w:b w:val="0"/>
          <w:i w:val="0"/>
          <w:color w:val="444444"/>
          <w:sz w:val="20"/>
        </w:rPr>
        <w:t>Given MiniMax's pre-profit status, we rely on revenue-based valuation methodologies:</w:t>
      </w:r>
    </w:p>
    <w:p>
      <w:pPr>
        <w:pStyle w:val="ListBullet"/>
        <w:spacing w:before="20" w:after="20"/>
      </w:pPr>
      <w:r>
        <w:rPr>
          <w:rFonts w:ascii="Times New Roman" w:hAnsi="Times New Roman"/>
          <w:color w:val="444444"/>
          <w:sz w:val="20"/>
        </w:rPr>
        <w:t>Current Market Cap: ~US$30.9B at HK$768.5/share</w:t>
      </w:r>
    </w:p>
    <w:p>
      <w:pPr>
        <w:pStyle w:val="ListBullet"/>
        <w:spacing w:before="20" w:after="20"/>
      </w:pPr>
      <w:r>
        <w:rPr>
          <w:rFonts w:ascii="Times New Roman" w:hAnsi="Times New Roman"/>
          <w:color w:val="444444"/>
          <w:sz w:val="20"/>
        </w:rPr>
        <w:t>EV/Revenue (FY2026E): Based on US$250M revenue estimate, implying a premium multiple consistent with high-growth AI peers.</w:t>
      </w:r>
    </w:p>
    <w:p>
      <w:pPr>
        <w:pStyle w:val="ListBullet"/>
        <w:spacing w:before="20" w:after="20"/>
      </w:pPr>
      <w:r>
        <w:rPr>
          <w:rFonts w:ascii="Times New Roman" w:hAnsi="Times New Roman"/>
          <w:color w:val="444444"/>
          <w:sz w:val="20"/>
        </w:rPr>
        <w:t>Goldman Sachs projects global market share expansion from 0.3% (2026) to 2.5% (2030), with breakeven by 2029.</w:t>
      </w:r>
    </w:p>
    <w:p>
      <w:pPr>
        <w:pStyle w:val="ListBullet"/>
        <w:spacing w:before="20" w:after="20"/>
      </w:pPr>
      <w:r>
        <w:rPr>
          <w:rFonts w:ascii="Times New Roman" w:hAnsi="Times New Roman"/>
          <w:color w:val="444444"/>
          <w:sz w:val="20"/>
        </w:rPr>
        <w:t>The stock has appreciated ~366% from its HK$165 IPO price to ~HK$768, reflecting strong investor appetite for AI infrastructure plays.</w:t>
      </w:r>
    </w:p>
    <w:p>
      <w:pPr>
        <w:spacing w:before="120" w:after="80"/>
      </w:pPr>
      <w:r>
        <w:rPr>
          <w:rFonts w:ascii="Times New Roman" w:hAnsi="Times New Roman"/>
          <w:b/>
          <w:color w:val="003366"/>
          <w:sz w:val="26"/>
        </w:rPr>
        <w:t>Analyst Consensus</w:t>
      </w:r>
    </w:p>
    <w:tbl>
      <w:tblPr>
        <w:tblW w:type="auto" w:w="0"/>
        <w:jc w:val="center"/>
        <w:tblLook w:firstColumn="1" w:firstRow="1" w:lastColumn="0" w:lastRow="0" w:noHBand="0" w:noVBand="1" w:val="04A0"/>
      </w:tblPr>
      <w:tblGrid>
        <w:gridCol w:w="2351"/>
        <w:gridCol w:w="2351"/>
        <w:gridCol w:w="2351"/>
        <w:gridCol w:w="2351"/>
      </w:tblGrid>
      <w:tr>
        <w:tc>
          <w:tcPr>
            <w:tcW w:type="dxa" w:w="2268"/>
            <w:shd w:val="clear" w:color="auto" w:fill="003366"/>
            <w:vAlign w:val="center"/>
          </w:tcPr>
          <w:p>
            <w:pPr>
              <w:jc w:val="center"/>
            </w:pPr>
            <w:r>
              <w:rPr>
                <w:rFonts w:ascii="Times New Roman" w:hAnsi="Times New Roman"/>
                <w:b/>
                <w:color w:val="FFFFFF"/>
                <w:sz w:val="18"/>
              </w:rPr>
              <w:t>Analyst</w:t>
            </w:r>
          </w:p>
        </w:tc>
        <w:tc>
          <w:tcPr>
            <w:tcW w:type="dxa" w:w="1417"/>
            <w:shd w:val="clear" w:color="auto" w:fill="003366"/>
            <w:vAlign w:val="center"/>
          </w:tcPr>
          <w:p>
            <w:pPr>
              <w:jc w:val="center"/>
            </w:pPr>
            <w:r>
              <w:rPr>
                <w:rFonts w:ascii="Times New Roman" w:hAnsi="Times New Roman"/>
                <w:b/>
                <w:color w:val="FFFFFF"/>
                <w:sz w:val="18"/>
              </w:rPr>
              <w:t>Rating</w:t>
            </w:r>
          </w:p>
        </w:tc>
        <w:tc>
          <w:tcPr>
            <w:tcW w:type="dxa" w:w="1984"/>
            <w:shd w:val="clear" w:color="auto" w:fill="003366"/>
            <w:vAlign w:val="center"/>
          </w:tcPr>
          <w:p>
            <w:pPr>
              <w:jc w:val="center"/>
            </w:pPr>
            <w:r>
              <w:rPr>
                <w:rFonts w:ascii="Times New Roman" w:hAnsi="Times New Roman"/>
                <w:b/>
                <w:color w:val="FFFFFF"/>
                <w:sz w:val="18"/>
              </w:rPr>
              <w:t>Target Price (HK$)</w:t>
            </w:r>
          </w:p>
        </w:tc>
        <w:tc>
          <w:tcPr>
            <w:tcW w:type="dxa" w:w="1701"/>
            <w:shd w:val="clear" w:color="auto" w:fill="003366"/>
            <w:vAlign w:val="center"/>
          </w:tcPr>
          <w:p>
            <w:pPr>
              <w:jc w:val="center"/>
            </w:pPr>
            <w:r>
              <w:rPr>
                <w:rFonts w:ascii="Times New Roman" w:hAnsi="Times New Roman"/>
                <w:b/>
                <w:color w:val="FFFFFF"/>
                <w:sz w:val="18"/>
              </w:rPr>
              <w:t>Implied Upside</w:t>
            </w:r>
          </w:p>
        </w:tc>
      </w:tr>
      <w:tr>
        <w:tc>
          <w:tcPr>
            <w:tcW w:type="dxa" w:w="2268"/>
            <w:shd w:val="clear" w:color="auto" w:fill="F2F6FA"/>
            <w:vAlign w:val="center"/>
          </w:tcPr>
          <w:p>
            <w:pPr>
              <w:jc w:val="center"/>
            </w:pPr>
            <w:r>
              <w:rPr>
                <w:rFonts w:ascii="Times New Roman" w:hAnsi="Times New Roman"/>
                <w:color w:val="444444"/>
                <w:sz w:val="18"/>
              </w:rPr>
              <w:t>Goldman Sachs</w:t>
            </w:r>
          </w:p>
        </w:tc>
        <w:tc>
          <w:tcPr>
            <w:tcW w:type="dxa" w:w="1417"/>
            <w:shd w:val="clear" w:color="auto" w:fill="F2F6FA"/>
            <w:vAlign w:val="center"/>
          </w:tcPr>
          <w:p>
            <w:pPr>
              <w:jc w:val="center"/>
            </w:pPr>
            <w:r>
              <w:rPr>
                <w:rFonts w:ascii="Times New Roman" w:hAnsi="Times New Roman"/>
                <w:color w:val="444444"/>
                <w:sz w:val="18"/>
              </w:rPr>
              <w:t>Neutral</w:t>
            </w:r>
          </w:p>
        </w:tc>
        <w:tc>
          <w:tcPr>
            <w:tcW w:type="dxa" w:w="1984"/>
            <w:shd w:val="clear" w:color="auto" w:fill="F2F6FA"/>
            <w:vAlign w:val="center"/>
          </w:tcPr>
          <w:p>
            <w:pPr>
              <w:jc w:val="center"/>
            </w:pPr>
            <w:r>
              <w:rPr>
                <w:rFonts w:ascii="Times New Roman" w:hAnsi="Times New Roman"/>
                <w:color w:val="444444"/>
                <w:sz w:val="18"/>
              </w:rPr>
              <w:t>1,018</w:t>
            </w:r>
          </w:p>
        </w:tc>
        <w:tc>
          <w:tcPr>
            <w:tcW w:type="dxa" w:w="1701"/>
            <w:shd w:val="clear" w:color="auto" w:fill="F2F6FA"/>
            <w:vAlign w:val="center"/>
          </w:tcPr>
          <w:p>
            <w:pPr>
              <w:jc w:val="center"/>
            </w:pPr>
            <w:r>
              <w:rPr>
                <w:rFonts w:ascii="Times New Roman" w:hAnsi="Times New Roman"/>
                <w:color w:val="444444"/>
                <w:sz w:val="18"/>
              </w:rPr>
              <w:t>+32%</w:t>
            </w:r>
          </w:p>
        </w:tc>
      </w:tr>
      <w:tr>
        <w:tc>
          <w:tcPr>
            <w:tcW w:type="dxa" w:w="2268"/>
            <w:vAlign w:val="center"/>
          </w:tcPr>
          <w:p>
            <w:pPr>
              <w:jc w:val="center"/>
            </w:pPr>
            <w:r>
              <w:rPr>
                <w:rFonts w:ascii="Times New Roman" w:hAnsi="Times New Roman"/>
                <w:color w:val="444444"/>
                <w:sz w:val="18"/>
              </w:rPr>
              <w:t>CICC</w:t>
            </w:r>
          </w:p>
        </w:tc>
        <w:tc>
          <w:tcPr>
            <w:tcW w:type="dxa" w:w="1417"/>
            <w:vAlign w:val="center"/>
          </w:tcPr>
          <w:p>
            <w:pPr>
              <w:jc w:val="center"/>
            </w:pPr>
            <w:r>
              <w:rPr>
                <w:rFonts w:ascii="Times New Roman" w:hAnsi="Times New Roman"/>
                <w:color w:val="444444"/>
                <w:sz w:val="18"/>
              </w:rPr>
              <w:t>Outperform</w:t>
            </w:r>
          </w:p>
        </w:tc>
        <w:tc>
          <w:tcPr>
            <w:tcW w:type="dxa" w:w="1984"/>
            <w:vAlign w:val="center"/>
          </w:tcPr>
          <w:p>
            <w:pPr>
              <w:jc w:val="center"/>
            </w:pPr>
            <w:r>
              <w:rPr>
                <w:rFonts w:ascii="Times New Roman" w:hAnsi="Times New Roman"/>
                <w:color w:val="444444"/>
                <w:sz w:val="18"/>
              </w:rPr>
              <w:t>1,109</w:t>
            </w:r>
          </w:p>
        </w:tc>
        <w:tc>
          <w:tcPr>
            <w:tcW w:type="dxa" w:w="1701"/>
            <w:vAlign w:val="center"/>
          </w:tcPr>
          <w:p>
            <w:pPr>
              <w:jc w:val="center"/>
            </w:pPr>
            <w:r>
              <w:rPr>
                <w:rFonts w:ascii="Times New Roman" w:hAnsi="Times New Roman"/>
                <w:color w:val="444444"/>
                <w:sz w:val="18"/>
              </w:rPr>
              <w:t>+44%</w:t>
            </w:r>
          </w:p>
        </w:tc>
      </w:tr>
      <w:tr>
        <w:tc>
          <w:tcPr>
            <w:tcW w:type="dxa" w:w="2268"/>
            <w:shd w:val="clear" w:color="auto" w:fill="F2F6FA"/>
            <w:vAlign w:val="center"/>
          </w:tcPr>
          <w:p>
            <w:pPr>
              <w:jc w:val="center"/>
            </w:pPr>
            <w:r>
              <w:rPr>
                <w:rFonts w:ascii="Times New Roman" w:hAnsi="Times New Roman"/>
                <w:color w:val="444444"/>
                <w:sz w:val="18"/>
              </w:rPr>
              <w:t>Guotai Junan Intl</w:t>
            </w:r>
          </w:p>
        </w:tc>
        <w:tc>
          <w:tcPr>
            <w:tcW w:type="dxa" w:w="1417"/>
            <w:shd w:val="clear" w:color="auto" w:fill="F2F6FA"/>
            <w:vAlign w:val="center"/>
          </w:tcPr>
          <w:p>
            <w:pPr>
              <w:jc w:val="center"/>
            </w:pPr>
            <w:r>
              <w:rPr>
                <w:rFonts w:ascii="Times New Roman" w:hAnsi="Times New Roman"/>
                <w:color w:val="444444"/>
                <w:sz w:val="18"/>
              </w:rPr>
              <w:t>Overweight</w:t>
            </w:r>
          </w:p>
        </w:tc>
        <w:tc>
          <w:tcPr>
            <w:tcW w:type="dxa" w:w="1984"/>
            <w:shd w:val="clear" w:color="auto" w:fill="F2F6FA"/>
            <w:vAlign w:val="center"/>
          </w:tcPr>
          <w:p>
            <w:pPr>
              <w:jc w:val="center"/>
            </w:pPr>
            <w:r>
              <w:rPr>
                <w:rFonts w:ascii="Times New Roman" w:hAnsi="Times New Roman"/>
                <w:color w:val="444444"/>
                <w:sz w:val="18"/>
              </w:rPr>
              <w:t>1,012</w:t>
            </w:r>
          </w:p>
        </w:tc>
        <w:tc>
          <w:tcPr>
            <w:tcW w:type="dxa" w:w="1701"/>
            <w:shd w:val="clear" w:color="auto" w:fill="F2F6FA"/>
            <w:vAlign w:val="center"/>
          </w:tcPr>
          <w:p>
            <w:pPr>
              <w:jc w:val="center"/>
            </w:pPr>
            <w:r>
              <w:rPr>
                <w:rFonts w:ascii="Times New Roman" w:hAnsi="Times New Roman"/>
                <w:color w:val="444444"/>
                <w:sz w:val="18"/>
              </w:rPr>
              <w:t>+32%</w:t>
            </w:r>
          </w:p>
        </w:tc>
      </w:tr>
      <w:tr>
        <w:tc>
          <w:tcPr>
            <w:tcW w:type="dxa" w:w="2268"/>
            <w:vAlign w:val="center"/>
          </w:tcPr>
          <w:p>
            <w:pPr>
              <w:jc w:val="center"/>
            </w:pPr>
            <w:r>
              <w:rPr>
                <w:rFonts w:ascii="Times New Roman" w:hAnsi="Times New Roman"/>
                <w:color w:val="444444"/>
                <w:sz w:val="18"/>
              </w:rPr>
              <w:t>Soochow Securities</w:t>
            </w:r>
          </w:p>
        </w:tc>
        <w:tc>
          <w:tcPr>
            <w:tcW w:type="dxa" w:w="1417"/>
            <w:vAlign w:val="center"/>
          </w:tcPr>
          <w:p>
            <w:pPr>
              <w:jc w:val="center"/>
            </w:pPr>
            <w:r>
              <w:rPr>
                <w:rFonts w:ascii="Times New Roman" w:hAnsi="Times New Roman"/>
                <w:color w:val="444444"/>
                <w:sz w:val="18"/>
              </w:rPr>
              <w:t>Buy</w:t>
            </w:r>
          </w:p>
        </w:tc>
        <w:tc>
          <w:tcPr>
            <w:tcW w:type="dxa" w:w="1984"/>
            <w:vAlign w:val="center"/>
          </w:tcPr>
          <w:p>
            <w:pPr>
              <w:jc w:val="center"/>
            </w:pPr>
            <w:r>
              <w:rPr>
                <w:rFonts w:ascii="Times New Roman" w:hAnsi="Times New Roman"/>
                <w:color w:val="444444"/>
                <w:sz w:val="18"/>
              </w:rPr>
              <w:t>1,100</w:t>
            </w:r>
          </w:p>
        </w:tc>
        <w:tc>
          <w:tcPr>
            <w:tcW w:type="dxa" w:w="1701"/>
            <w:vAlign w:val="center"/>
          </w:tcPr>
          <w:p>
            <w:pPr>
              <w:jc w:val="center"/>
            </w:pPr>
            <w:r>
              <w:rPr>
                <w:rFonts w:ascii="Times New Roman" w:hAnsi="Times New Roman"/>
                <w:color w:val="444444"/>
                <w:sz w:val="18"/>
              </w:rPr>
              <w:t>+43%</w:t>
            </w:r>
          </w:p>
        </w:tc>
      </w:tr>
      <w:tr>
        <w:tc>
          <w:tcPr>
            <w:tcW w:type="dxa" w:w="2268"/>
            <w:shd w:val="clear" w:color="auto" w:fill="F2F6FA"/>
            <w:vAlign w:val="center"/>
          </w:tcPr>
          <w:p>
            <w:pPr>
              <w:jc w:val="center"/>
            </w:pPr>
            <w:r>
              <w:rPr>
                <w:rFonts w:ascii="Times New Roman" w:hAnsi="Times New Roman"/>
                <w:color w:val="444444"/>
                <w:sz w:val="18"/>
              </w:rPr>
              <w:t>Consensus (12 analysts)</w:t>
            </w:r>
          </w:p>
        </w:tc>
        <w:tc>
          <w:tcPr>
            <w:tcW w:type="dxa" w:w="1417"/>
            <w:shd w:val="clear" w:color="auto" w:fill="F2F6FA"/>
            <w:vAlign w:val="center"/>
          </w:tcPr>
          <w:p>
            <w:pPr>
              <w:jc w:val="center"/>
            </w:pPr>
            <w:r>
              <w:rPr>
                <w:rFonts w:ascii="Times New Roman" w:hAnsi="Times New Roman"/>
                <w:color w:val="444444"/>
                <w:sz w:val="18"/>
              </w:rPr>
              <w:t>Strong Buy</w:t>
            </w:r>
          </w:p>
        </w:tc>
        <w:tc>
          <w:tcPr>
            <w:tcW w:type="dxa" w:w="1984"/>
            <w:shd w:val="clear" w:color="auto" w:fill="F2F6FA"/>
            <w:vAlign w:val="center"/>
          </w:tcPr>
          <w:p>
            <w:pPr>
              <w:jc w:val="center"/>
            </w:pPr>
            <w:r>
              <w:rPr>
                <w:rFonts w:ascii="Times New Roman" w:hAnsi="Times New Roman"/>
                <w:color w:val="444444"/>
                <w:sz w:val="18"/>
              </w:rPr>
              <w:t>1,114</w:t>
            </w:r>
          </w:p>
        </w:tc>
        <w:tc>
          <w:tcPr>
            <w:tcW w:type="dxa" w:w="1701"/>
            <w:shd w:val="clear" w:color="auto" w:fill="F2F6FA"/>
            <w:vAlign w:val="center"/>
          </w:tcPr>
          <w:p>
            <w:pPr>
              <w:jc w:val="center"/>
            </w:pPr>
            <w:r>
              <w:rPr>
                <w:rFonts w:ascii="Times New Roman" w:hAnsi="Times New Roman"/>
                <w:color w:val="444444"/>
                <w:sz w:val="18"/>
              </w:rPr>
              <w:t>+45%</w:t>
            </w:r>
          </w:p>
        </w:tc>
      </w:tr>
    </w:tbl>
    <w:p>
      <w:pPr>
        <w:spacing w:before="40" w:after="40"/>
      </w:pPr>
      <w:r>
        <w:rPr>
          <w:rFonts w:ascii="Times New Roman" w:hAnsi="Times New Roman"/>
          <w:b w:val="0"/>
          <w:i/>
          <w:color w:val="444444"/>
          <w:sz w:val="16"/>
        </w:rPr>
        <w:t>Source: Bloomberg consensus as of May 2026. 12 Buy, 0 Sell.</w:t>
      </w:r>
    </w:p>
    <w:p>
      <w:r>
        <w:drawing>
          <wp:inline xmlns:a="http://schemas.openxmlformats.org/drawingml/2006/main" xmlns:pic="http://schemas.openxmlformats.org/drawingml/2006/picture">
            <wp:extent cx="5029200" cy="2845340"/>
            <wp:docPr id="7" name="Picture 7"/>
            <wp:cNvGraphicFramePr>
              <a:graphicFrameLocks noChangeAspect="1"/>
            </wp:cNvGraphicFramePr>
            <a:graphic>
              <a:graphicData uri="http://schemas.openxmlformats.org/drawingml/2006/picture">
                <pic:pic>
                  <pic:nvPicPr>
                    <pic:cNvPr id="0" name="minimax_chart10_targets.png"/>
                    <pic:cNvPicPr/>
                  </pic:nvPicPr>
                  <pic:blipFill>
                    <a:blip r:embed="rId15"/>
                    <a:stretch>
                      <a:fillRect/>
                    </a:stretch>
                  </pic:blipFill>
                  <pic:spPr>
                    <a:xfrm>
                      <a:off x="0" y="0"/>
                      <a:ext cx="5029200" cy="2845340"/>
                    </a:xfrm>
                    <a:prstGeom prst="rect"/>
                  </pic:spPr>
                </pic:pic>
              </a:graphicData>
            </a:graphic>
          </wp:inline>
        </w:drawing>
      </w:r>
    </w:p>
    <w:p>
      <w:pPr>
        <w:spacing w:after="80"/>
      </w:pPr>
      <w:r>
        <w:rPr>
          <w:rFonts w:ascii="Times New Roman" w:hAnsi="Times New Roman"/>
          <w:i/>
          <w:color w:val="444444"/>
          <w:sz w:val="16"/>
        </w:rPr>
        <w:t>Figure 7: Analyst target prices vs current price. Source: Bloomberg.</w:t>
      </w:r>
    </w:p>
    <w:p>
      <w:pPr>
        <w:spacing w:before="120" w:after="80"/>
      </w:pPr>
      <w:r>
        <w:rPr>
          <w:rFonts w:ascii="Times New Roman" w:hAnsi="Times New Roman"/>
          <w:b/>
          <w:color w:val="003366"/>
          <w:sz w:val="26"/>
        </w:rPr>
        <w:t>R&amp;D Investment Context</w:t>
      </w:r>
    </w:p>
    <w:p>
      <w:pPr>
        <w:spacing w:before="40" w:after="40"/>
      </w:pPr>
      <w:r>
        <w:rPr>
          <w:rFonts w:ascii="Times New Roman" w:hAnsi="Times New Roman"/>
          <w:b w:val="0"/>
          <w:i w:val="0"/>
          <w:color w:val="444444"/>
          <w:sz w:val="20"/>
        </w:rPr>
        <w:t>MiniMax's R&amp;D investment of US$252.8M in FY2025 (320% of revenue) is among the highest in the Chinese AI sector on an R&amp;D intensity basis. While this weighs on near-term profitability, it fuels the model innovation pipeline that drives commercial adoption. The decline from 619% R&amp;D intensity in FY2024 demonstrates rapid revenue scaling relative to a more moderate R&amp;D growth rate of 33.8%.</w:t>
      </w:r>
    </w:p>
    <w:p>
      <w:r>
        <w:drawing>
          <wp:inline xmlns:a="http://schemas.openxmlformats.org/drawingml/2006/main" xmlns:pic="http://schemas.openxmlformats.org/drawingml/2006/picture">
            <wp:extent cx="5029200" cy="2842591"/>
            <wp:docPr id="8" name="Picture 8"/>
            <wp:cNvGraphicFramePr>
              <a:graphicFrameLocks noChangeAspect="1"/>
            </wp:cNvGraphicFramePr>
            <a:graphic>
              <a:graphicData uri="http://schemas.openxmlformats.org/drawingml/2006/picture">
                <pic:pic>
                  <pic:nvPicPr>
                    <pic:cNvPr id="0" name="minimax_chart8_rd_vs_rev.png"/>
                    <pic:cNvPicPr/>
                  </pic:nvPicPr>
                  <pic:blipFill>
                    <a:blip r:embed="rId16"/>
                    <a:stretch>
                      <a:fillRect/>
                    </a:stretch>
                  </pic:blipFill>
                  <pic:spPr>
                    <a:xfrm>
                      <a:off x="0" y="0"/>
                      <a:ext cx="5029200" cy="2842591"/>
                    </a:xfrm>
                    <a:prstGeom prst="rect"/>
                  </pic:spPr>
                </pic:pic>
              </a:graphicData>
            </a:graphic>
          </wp:inline>
        </w:drawing>
      </w:r>
    </w:p>
    <w:p>
      <w:pPr>
        <w:spacing w:after="80"/>
      </w:pPr>
      <w:r>
        <w:rPr>
          <w:rFonts w:ascii="Times New Roman" w:hAnsi="Times New Roman"/>
          <w:i/>
          <w:color w:val="444444"/>
          <w:sz w:val="16"/>
        </w:rPr>
        <w:t>Figure 8: R&amp;D expense vs revenue. Source: Company filings.</w:t>
      </w:r>
    </w:p>
    <w:p>
      <w:r>
        <w:br w:type="page"/>
      </w:r>
    </w:p>
    <w:p>
      <w:pPr>
        <w:spacing w:before="120" w:after="80"/>
      </w:pPr>
      <w:r>
        <w:rPr>
          <w:rFonts w:ascii="Times New Roman" w:hAnsi="Times New Roman"/>
          <w:b/>
          <w:color w:val="003366"/>
          <w:sz w:val="28"/>
        </w:rPr>
        <w:t>User Metrics &amp; Operating Highlights</w:t>
      </w:r>
    </w:p>
    <w:p>
      <w:pPr>
        <w:spacing w:before="120" w:after="80"/>
      </w:pPr>
      <w:r>
        <w:rPr>
          <w:rFonts w:ascii="Times New Roman" w:hAnsi="Times New Roman"/>
          <w:b/>
          <w:color w:val="003366"/>
          <w:sz w:val="26"/>
        </w:rPr>
        <w:t>User Growth</w:t>
      </w:r>
    </w:p>
    <w:p>
      <w:pPr>
        <w:spacing w:before="40" w:after="40"/>
      </w:pPr>
      <w:r>
        <w:rPr>
          <w:rFonts w:ascii="Times New Roman" w:hAnsi="Times New Roman"/>
          <w:b w:val="0"/>
          <w:i w:val="0"/>
          <w:color w:val="444444"/>
          <w:sz w:val="20"/>
        </w:rPr>
        <w:t>MiniMax has cumulatively served 236+ million individual users across 200+ countries, and 214,000+ enterprise customers and developers from 100+ countries. Key product milestones:</w:t>
      </w:r>
    </w:p>
    <w:p>
      <w:pPr>
        <w:pStyle w:val="ListBullet"/>
        <w:spacing w:before="20" w:after="20"/>
      </w:pPr>
      <w:r>
        <w:rPr>
          <w:rFonts w:ascii="Times New Roman" w:hAnsi="Times New Roman"/>
          <w:color w:val="444444"/>
          <w:sz w:val="20"/>
        </w:rPr>
        <w:t>Talkie/Xingye (AI social companion): ~20M MAU as of September 2025, one of the most popular AI companion apps globally.</w:t>
      </w:r>
    </w:p>
    <w:p>
      <w:pPr>
        <w:pStyle w:val="ListBullet"/>
        <w:spacing w:before="20" w:after="20"/>
      </w:pPr>
      <w:r>
        <w:rPr>
          <w:rFonts w:ascii="Times New Roman" w:hAnsi="Times New Roman"/>
          <w:color w:val="444444"/>
          <w:sz w:val="20"/>
        </w:rPr>
        <w:t>Hailuo AI (video generation): ~5.6M MAU, having generated 600+ million videos cumulatively.</w:t>
      </w:r>
    </w:p>
    <w:p>
      <w:pPr>
        <w:pStyle w:val="ListBullet"/>
        <w:spacing w:before="20" w:after="20"/>
      </w:pPr>
      <w:r>
        <w:rPr>
          <w:rFonts w:ascii="Times New Roman" w:hAnsi="Times New Roman"/>
          <w:color w:val="444444"/>
          <w:sz w:val="20"/>
        </w:rPr>
        <w:t>Speech models: Generated 200+ million hours of speech cumulatively.</w:t>
      </w:r>
    </w:p>
    <w:p>
      <w:pPr>
        <w:pStyle w:val="ListBullet"/>
        <w:spacing w:before="20" w:after="20"/>
      </w:pPr>
      <w:r>
        <w:rPr>
          <w:rFonts w:ascii="Times New Roman" w:hAnsi="Times New Roman"/>
          <w:color w:val="444444"/>
          <w:sz w:val="20"/>
        </w:rPr>
        <w:t>M2 model on OpenRouter: First Chinese model to exceed 50 billion daily tokens on the platform.</w:t>
      </w:r>
    </w:p>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minimax_chart7_users.png"/>
                    <pic:cNvPicPr/>
                  </pic:nvPicPr>
                  <pic:blipFill>
                    <a:blip r:embed="rId17"/>
                    <a:stretch>
                      <a:fillRect/>
                    </a:stretch>
                  </pic:blipFill>
                  <pic:spPr>
                    <a:xfrm>
                      <a:off x="0" y="0"/>
                      <a:ext cx="5029200" cy="2842591"/>
                    </a:xfrm>
                    <a:prstGeom prst="rect"/>
                  </pic:spPr>
                </pic:pic>
              </a:graphicData>
            </a:graphic>
          </wp:inline>
        </w:drawing>
      </w:r>
    </w:p>
    <w:p>
      <w:pPr>
        <w:spacing w:after="80"/>
      </w:pPr>
      <w:r>
        <w:rPr>
          <w:rFonts w:ascii="Times New Roman" w:hAnsi="Times New Roman"/>
          <w:i/>
          <w:color w:val="444444"/>
          <w:sz w:val="16"/>
        </w:rPr>
        <w:t>Figure 9: Cumulative user growth. Source: Company filings, prospectus.</w:t>
      </w:r>
    </w:p>
    <w:p>
      <w:pPr>
        <w:spacing w:before="120" w:after="80"/>
      </w:pPr>
      <w:r>
        <w:rPr>
          <w:rFonts w:ascii="Times New Roman" w:hAnsi="Times New Roman"/>
          <w:b/>
          <w:color w:val="003366"/>
          <w:sz w:val="26"/>
        </w:rPr>
        <w:t>Cash Position &amp; Balance Sheet</w:t>
      </w:r>
    </w:p>
    <w:p>
      <w:pPr>
        <w:spacing w:before="40" w:after="40"/>
      </w:pPr>
      <w:r>
        <w:rPr>
          <w:rFonts w:ascii="Times New Roman" w:hAnsi="Times New Roman"/>
          <w:b w:val="0"/>
          <w:i w:val="0"/>
          <w:color w:val="444444"/>
          <w:sz w:val="20"/>
        </w:rPr>
        <w:t>Total cash and cash equivalents (including restricted cash, time deposits, and short-term financial assets) stood at US$1,050.3M as of December 31, 2025, up from US$880.6M at year-end 2024. The increase was primarily driven by IPO proceeds and continued fundraising. With an adjusted annual burn rate of ~US$251M, MiniMax has approximately 4.2 years of runway — comfortably above the 2-year threshold institutional investors typically require.</w:t>
      </w:r>
    </w:p>
    <w:p>
      <w:r>
        <w:drawing>
          <wp:inline xmlns:a="http://schemas.openxmlformats.org/drawingml/2006/main" xmlns:pic="http://schemas.openxmlformats.org/drawingml/2006/picture">
            <wp:extent cx="5029200" cy="2839847"/>
            <wp:docPr id="10" name="Picture 10"/>
            <wp:cNvGraphicFramePr>
              <a:graphicFrameLocks noChangeAspect="1"/>
            </wp:cNvGraphicFramePr>
            <a:graphic>
              <a:graphicData uri="http://schemas.openxmlformats.org/drawingml/2006/picture">
                <pic:pic>
                  <pic:nvPicPr>
                    <pic:cNvPr id="0" name="minimax_chart9_cash.png"/>
                    <pic:cNvPicPr/>
                  </pic:nvPicPr>
                  <pic:blipFill>
                    <a:blip r:embed="rId18"/>
                    <a:stretch>
                      <a:fillRect/>
                    </a:stretch>
                  </pic:blipFill>
                  <pic:spPr>
                    <a:xfrm>
                      <a:off x="0" y="0"/>
                      <a:ext cx="5029200" cy="2839847"/>
                    </a:xfrm>
                    <a:prstGeom prst="rect"/>
                  </pic:spPr>
                </pic:pic>
              </a:graphicData>
            </a:graphic>
          </wp:inline>
        </w:drawing>
      </w:r>
    </w:p>
    <w:p>
      <w:pPr>
        <w:spacing w:after="80"/>
      </w:pPr>
      <w:r>
        <w:rPr>
          <w:rFonts w:ascii="Times New Roman" w:hAnsi="Times New Roman"/>
          <w:i/>
          <w:color w:val="444444"/>
          <w:sz w:val="16"/>
        </w:rPr>
        <w:t>Figure 10: Cash position. Source: Company filings.</w:t>
      </w:r>
    </w:p>
    <w:p>
      <w:pPr>
        <w:spacing w:before="120" w:after="80"/>
      </w:pPr>
      <w:r>
        <w:rPr>
          <w:rFonts w:ascii="Times New Roman" w:hAnsi="Times New Roman"/>
          <w:b/>
          <w:color w:val="003366"/>
          <w:sz w:val="26"/>
        </w:rPr>
        <w:t>Employee Metrics</w:t>
      </w:r>
    </w:p>
    <w:p>
      <w:pPr>
        <w:spacing w:before="40" w:after="40"/>
      </w:pPr>
      <w:r>
        <w:rPr>
          <w:rFonts w:ascii="Times New Roman" w:hAnsi="Times New Roman"/>
          <w:b w:val="0"/>
          <w:i w:val="0"/>
          <w:color w:val="444444"/>
          <w:sz w:val="20"/>
        </w:rPr>
        <w:t>MiniMax operates with a lean team of 428 full-time employees, translating to approximately US$185K in revenue per employee in FY2025 and US$591K in R&amp;D spending per employee. The small team size relative to revenue and model capabilities underscores operational efficiency.</w:t>
      </w:r>
    </w:p>
    <w:p>
      <w:r>
        <w:br w:type="page"/>
      </w:r>
    </w:p>
    <w:p>
      <w:pPr>
        <w:spacing w:before="120" w:after="80"/>
      </w:pPr>
      <w:r>
        <w:rPr>
          <w:rFonts w:ascii="Times New Roman" w:hAnsi="Times New Roman"/>
          <w:b/>
          <w:color w:val="003366"/>
          <w:sz w:val="28"/>
        </w:rPr>
        <w:t>Sources &amp; References</w:t>
      </w:r>
    </w:p>
    <w:p>
      <w:pPr>
        <w:spacing w:before="40" w:after="40"/>
      </w:pPr>
      <w:r>
        <w:rPr>
          <w:rFonts w:ascii="Times New Roman" w:hAnsi="Times New Roman"/>
          <w:b/>
          <w:i w:val="0"/>
          <w:color w:val="444444"/>
          <w:sz w:val="20"/>
        </w:rPr>
        <w:t>Earnings Materials (FY2025):</w:t>
      </w:r>
    </w:p>
    <w:p>
      <w:pPr>
        <w:spacing w:before="40" w:after="40"/>
      </w:pPr>
      <w:r>
        <w:rPr>
          <w:rFonts w:ascii="Times New Roman" w:hAnsi="Times New Roman"/>
          <w:color w:val="444444"/>
          <w:sz w:val="18"/>
        </w:rPr>
        <w:t xml:space="preserve">• MiniMax FY2025 Annual Results Press Release (March 2, 2026): </w:t>
      </w:r>
      <w:hyperlink r:id="rId19">
        <w:r>
          <w:rPr>
            <w:rStyle w:val="Hyperlink"/>
            <w:color w:val="0066CC"/>
            <w:u w:val="single"/>
            <w:sz w:val="20"/>
          </w:rPr>
          <w:t>MiniMax Official Announcement</w:t>
        </w:r>
      </w:hyperlink>
    </w:p>
    <w:p>
      <w:pPr>
        <w:spacing w:before="40" w:after="40"/>
      </w:pPr>
      <w:r>
        <w:rPr>
          <w:rFonts w:ascii="Times New Roman" w:hAnsi="Times New Roman"/>
          <w:color w:val="444444"/>
          <w:sz w:val="18"/>
        </w:rPr>
        <w:t xml:space="preserve">• PR Newswire Release (March 2, 2026): </w:t>
      </w:r>
      <w:hyperlink r:id="rId20">
        <w:r>
          <w:rPr>
            <w:rStyle w:val="Hyperlink"/>
            <w:color w:val="0066CC"/>
            <w:u w:val="single"/>
            <w:sz w:val="20"/>
          </w:rPr>
          <w:t>PR Newswire</w:t>
        </w:r>
      </w:hyperlink>
    </w:p>
    <w:p>
      <w:pPr>
        <w:spacing w:before="40" w:after="40"/>
      </w:pPr>
      <w:r>
        <w:rPr>
          <w:rFonts w:ascii="Times New Roman" w:hAnsi="Times New Roman"/>
          <w:b/>
          <w:i w:val="0"/>
          <w:color w:val="444444"/>
          <w:sz w:val="20"/>
        </w:rPr>
        <w:t>Analyst Research:</w:t>
      </w:r>
    </w:p>
    <w:p>
      <w:pPr>
        <w:spacing w:before="40" w:after="40"/>
      </w:pPr>
      <w:r>
        <w:rPr>
          <w:rFonts w:ascii="Times New Roman" w:hAnsi="Times New Roman"/>
          <w:color w:val="444444"/>
          <w:sz w:val="18"/>
        </w:rPr>
        <w:t xml:space="preserve">• Goldman Sachs — MiniMax (00100.HK) 4Q25 Results Beat (March 3, 2026): </w:t>
      </w:r>
      <w:hyperlink r:id="rId21">
        <w:r>
          <w:rPr>
            <w:rStyle w:val="Hyperlink"/>
            <w:color w:val="0066CC"/>
            <w:u w:val="single"/>
            <w:sz w:val="20"/>
          </w:rPr>
          <w:t>Goldman Sachs Report</w:t>
        </w:r>
      </w:hyperlink>
    </w:p>
    <w:p>
      <w:pPr>
        <w:spacing w:before="40" w:after="40"/>
      </w:pPr>
      <w:r>
        <w:rPr>
          <w:rFonts w:ascii="Times New Roman" w:hAnsi="Times New Roman"/>
          <w:color w:val="444444"/>
          <w:sz w:val="18"/>
        </w:rPr>
        <w:t xml:space="preserve">• CICC — Outperform, TP HK$1,109 (March 3, 2026): </w:t>
      </w:r>
      <w:hyperlink r:id="rId22">
        <w:r>
          <w:rPr>
            <w:rStyle w:val="Hyperlink"/>
            <w:color w:val="0066CC"/>
            <w:u w:val="single"/>
            <w:sz w:val="20"/>
          </w:rPr>
          <w:t>CICC Report</w:t>
        </w:r>
      </w:hyperlink>
    </w:p>
    <w:p>
      <w:pPr>
        <w:spacing w:before="40" w:after="40"/>
      </w:pPr>
      <w:r>
        <w:rPr>
          <w:rFonts w:ascii="Times New Roman" w:hAnsi="Times New Roman"/>
          <w:b/>
          <w:i w:val="0"/>
          <w:color w:val="444444"/>
          <w:sz w:val="20"/>
        </w:rPr>
        <w:t>Other Sources:</w:t>
      </w:r>
    </w:p>
    <w:p>
      <w:pPr>
        <w:spacing w:before="40" w:after="40"/>
      </w:pPr>
      <w:r>
        <w:rPr>
          <w:rFonts w:ascii="Times New Roman" w:hAnsi="Times New Roman"/>
          <w:color w:val="444444"/>
          <w:sz w:val="18"/>
        </w:rPr>
        <w:t>• Bloomberg consensus estimates as of May 2026</w:t>
      </w:r>
    </w:p>
    <w:p>
      <w:pPr>
        <w:spacing w:before="40" w:after="40"/>
      </w:pPr>
      <w:r>
        <w:rPr>
          <w:rFonts w:ascii="Times New Roman" w:hAnsi="Times New Roman"/>
          <w:color w:val="444444"/>
          <w:sz w:val="18"/>
        </w:rPr>
        <w:t>• Market data: Yahoo Finance (0100.HK) via yfinance API</w:t>
      </w:r>
    </w:p>
    <w:p/>
    <w:p>
      <w:pPr>
        <w:spacing w:before="40" w:after="40"/>
      </w:pPr>
      <w:r>
        <w:rPr>
          <w:rFonts w:ascii="Times New Roman" w:hAnsi="Times New Roman"/>
          <w:b w:val="0"/>
          <w:i/>
          <w:color w:val="444444"/>
          <w:sz w:val="16"/>
        </w:rPr>
        <w:t>DISCLAIMER: This report is for informational purposes only and does not constitute investment advice. Past performance is not indicative of future results. The author may hold positions in the securities discussed. All data sourced from publicly available company filings and third-party research.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minimax.io/news/minimax-global-announces-full-year-2025-financial-results" TargetMode="External"/><Relationship Id="rId20" Type="http://schemas.openxmlformats.org/officeDocument/2006/relationships/hyperlink" Target="https://www.prnewswire.com/apac/news-releases/minimax-announces-full-year-2025-financial-results-302700878.html" TargetMode="External"/><Relationship Id="rId21" Type="http://schemas.openxmlformats.org/officeDocument/2006/relationships/hyperlink" Target="https://finance.sina.com.cn/stock/hkstock/hkgg/2026-03-03/doc-inhpsxzn7541443.shtml" TargetMode="External"/><Relationship Id="rId22" Type="http://schemas.openxmlformats.org/officeDocument/2006/relationships/hyperlink" Target="https://finance.sina.com.cn/stock/hkstock/hkgg/2026-03-03/doc-inhpteik7480227.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