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ind w:left="0"/>
      </w:pPr>
      <w:r>
        <w:rPr>
          <w:b/>
          <w:color w:val="1F4E79"/>
          <w:sz w:val="28"/>
          <w:rFonts w:eastAsia="黑体" w:ascii="Times New Roman" w:hAnsi="Times New Roman"/>
        </w:rPr>
        <w:t>阳光电源股份有限公司（300274.SZ）</w:t>
      </w:r>
    </w:p>
    <w:p>
      <w:pPr>
        <w:spacing w:before="0" w:after="40"/>
        <w:ind w:left="0"/>
      </w:pPr>
      <w:r>
        <w:rPr>
          <w:b/>
          <w:color w:val="2E75B6"/>
          <w:sz w:val="22"/>
          <w:rFonts w:eastAsia="黑体" w:ascii="Times New Roman" w:hAnsi="Times New Roman"/>
        </w:rPr>
        <w:t>2025年第四季度 / 2025年全年业绩更新报告</w:t>
      </w:r>
    </w:p>
    <w:p>
      <w:pPr>
        <w:spacing w:before="0" w:after="160"/>
        <w:ind w:left="0"/>
      </w:pPr>
      <w:r>
        <w:rPr>
          <w:b w:val="0"/>
          <w:i/>
          <w:color w:val="808080"/>
          <w:sz w:val="18"/>
          <w:rFonts w:eastAsia="宋体" w:ascii="Times New Roman" w:hAnsi="Times New Roman"/>
        </w:rPr>
        <w:t>2026年4月22日  ·  股票研究  ·  中国新能源 / 新能源设备行业</w:t>
      </w:r>
    </w:p>
    <w:p>
      <w:pPr>
        <w:spacing w:before="40" w:after="40"/>
        <w:pBdr>
          <w:bottom w:val="single" w:sz="6" w:space="1" w:color="1F4E79"/>
        </w:pBdr>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Pr>
                <w:b w:val="0"/>
                <w:color w:val="C8DCF0"/>
                <w:sz w:val="16"/>
                <w:rFonts w:eastAsia="宋体"/>
              </w:rPr>
              <w:t>评级</w:t>
              <w:br/>
            </w:r>
            <w:r>
              <w:rPr>
                <w:b/>
                <w:color w:val="FFFFFF"/>
                <w:sz w:val="20"/>
                <w:rFonts w:eastAsia="黑体"/>
              </w:rPr>
              <w:t>跑赢大盘 ★</w:t>
            </w:r>
          </w:p>
        </w:tc>
        <w:tc>
          <w:tcPr>
            <w:tcW w:type="dxa" w:w="2436"/>
            <w:shd w:val="clear" w:color="auto" w:fill="2E75B6"/>
          </w:tcPr>
          <w:p>
            <w:pPr>
              <w:jc w:val="center"/>
            </w:pPr>
            <w:r>
              <w:rPr>
                <w:b w:val="0"/>
                <w:color w:val="C8DCF0"/>
                <w:sz w:val="16"/>
                <w:rFonts w:eastAsia="宋体"/>
              </w:rPr>
              <w:t>股价（2026/4/21）</w:t>
              <w:br/>
            </w:r>
            <w:r>
              <w:rPr>
                <w:b/>
                <w:color w:val="FFFFFF"/>
                <w:sz w:val="20"/>
                <w:rFonts w:eastAsia="黑体"/>
              </w:rPr>
              <w:t>136.91元</w:t>
            </w:r>
          </w:p>
        </w:tc>
        <w:tc>
          <w:tcPr>
            <w:tcW w:type="dxa" w:w="2436"/>
            <w:shd w:val="clear" w:color="auto" w:fill="375623"/>
          </w:tcPr>
          <w:p>
            <w:pPr>
              <w:jc w:val="center"/>
            </w:pPr>
            <w:r>
              <w:rPr>
                <w:b w:val="0"/>
                <w:color w:val="C8DCF0"/>
                <w:sz w:val="16"/>
                <w:rFonts w:eastAsia="宋体"/>
              </w:rPr>
              <w:t>目标价</w:t>
              <w:br/>
            </w:r>
            <w:r>
              <w:rPr>
                <w:b/>
                <w:color w:val="FFFFFF"/>
                <w:sz w:val="20"/>
                <w:rFonts w:eastAsia="黑体"/>
              </w:rPr>
              <w:t>158.00元</w:t>
            </w:r>
          </w:p>
        </w:tc>
        <w:tc>
          <w:tcPr>
            <w:tcW w:type="dxa" w:w="2436"/>
            <w:shd w:val="clear" w:color="auto" w:fill="375623"/>
          </w:tcPr>
          <w:p>
            <w:pPr>
              <w:jc w:val="center"/>
            </w:pPr>
            <w:r>
              <w:rPr>
                <w:b w:val="0"/>
                <w:color w:val="C8DCF0"/>
                <w:sz w:val="16"/>
                <w:rFonts w:eastAsia="宋体"/>
              </w:rPr>
              <w:t>隐含上涨空间</w:t>
              <w:br/>
            </w:r>
            <w:r>
              <w:rPr>
                <w:b/>
                <w:color w:val="FFFFFF"/>
                <w:sz w:val="20"/>
                <w:rFonts w:eastAsia="黑体"/>
              </w:rPr>
              <w:t>+15.4%</w:t>
            </w:r>
          </w:p>
        </w:tc>
      </w:tr>
    </w:tbl>
    <w:p/>
    <w:p>
      <w:pPr>
        <w:spacing w:before="80" w:after="80"/>
        <w:ind w:left="0"/>
      </w:pPr>
      <w:r>
        <w:rPr>
          <w:b/>
          <w:color w:val="1F4E79"/>
          <w:sz w:val="21"/>
          <w:rFonts w:eastAsia="黑体" w:ascii="Times New Roman" w:hAnsi="Times New Roman"/>
        </w:rPr>
        <w:t>2025年Q4及全年业绩快照</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80"/>
            <w:shd w:val="clear" w:color="auto" w:fill="1F4E79"/>
          </w:tcPr>
          <w:p>
            <w:pPr>
              <w:jc w:val="center"/>
            </w:pPr>
            <w:r>
              <w:rPr>
                <w:b/>
                <w:color w:val="FFFFFF"/>
                <w:sz w:val="16"/>
                <w:rFonts w:eastAsia="黑体" w:ascii="Times New Roman" w:hAnsi="Times New Roman"/>
              </w:rPr>
              <w:t>指标</w:t>
            </w:r>
          </w:p>
        </w:tc>
        <w:tc>
          <w:tcPr>
            <w:tcW w:type="dxa" w:w="1728"/>
            <w:shd w:val="clear" w:color="auto" w:fill="1F4E79"/>
          </w:tcPr>
          <w:p>
            <w:pPr>
              <w:jc w:val="center"/>
            </w:pPr>
            <w:r>
              <w:rPr>
                <w:b/>
                <w:color w:val="FFFFFF"/>
                <w:sz w:val="16"/>
                <w:rFonts w:eastAsia="黑体" w:ascii="Times New Roman" w:hAnsi="Times New Roman"/>
              </w:rPr>
              <w:t>2025年实际</w:t>
            </w:r>
          </w:p>
        </w:tc>
        <w:tc>
          <w:tcPr>
            <w:tcW w:type="dxa" w:w="2304"/>
            <w:shd w:val="clear" w:color="auto" w:fill="1F4E79"/>
          </w:tcPr>
          <w:p>
            <w:pPr>
              <w:jc w:val="center"/>
            </w:pPr>
            <w:r>
              <w:rPr>
                <w:b/>
                <w:color w:val="FFFFFF"/>
                <w:sz w:val="16"/>
                <w:rFonts w:eastAsia="黑体" w:ascii="Times New Roman" w:hAnsi="Times New Roman"/>
              </w:rPr>
              <w:t>市场预期（一致预期）</w:t>
            </w:r>
          </w:p>
        </w:tc>
        <w:tc>
          <w:tcPr>
            <w:tcW w:type="dxa" w:w="2304"/>
            <w:shd w:val="clear" w:color="auto" w:fill="1F4E79"/>
          </w:tcPr>
          <w:p>
            <w:pPr>
              <w:jc w:val="center"/>
            </w:pPr>
            <w:r>
              <w:rPr>
                <w:b/>
                <w:color w:val="FFFFFF"/>
                <w:sz w:val="16"/>
                <w:rFonts w:eastAsia="黑体" w:ascii="Times New Roman" w:hAnsi="Times New Roman"/>
              </w:rPr>
              <w:t>超预期/（低于预期）</w:t>
            </w:r>
          </w:p>
        </w:tc>
        <w:tc>
          <w:tcPr>
            <w:tcW w:type="dxa" w:w="1440"/>
            <w:shd w:val="clear" w:color="auto" w:fill="1F4E79"/>
          </w:tcPr>
          <w:p>
            <w:pPr>
              <w:jc w:val="center"/>
            </w:pPr>
            <w:r>
              <w:rPr>
                <w:b/>
                <w:color w:val="FFFFFF"/>
                <w:sz w:val="16"/>
                <w:rFonts w:eastAsia="黑体" w:ascii="Times New Roman" w:hAnsi="Times New Roman"/>
              </w:rPr>
              <w:t>同比变动</w:t>
            </w:r>
          </w:p>
        </w:tc>
      </w:tr>
      <w:tr>
        <w:tc>
          <w:tcPr>
            <w:tcW w:type="dxa" w:w="2880"/>
          </w:tcPr>
          <w:p>
            <w:pPr>
              <w:jc w:val="left"/>
            </w:pPr>
            <w:r>
              <w:rPr>
                <w:sz w:val="16"/>
                <w:rFonts w:eastAsia="宋体" w:ascii="Times New Roman" w:hAnsi="Times New Roman"/>
              </w:rPr>
              <w:t>营业收入（亿元）</w:t>
            </w:r>
          </w:p>
        </w:tc>
        <w:tc>
          <w:tcPr>
            <w:tcW w:type="dxa" w:w="1728"/>
          </w:tcPr>
          <w:p>
            <w:pPr>
              <w:jc w:val="center"/>
            </w:pPr>
            <w:r>
              <w:rPr>
                <w:sz w:val="16"/>
                <w:rFonts w:eastAsia="宋体" w:ascii="Times New Roman" w:hAnsi="Times New Roman"/>
              </w:rPr>
              <w:t>891.84亿</w:t>
            </w:r>
          </w:p>
        </w:tc>
        <w:tc>
          <w:tcPr>
            <w:tcW w:type="dxa" w:w="2304"/>
          </w:tcPr>
          <w:p>
            <w:pPr>
              <w:jc w:val="center"/>
            </w:pPr>
            <w:r>
              <w:rPr>
                <w:sz w:val="16"/>
                <w:rFonts w:eastAsia="宋体" w:ascii="Times New Roman" w:hAnsi="Times New Roman"/>
              </w:rPr>
              <w:t>900亿</w:t>
            </w:r>
          </w:p>
        </w:tc>
        <w:tc>
          <w:tcPr>
            <w:tcW w:type="dxa" w:w="2304"/>
          </w:tcPr>
          <w:p>
            <w:pPr>
              <w:jc w:val="center"/>
            </w:pPr>
            <w:r>
              <w:rPr>
                <w:sz w:val="16"/>
                <w:rFonts w:eastAsia="宋体" w:ascii="Times New Roman" w:hAnsi="Times New Roman"/>
              </w:rPr>
              <w:t>（8.16亿/-0.9%）</w:t>
            </w:r>
          </w:p>
        </w:tc>
        <w:tc>
          <w:tcPr>
            <w:tcW w:type="dxa" w:w="1440"/>
          </w:tcPr>
          <w:p>
            <w:pPr>
              <w:jc w:val="center"/>
            </w:pPr>
            <w:r>
              <w:rPr>
                <w:sz w:val="16"/>
                <w:rFonts w:eastAsia="宋体" w:ascii="Times New Roman" w:hAnsi="Times New Roman"/>
              </w:rPr>
              <w:t>+14.6%</w:t>
            </w:r>
          </w:p>
        </w:tc>
      </w:tr>
      <w:tr>
        <w:tc>
          <w:tcPr>
            <w:tcW w:type="dxa" w:w="2880"/>
            <w:shd w:val="clear" w:color="auto" w:fill="E9EEF4"/>
          </w:tcPr>
          <w:p>
            <w:pPr>
              <w:jc w:val="left"/>
            </w:pPr>
            <w:r>
              <w:rPr>
                <w:sz w:val="16"/>
                <w:rFonts w:eastAsia="宋体" w:ascii="Times New Roman" w:hAnsi="Times New Roman"/>
              </w:rPr>
              <w:t>归母净利润（亿元）</w:t>
            </w:r>
          </w:p>
        </w:tc>
        <w:tc>
          <w:tcPr>
            <w:tcW w:type="dxa" w:w="1728"/>
            <w:shd w:val="clear" w:color="auto" w:fill="E9EEF4"/>
          </w:tcPr>
          <w:p>
            <w:pPr>
              <w:jc w:val="center"/>
            </w:pPr>
            <w:r>
              <w:rPr>
                <w:sz w:val="16"/>
                <w:rFonts w:eastAsia="宋体" w:ascii="Times New Roman" w:hAnsi="Times New Roman"/>
              </w:rPr>
              <w:t>134.61亿</w:t>
            </w:r>
          </w:p>
        </w:tc>
        <w:tc>
          <w:tcPr>
            <w:tcW w:type="dxa" w:w="2304"/>
            <w:shd w:val="clear" w:color="auto" w:fill="E9EEF4"/>
          </w:tcPr>
          <w:p>
            <w:pPr>
              <w:jc w:val="center"/>
            </w:pPr>
            <w:r>
              <w:rPr>
                <w:sz w:val="16"/>
                <w:rFonts w:eastAsia="宋体" w:ascii="Times New Roman" w:hAnsi="Times New Roman"/>
              </w:rPr>
              <w:t>154.52亿</w:t>
            </w:r>
          </w:p>
        </w:tc>
        <w:tc>
          <w:tcPr>
            <w:tcW w:type="dxa" w:w="2304"/>
            <w:shd w:val="clear" w:color="auto" w:fill="E9EEF4"/>
          </w:tcPr>
          <w:p>
            <w:pPr>
              <w:jc w:val="center"/>
            </w:pPr>
            <w:r>
              <w:rPr>
                <w:sz w:val="16"/>
                <w:rFonts w:eastAsia="宋体" w:ascii="Times New Roman" w:hAnsi="Times New Roman"/>
              </w:rPr>
              <w:t>（19.91亿/-12.9%）</w:t>
            </w:r>
          </w:p>
        </w:tc>
        <w:tc>
          <w:tcPr>
            <w:tcW w:type="dxa" w:w="1440"/>
            <w:shd w:val="clear" w:color="auto" w:fill="E9EEF4"/>
          </w:tcPr>
          <w:p>
            <w:pPr>
              <w:jc w:val="center"/>
            </w:pPr>
            <w:r>
              <w:rPr>
                <w:sz w:val="16"/>
                <w:rFonts w:eastAsia="宋体" w:ascii="Times New Roman" w:hAnsi="Times New Roman"/>
              </w:rPr>
              <w:t>+22.0%</w:t>
            </w:r>
          </w:p>
        </w:tc>
      </w:tr>
      <w:tr>
        <w:tc>
          <w:tcPr>
            <w:tcW w:type="dxa" w:w="2880"/>
          </w:tcPr>
          <w:p>
            <w:pPr>
              <w:jc w:val="left"/>
            </w:pPr>
            <w:r>
              <w:rPr>
                <w:sz w:val="16"/>
                <w:rFonts w:eastAsia="宋体" w:ascii="Times New Roman" w:hAnsi="Times New Roman"/>
              </w:rPr>
              <w:t>基本每股收益（元）</w:t>
            </w:r>
          </w:p>
        </w:tc>
        <w:tc>
          <w:tcPr>
            <w:tcW w:type="dxa" w:w="1728"/>
          </w:tcPr>
          <w:p>
            <w:pPr>
              <w:jc w:val="center"/>
            </w:pPr>
            <w:r>
              <w:rPr>
                <w:sz w:val="16"/>
                <w:rFonts w:eastAsia="宋体" w:ascii="Times New Roman" w:hAnsi="Times New Roman"/>
              </w:rPr>
              <w:t>6.55元</w:t>
            </w:r>
          </w:p>
        </w:tc>
        <w:tc>
          <w:tcPr>
            <w:tcW w:type="dxa" w:w="2304"/>
          </w:tcPr>
          <w:p>
            <w:pPr>
              <w:jc w:val="center"/>
            </w:pPr>
            <w:r>
              <w:rPr>
                <w:sz w:val="16"/>
                <w:rFonts w:eastAsia="宋体" w:ascii="Times New Roman" w:hAnsi="Times New Roman"/>
              </w:rPr>
              <w:t>7.50元E</w:t>
            </w:r>
          </w:p>
        </w:tc>
        <w:tc>
          <w:tcPr>
            <w:tcW w:type="dxa" w:w="2304"/>
          </w:tcPr>
          <w:p>
            <w:pPr>
              <w:jc w:val="center"/>
            </w:pPr>
            <w:r>
              <w:rPr>
                <w:sz w:val="16"/>
                <w:rFonts w:eastAsia="宋体" w:ascii="Times New Roman" w:hAnsi="Times New Roman"/>
              </w:rPr>
              <w:t>（0.95元/-12.7%）</w:t>
            </w:r>
          </w:p>
        </w:tc>
        <w:tc>
          <w:tcPr>
            <w:tcW w:type="dxa" w:w="1440"/>
          </w:tcPr>
          <w:p>
            <w:pPr>
              <w:jc w:val="center"/>
            </w:pPr>
            <w:r>
              <w:rPr>
                <w:sz w:val="16"/>
                <w:rFonts w:eastAsia="宋体" w:ascii="Times New Roman" w:hAnsi="Times New Roman"/>
              </w:rPr>
              <w:t>+23.1%</w:t>
            </w:r>
          </w:p>
        </w:tc>
      </w:tr>
      <w:tr>
        <w:tc>
          <w:tcPr>
            <w:tcW w:type="dxa" w:w="2880"/>
            <w:shd w:val="clear" w:color="auto" w:fill="E9EEF4"/>
          </w:tcPr>
          <w:p>
            <w:pPr>
              <w:jc w:val="left"/>
            </w:pPr>
            <w:r>
              <w:rPr>
                <w:sz w:val="16"/>
                <w:rFonts w:eastAsia="宋体" w:ascii="Times New Roman" w:hAnsi="Times New Roman"/>
              </w:rPr>
              <w:t>毛利率（%）</w:t>
            </w:r>
          </w:p>
        </w:tc>
        <w:tc>
          <w:tcPr>
            <w:tcW w:type="dxa" w:w="1728"/>
            <w:shd w:val="clear" w:color="auto" w:fill="E9EEF4"/>
          </w:tcPr>
          <w:p>
            <w:pPr>
              <w:jc w:val="center"/>
            </w:pPr>
            <w:r>
              <w:rPr>
                <w:sz w:val="16"/>
                <w:rFonts w:eastAsia="宋体" w:ascii="Times New Roman" w:hAnsi="Times New Roman"/>
              </w:rPr>
              <w:t>31.83%</w:t>
            </w:r>
          </w:p>
        </w:tc>
        <w:tc>
          <w:tcPr>
            <w:tcW w:type="dxa" w:w="2304"/>
            <w:shd w:val="clear" w:color="auto" w:fill="E9EEF4"/>
          </w:tcPr>
          <w:p>
            <w:pPr>
              <w:jc w:val="center"/>
            </w:pPr>
            <w:r>
              <w:rPr>
                <w:sz w:val="16"/>
                <w:rFonts w:eastAsia="宋体" w:ascii="Times New Roman" w:hAnsi="Times New Roman"/>
              </w:rPr>
              <w:t>约30%</w:t>
            </w:r>
          </w:p>
        </w:tc>
        <w:tc>
          <w:tcPr>
            <w:tcW w:type="dxa" w:w="2304"/>
            <w:shd w:val="clear" w:color="auto" w:fill="E9EEF4"/>
          </w:tcPr>
          <w:p>
            <w:pPr>
              <w:jc w:val="center"/>
            </w:pPr>
            <w:r>
              <w:rPr>
                <w:sz w:val="16"/>
                <w:rFonts w:eastAsia="宋体" w:ascii="Times New Roman" w:hAnsi="Times New Roman"/>
              </w:rPr>
              <w:t>+183bps</w:t>
            </w:r>
          </w:p>
        </w:tc>
        <w:tc>
          <w:tcPr>
            <w:tcW w:type="dxa" w:w="1440"/>
            <w:shd w:val="clear" w:color="auto" w:fill="E9EEF4"/>
          </w:tcPr>
          <w:p>
            <w:pPr>
              <w:jc w:val="center"/>
            </w:pPr>
            <w:r>
              <w:rPr>
                <w:sz w:val="16"/>
                <w:rFonts w:eastAsia="宋体" w:ascii="Times New Roman" w:hAnsi="Times New Roman"/>
              </w:rPr>
              <w:t>+631bps</w:t>
            </w:r>
          </w:p>
        </w:tc>
      </w:tr>
      <w:tr>
        <w:tc>
          <w:tcPr>
            <w:tcW w:type="dxa" w:w="2880"/>
          </w:tcPr>
          <w:p>
            <w:pPr>
              <w:jc w:val="left"/>
            </w:pPr>
            <w:r>
              <w:rPr>
                <w:sz w:val="16"/>
                <w:rFonts w:eastAsia="宋体" w:ascii="Times New Roman" w:hAnsi="Times New Roman"/>
              </w:rPr>
              <w:t>净利率（%）</w:t>
            </w:r>
          </w:p>
        </w:tc>
        <w:tc>
          <w:tcPr>
            <w:tcW w:type="dxa" w:w="1728"/>
          </w:tcPr>
          <w:p>
            <w:pPr>
              <w:jc w:val="center"/>
            </w:pPr>
            <w:r>
              <w:rPr>
                <w:sz w:val="16"/>
                <w:rFonts w:eastAsia="宋体" w:ascii="Times New Roman" w:hAnsi="Times New Roman"/>
              </w:rPr>
              <w:t>15.17%</w:t>
            </w:r>
          </w:p>
        </w:tc>
        <w:tc>
          <w:tcPr>
            <w:tcW w:type="dxa" w:w="2304"/>
          </w:tcPr>
          <w:p>
            <w:pPr>
              <w:jc w:val="center"/>
            </w:pPr>
            <w:r>
              <w:rPr>
                <w:sz w:val="16"/>
                <w:rFonts w:eastAsia="宋体" w:ascii="Times New Roman" w:hAnsi="Times New Roman"/>
              </w:rPr>
              <w:t>约17%</w:t>
            </w:r>
          </w:p>
        </w:tc>
        <w:tc>
          <w:tcPr>
            <w:tcW w:type="dxa" w:w="2304"/>
          </w:tcPr>
          <w:p>
            <w:pPr>
              <w:jc w:val="center"/>
            </w:pPr>
            <w:r>
              <w:rPr>
                <w:sz w:val="16"/>
                <w:rFonts w:eastAsia="宋体" w:ascii="Times New Roman" w:hAnsi="Times New Roman"/>
              </w:rPr>
              <w:t>-183bps</w:t>
            </w:r>
          </w:p>
        </w:tc>
        <w:tc>
          <w:tcPr>
            <w:tcW w:type="dxa" w:w="1440"/>
          </w:tcPr>
          <w:p>
            <w:pPr>
              <w:jc w:val="center"/>
            </w:pPr>
            <w:r>
              <w:rPr>
                <w:sz w:val="16"/>
                <w:rFonts w:eastAsia="宋体" w:ascii="Times New Roman" w:hAnsi="Times New Roman"/>
              </w:rPr>
              <w:t>+488bps</w:t>
            </w:r>
          </w:p>
        </w:tc>
      </w:tr>
      <w:tr>
        <w:tc>
          <w:tcPr>
            <w:tcW w:type="dxa" w:w="2880"/>
            <w:shd w:val="clear" w:color="auto" w:fill="E9EEF4"/>
          </w:tcPr>
          <w:p>
            <w:pPr>
              <w:jc w:val="left"/>
            </w:pPr>
            <w:r>
              <w:rPr>
                <w:sz w:val="16"/>
                <w:rFonts w:eastAsia="宋体" w:ascii="Times New Roman" w:hAnsi="Times New Roman"/>
              </w:rPr>
              <w:t>Q4营收（亿元）</w:t>
            </w:r>
          </w:p>
        </w:tc>
        <w:tc>
          <w:tcPr>
            <w:tcW w:type="dxa" w:w="1728"/>
            <w:shd w:val="clear" w:color="auto" w:fill="E9EEF4"/>
          </w:tcPr>
          <w:p>
            <w:pPr>
              <w:jc w:val="center"/>
            </w:pPr>
            <w:r>
              <w:rPr>
                <w:sz w:val="16"/>
                <w:rFonts w:eastAsia="宋体" w:ascii="Times New Roman" w:hAnsi="Times New Roman"/>
              </w:rPr>
              <w:t>227.82亿</w:t>
            </w:r>
          </w:p>
        </w:tc>
        <w:tc>
          <w:tcPr>
            <w:tcW w:type="dxa" w:w="2304"/>
            <w:shd w:val="clear" w:color="auto" w:fill="E9EEF4"/>
          </w:tcPr>
          <w:p>
            <w:pPr>
              <w:jc w:val="center"/>
            </w:pPr>
            <w:r>
              <w:rPr>
                <w:sz w:val="16"/>
                <w:rFonts w:eastAsia="宋体" w:ascii="Times New Roman" w:hAnsi="Times New Roman"/>
              </w:rPr>
              <w:t>约240亿</w:t>
            </w:r>
          </w:p>
        </w:tc>
        <w:tc>
          <w:tcPr>
            <w:tcW w:type="dxa" w:w="2304"/>
            <w:shd w:val="clear" w:color="auto" w:fill="E9EEF4"/>
          </w:tcPr>
          <w:p>
            <w:pPr>
              <w:jc w:val="center"/>
            </w:pPr>
            <w:r>
              <w:rPr>
                <w:sz w:val="16"/>
                <w:rFonts w:eastAsia="宋体" w:ascii="Times New Roman" w:hAnsi="Times New Roman"/>
              </w:rPr>
              <w:t>（约12亿/-5.1%）</w:t>
            </w:r>
          </w:p>
        </w:tc>
        <w:tc>
          <w:tcPr>
            <w:tcW w:type="dxa" w:w="1440"/>
            <w:shd w:val="clear" w:color="auto" w:fill="E9EEF4"/>
          </w:tcPr>
          <w:p>
            <w:pPr>
              <w:jc w:val="center"/>
            </w:pPr>
            <w:r>
              <w:rPr>
                <w:sz w:val="16"/>
                <w:rFonts w:eastAsia="宋体" w:ascii="Times New Roman" w:hAnsi="Times New Roman"/>
              </w:rPr>
              <w:t>-18.4%</w:t>
            </w:r>
          </w:p>
        </w:tc>
      </w:tr>
      <w:tr>
        <w:tc>
          <w:tcPr>
            <w:tcW w:type="dxa" w:w="2880"/>
          </w:tcPr>
          <w:p>
            <w:pPr>
              <w:jc w:val="left"/>
            </w:pPr>
            <w:r>
              <w:rPr>
                <w:sz w:val="16"/>
                <w:rFonts w:eastAsia="宋体" w:ascii="Times New Roman" w:hAnsi="Times New Roman"/>
              </w:rPr>
              <w:t>Q4归母净利润（亿元）</w:t>
            </w:r>
          </w:p>
        </w:tc>
        <w:tc>
          <w:tcPr>
            <w:tcW w:type="dxa" w:w="1728"/>
          </w:tcPr>
          <w:p>
            <w:pPr>
              <w:jc w:val="center"/>
            </w:pPr>
            <w:r>
              <w:rPr>
                <w:sz w:val="16"/>
                <w:rFonts w:eastAsia="宋体" w:ascii="Times New Roman" w:hAnsi="Times New Roman"/>
              </w:rPr>
              <w:t>15.80亿</w:t>
            </w:r>
          </w:p>
        </w:tc>
        <w:tc>
          <w:tcPr>
            <w:tcW w:type="dxa" w:w="2304"/>
          </w:tcPr>
          <w:p>
            <w:pPr>
              <w:jc w:val="center"/>
            </w:pPr>
            <w:r>
              <w:rPr>
                <w:sz w:val="16"/>
                <w:rFonts w:eastAsia="宋体" w:ascii="Times New Roman" w:hAnsi="Times New Roman"/>
              </w:rPr>
              <w:t>约35亿</w:t>
            </w:r>
          </w:p>
        </w:tc>
        <w:tc>
          <w:tcPr>
            <w:tcW w:type="dxa" w:w="2304"/>
          </w:tcPr>
          <w:p>
            <w:pPr>
              <w:jc w:val="center"/>
            </w:pPr>
            <w:r>
              <w:rPr>
                <w:sz w:val="16"/>
                <w:rFonts w:eastAsia="宋体" w:ascii="Times New Roman" w:hAnsi="Times New Roman"/>
              </w:rPr>
              <w:t>（约19亿/-54.9%）</w:t>
            </w:r>
          </w:p>
        </w:tc>
        <w:tc>
          <w:tcPr>
            <w:tcW w:type="dxa" w:w="1440"/>
          </w:tcPr>
          <w:p>
            <w:pPr>
              <w:jc w:val="center"/>
            </w:pPr>
            <w:r>
              <w:rPr>
                <w:sz w:val="16"/>
                <w:rFonts w:eastAsia="宋体" w:ascii="Times New Roman" w:hAnsi="Times New Roman"/>
              </w:rPr>
              <w:t>-54.0%</w:t>
            </w:r>
          </w:p>
        </w:tc>
      </w:tr>
    </w:tbl>
    <w:p>
      <w:pPr>
        <w:spacing w:before="20" w:after="120"/>
        <w:ind w:left="0"/>
      </w:pPr>
      <w:r>
        <w:rPr>
          <w:i/>
          <w:color w:val="808080"/>
          <w:sz w:val="15"/>
        </w:rPr>
        <w:t>资料来源：阳光电源2025年年度报告（2026-04-01）；市场一致预期来自Bloomberg/富途（发布前）</w:t>
      </w:r>
    </w:p>
    <w:p/>
    <w:p>
      <w:pPr>
        <w:spacing w:before="80" w:after="80"/>
        <w:ind w:left="0"/>
      </w:pPr>
      <w:r>
        <w:rPr>
          <w:b/>
          <w:color w:val="1F4E79"/>
          <w:sz w:val="21"/>
          <w:rFonts w:eastAsia="黑体" w:ascii="Times New Roman" w:hAnsi="Times New Roman"/>
        </w:rPr>
        <w:t>核心观点</w:t>
      </w:r>
    </w:p>
    <w:p>
      <w:pPr>
        <w:spacing w:before="80" w:after="40"/>
        <w:ind w:left="0"/>
      </w:pPr>
      <w:r>
        <w:rPr>
          <w:b/>
          <w:color w:val="1F4E79"/>
          <w:sz w:val="19"/>
          <w:rFonts w:eastAsia="黑体" w:ascii="Times New Roman" w:hAnsi="Times New Roman"/>
        </w:rPr>
        <w:t>■ 业绩低于预期 — 全年净利润低于一致预期12.9%；Q4单季利润同比骤降54%</w:t>
      </w:r>
    </w:p>
    <w:p>
      <w:pPr>
        <w:spacing w:before="0" w:after="160"/>
        <w:ind w:left="240"/>
      </w:pPr>
      <w:r>
        <w:rPr>
          <w:b w:val="0"/>
          <w:i w:val="0"/>
          <w:sz w:val="19"/>
          <w:rFonts w:eastAsia="宋体" w:ascii="Times New Roman" w:hAnsi="Times New Roman"/>
        </w:rPr>
        <w:t>2025年全年营收891.84亿元，基本符合预期（仅低0.9%），但归母净利润134.61亿元较市场预期154.52亿元低近20亿元，差距几乎完全源自Q4的利润率急剧恶化。Q4归母净利润仅15.8亿元，同比下降54%、环比下降62%，为2023年Q2以来最低季度利润。具体归因：①收入结构偏移至低毛利的新能源投资开发项目（Q4集中交付）；②储能毛利率从Q3约41%骤降约17个百分点至约24%，主因Q3确认了大批高毛利海外项目；③碳酸锂价格Q4有所上涨，存量固定价格合同无法及时传导成本。</w:t>
      </w:r>
    </w:p>
    <w:p>
      <w:pPr>
        <w:spacing w:before="80" w:after="40"/>
        <w:ind w:left="0"/>
      </w:pPr>
      <w:r>
        <w:rPr>
          <w:b/>
          <w:color w:val="1F4E79"/>
          <w:sz w:val="19"/>
          <w:rFonts w:eastAsia="黑体" w:ascii="Times New Roman" w:hAnsi="Times New Roman"/>
        </w:rPr>
        <w:t>■ 全年整体业绩稳健 — 营收+14.6%，净利润+22.0%，毛利率创历史新高</w:t>
      </w:r>
    </w:p>
    <w:p>
      <w:pPr>
        <w:spacing w:before="0" w:after="160"/>
        <w:ind w:left="240"/>
      </w:pPr>
      <w:r>
        <w:rPr>
          <w:b w:val="0"/>
          <w:i w:val="0"/>
          <w:sz w:val="19"/>
          <w:rFonts w:eastAsia="宋体" w:ascii="Times New Roman" w:hAnsi="Times New Roman"/>
        </w:rPr>
        <w:t>全年营收及利润均实现双位数增长，毛利率31.83%（同比+6.31pcts）和净利率15.17%（同比+4.88pcts）均创近年新高，体现了以高毛利海外储能项目为主的产品结构升级成效。经营现金流每股达8.16元（同比+40.2%），投资回报率ROIC升至25.01%。</w:t>
      </w:r>
    </w:p>
    <w:p>
      <w:pPr>
        <w:spacing w:before="80" w:after="40"/>
        <w:ind w:left="0"/>
      </w:pPr>
      <w:r>
        <w:rPr>
          <w:b/>
          <w:color w:val="1F4E79"/>
          <w:sz w:val="19"/>
          <w:rFonts w:eastAsia="黑体" w:ascii="Times New Roman" w:hAnsi="Times New Roman"/>
        </w:rPr>
        <w:t>■ 储能仍是核心增长引擎 — FY2025出货43GWh（+54% YoY），海外+89%；2026目标超60GWh</w:t>
      </w:r>
    </w:p>
    <w:p>
      <w:pPr>
        <w:spacing w:before="0" w:after="160"/>
        <w:ind w:left="240"/>
      </w:pPr>
      <w:r>
        <w:rPr>
          <w:b w:val="0"/>
          <w:i w:val="0"/>
          <w:sz w:val="19"/>
          <w:rFonts w:eastAsia="宋体" w:ascii="Times New Roman" w:hAnsi="Times New Roman"/>
        </w:rPr>
        <w:t>2025年储能系统出货量43GWh，同比增长53.6%，其中海外出货36GWh（同比+89%），占总出货量84%。公司在2026年3月31日电话会议上指引2026年储能出货目标超60GWh（同比+40%），并预计全球储能市场增速为30%-50%。国内储能出货7GWh（同比-22%），受国内公用事业储能项目节奏较慢影响，但不改变全球化战略方向。</w:t>
      </w:r>
    </w:p>
    <w:p>
      <w:pPr>
        <w:spacing w:before="80" w:after="40"/>
        <w:ind w:left="0"/>
      </w:pPr>
      <w:r>
        <w:rPr>
          <w:b/>
          <w:color w:val="1F4E79"/>
          <w:sz w:val="19"/>
          <w:rFonts w:eastAsia="黑体" w:ascii="Times New Roman" w:hAnsi="Times New Roman"/>
        </w:rPr>
        <w:t>■ 维持「跑赢大盘」评级，目标价下调至158元（原175元）；Q4低迷不改长期逻辑</w:t>
      </w:r>
    </w:p>
    <w:p>
      <w:pPr>
        <w:spacing w:before="0" w:after="160"/>
        <w:ind w:left="240"/>
      </w:pPr>
      <w:r>
        <w:rPr>
          <w:b w:val="0"/>
          <w:i w:val="0"/>
          <w:sz w:val="19"/>
          <w:rFonts w:eastAsia="宋体" w:ascii="Times New Roman" w:hAnsi="Times New Roman"/>
        </w:rPr>
        <w:t>Q4利润率冲击属于一次性结构因素叠加原材料时序影响，而非竞争格局或需求端的实质恶化。我们下调2026年净利润预测至167.7亿元（原180亿元），并相应调整目标价至158元（对应20x 2026E市盈率）。当前股价136.91元隐含15.4%上涨空间，维持「跑赢大盘」评级。</w:t>
      </w:r>
    </w:p>
    <w:p>
      <w:pPr>
        <w:spacing w:before="40" w:after="40"/>
        <w:pBdr>
          <w:bottom w:val="single" w:sz="6" w:space="1" w:color="1F4E79"/>
        </w:pBdr>
      </w:pPr>
    </w:p>
    <w:p>
      <w:pPr>
        <w:spacing w:before="120" w:after="80"/>
        <w:ind w:left="0"/>
      </w:pPr>
      <w:r>
        <w:rPr>
          <w:b/>
          <w:color w:val="1F4E79"/>
          <w:sz w:val="21"/>
          <w:rFonts w:eastAsia="黑体" w:ascii="Times New Roman" w:hAnsi="Times New Roman"/>
        </w:rPr>
        <w:t>财务预测更新</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F4E79"/>
          </w:tcPr>
          <w:p>
            <w:pPr>
              <w:jc w:val="center"/>
            </w:pPr>
            <w:r>
              <w:rPr>
                <w:b/>
                <w:color w:val="FFFFFF"/>
                <w:sz w:val="16"/>
                <w:rFonts w:eastAsia="黑体" w:ascii="Times New Roman" w:hAnsi="Times New Roman"/>
              </w:rPr>
              <w:t>指标</w:t>
            </w:r>
          </w:p>
        </w:tc>
        <w:tc>
          <w:tcPr>
            <w:tcW w:type="dxa" w:w="1440"/>
            <w:shd w:val="clear" w:color="auto" w:fill="1F4E79"/>
          </w:tcPr>
          <w:p>
            <w:pPr>
              <w:jc w:val="center"/>
            </w:pPr>
            <w:r>
              <w:rPr>
                <w:b/>
                <w:color w:val="FFFFFF"/>
                <w:sz w:val="16"/>
                <w:rFonts w:eastAsia="黑体" w:ascii="Times New Roman" w:hAnsi="Times New Roman"/>
              </w:rPr>
              <w:t>2024年实际</w:t>
            </w:r>
          </w:p>
        </w:tc>
        <w:tc>
          <w:tcPr>
            <w:tcW w:type="dxa" w:w="1440"/>
            <w:shd w:val="clear" w:color="auto" w:fill="1F4E79"/>
          </w:tcPr>
          <w:p>
            <w:pPr>
              <w:jc w:val="center"/>
            </w:pPr>
            <w:r>
              <w:rPr>
                <w:b/>
                <w:color w:val="FFFFFF"/>
                <w:sz w:val="16"/>
                <w:rFonts w:eastAsia="黑体" w:ascii="Times New Roman" w:hAnsi="Times New Roman"/>
              </w:rPr>
              <w:t>2025年实际</w:t>
            </w:r>
          </w:p>
        </w:tc>
        <w:tc>
          <w:tcPr>
            <w:tcW w:type="dxa" w:w="1872"/>
            <w:shd w:val="clear" w:color="auto" w:fill="1F4E79"/>
          </w:tcPr>
          <w:p>
            <w:pPr>
              <w:jc w:val="center"/>
            </w:pPr>
            <w:r>
              <w:rPr>
                <w:b/>
                <w:color w:val="FFFFFF"/>
                <w:sz w:val="16"/>
                <w:rFonts w:eastAsia="黑体" w:ascii="Times New Roman" w:hAnsi="Times New Roman"/>
              </w:rPr>
              <w:t>2025年预期（前）</w:t>
            </w:r>
          </w:p>
        </w:tc>
        <w:tc>
          <w:tcPr>
            <w:tcW w:type="dxa" w:w="1872"/>
            <w:shd w:val="clear" w:color="auto" w:fill="1F4E79"/>
          </w:tcPr>
          <w:p>
            <w:pPr>
              <w:jc w:val="center"/>
            </w:pPr>
            <w:r>
              <w:rPr>
                <w:b/>
                <w:color w:val="FFFFFF"/>
                <w:sz w:val="16"/>
                <w:rFonts w:eastAsia="黑体" w:ascii="Times New Roman" w:hAnsi="Times New Roman"/>
              </w:rPr>
              <w:t>2026年预测（新）</w:t>
            </w:r>
          </w:p>
        </w:tc>
        <w:tc>
          <w:tcPr>
            <w:tcW w:type="dxa" w:w="1872"/>
            <w:shd w:val="clear" w:color="auto" w:fill="1F4E79"/>
          </w:tcPr>
          <w:p>
            <w:pPr>
              <w:jc w:val="center"/>
            </w:pPr>
            <w:r>
              <w:rPr>
                <w:b/>
                <w:color w:val="FFFFFF"/>
                <w:sz w:val="16"/>
                <w:rFonts w:eastAsia="黑体" w:ascii="Times New Roman" w:hAnsi="Times New Roman"/>
              </w:rPr>
              <w:t>2026年预测（前）</w:t>
            </w:r>
          </w:p>
        </w:tc>
      </w:tr>
      <w:tr>
        <w:tc>
          <w:tcPr>
            <w:tcW w:type="dxa" w:w="2736"/>
          </w:tcPr>
          <w:p>
            <w:pPr>
              <w:jc w:val="left"/>
            </w:pPr>
            <w:r>
              <w:rPr>
                <w:sz w:val="16"/>
                <w:rFonts w:eastAsia="宋体" w:ascii="Times New Roman" w:hAnsi="Times New Roman"/>
              </w:rPr>
              <w:t>营业收入（亿元）</w:t>
            </w:r>
          </w:p>
        </w:tc>
        <w:tc>
          <w:tcPr>
            <w:tcW w:type="dxa" w:w="1440"/>
          </w:tcPr>
          <w:p>
            <w:pPr>
              <w:jc w:val="center"/>
            </w:pPr>
            <w:r>
              <w:rPr>
                <w:sz w:val="16"/>
                <w:rFonts w:eastAsia="宋体" w:ascii="Times New Roman" w:hAnsi="Times New Roman"/>
              </w:rPr>
              <w:t>778.6</w:t>
            </w:r>
          </w:p>
        </w:tc>
        <w:tc>
          <w:tcPr>
            <w:tcW w:type="dxa" w:w="1440"/>
          </w:tcPr>
          <w:p>
            <w:pPr>
              <w:jc w:val="center"/>
            </w:pPr>
            <w:r>
              <w:rPr>
                <w:sz w:val="16"/>
                <w:rFonts w:eastAsia="宋体" w:ascii="Times New Roman" w:hAnsi="Times New Roman"/>
              </w:rPr>
              <w:t>891.8</w:t>
            </w:r>
          </w:p>
        </w:tc>
        <w:tc>
          <w:tcPr>
            <w:tcW w:type="dxa" w:w="1872"/>
          </w:tcPr>
          <w:p>
            <w:pPr>
              <w:jc w:val="center"/>
            </w:pPr>
            <w:r>
              <w:rPr>
                <w:sz w:val="16"/>
                <w:rFonts w:eastAsia="宋体" w:ascii="Times New Roman" w:hAnsi="Times New Roman"/>
              </w:rPr>
              <w:t>900.0</w:t>
            </w:r>
          </w:p>
        </w:tc>
        <w:tc>
          <w:tcPr>
            <w:tcW w:type="dxa" w:w="1872"/>
          </w:tcPr>
          <w:p>
            <w:pPr>
              <w:jc w:val="center"/>
            </w:pPr>
            <w:r>
              <w:rPr>
                <w:sz w:val="16"/>
                <w:rFonts w:eastAsia="宋体" w:ascii="Times New Roman" w:hAnsi="Times New Roman"/>
              </w:rPr>
              <w:t>1020.0</w:t>
            </w:r>
          </w:p>
        </w:tc>
        <w:tc>
          <w:tcPr>
            <w:tcW w:type="dxa" w:w="1872"/>
          </w:tcPr>
          <w:p>
            <w:pPr>
              <w:jc w:val="center"/>
            </w:pPr>
            <w:r>
              <w:rPr>
                <w:sz w:val="16"/>
                <w:rFonts w:eastAsia="宋体" w:ascii="Times New Roman" w:hAnsi="Times New Roman"/>
              </w:rPr>
              <w:t>1080.0</w:t>
            </w:r>
          </w:p>
        </w:tc>
      </w:tr>
      <w:tr>
        <w:tc>
          <w:tcPr>
            <w:tcW w:type="dxa" w:w="2736"/>
            <w:shd w:val="clear" w:color="auto" w:fill="E9EEF4"/>
          </w:tcPr>
          <w:p>
            <w:pPr>
              <w:jc w:val="left"/>
            </w:pPr>
            <w:r>
              <w:rPr>
                <w:sz w:val="16"/>
                <w:rFonts w:eastAsia="宋体" w:ascii="Times New Roman" w:hAnsi="Times New Roman"/>
              </w:rPr>
              <w:t>收入增速（%）</w:t>
            </w:r>
          </w:p>
        </w:tc>
        <w:tc>
          <w:tcPr>
            <w:tcW w:type="dxa" w:w="1440"/>
            <w:shd w:val="clear" w:color="auto" w:fill="E9EEF4"/>
          </w:tcPr>
          <w:p>
            <w:pPr>
              <w:jc w:val="center"/>
            </w:pPr>
            <w:r>
              <w:rPr>
                <w:sz w:val="16"/>
                <w:rFonts w:eastAsia="宋体" w:ascii="Times New Roman" w:hAnsi="Times New Roman"/>
              </w:rPr>
              <w:t>+7.8%</w:t>
            </w:r>
          </w:p>
        </w:tc>
        <w:tc>
          <w:tcPr>
            <w:tcW w:type="dxa" w:w="1440"/>
            <w:shd w:val="clear" w:color="auto" w:fill="E9EEF4"/>
          </w:tcPr>
          <w:p>
            <w:pPr>
              <w:jc w:val="center"/>
            </w:pPr>
            <w:r>
              <w:rPr>
                <w:sz w:val="16"/>
                <w:rFonts w:eastAsia="宋体" w:ascii="Times New Roman" w:hAnsi="Times New Roman"/>
              </w:rPr>
              <w:t>+14.6%</w:t>
            </w:r>
          </w:p>
        </w:tc>
        <w:tc>
          <w:tcPr>
            <w:tcW w:type="dxa" w:w="1872"/>
            <w:shd w:val="clear" w:color="auto" w:fill="E9EEF4"/>
          </w:tcPr>
          <w:p>
            <w:pPr>
              <w:jc w:val="center"/>
            </w:pPr>
            <w:r>
              <w:rPr>
                <w:sz w:val="16"/>
                <w:rFonts w:eastAsia="宋体" w:ascii="Times New Roman" w:hAnsi="Times New Roman"/>
              </w:rPr>
              <w:t>+15.6%</w:t>
            </w:r>
          </w:p>
        </w:tc>
        <w:tc>
          <w:tcPr>
            <w:tcW w:type="dxa" w:w="1872"/>
            <w:shd w:val="clear" w:color="auto" w:fill="E9EEF4"/>
          </w:tcPr>
          <w:p>
            <w:pPr>
              <w:jc w:val="center"/>
            </w:pPr>
            <w:r>
              <w:rPr>
                <w:sz w:val="16"/>
                <w:rFonts w:eastAsia="宋体" w:ascii="Times New Roman" w:hAnsi="Times New Roman"/>
              </w:rPr>
              <w:t>+14.4%</w:t>
            </w:r>
          </w:p>
        </w:tc>
        <w:tc>
          <w:tcPr>
            <w:tcW w:type="dxa" w:w="1872"/>
            <w:shd w:val="clear" w:color="auto" w:fill="E9EEF4"/>
          </w:tcPr>
          <w:p>
            <w:pPr>
              <w:jc w:val="center"/>
            </w:pPr>
            <w:r>
              <w:rPr>
                <w:sz w:val="16"/>
                <w:rFonts w:eastAsia="宋体" w:ascii="Times New Roman" w:hAnsi="Times New Roman"/>
              </w:rPr>
              <w:t>+21.1%</w:t>
            </w:r>
          </w:p>
        </w:tc>
      </w:tr>
      <w:tr>
        <w:tc>
          <w:tcPr>
            <w:tcW w:type="dxa" w:w="2736"/>
          </w:tcPr>
          <w:p>
            <w:pPr>
              <w:jc w:val="left"/>
            </w:pPr>
            <w:r>
              <w:rPr>
                <w:sz w:val="16"/>
                <w:rFonts w:eastAsia="宋体" w:ascii="Times New Roman" w:hAnsi="Times New Roman"/>
              </w:rPr>
              <w:t>毛利率（%）</w:t>
            </w:r>
          </w:p>
        </w:tc>
        <w:tc>
          <w:tcPr>
            <w:tcW w:type="dxa" w:w="1440"/>
          </w:tcPr>
          <w:p>
            <w:pPr>
              <w:jc w:val="center"/>
            </w:pPr>
            <w:r>
              <w:rPr>
                <w:sz w:val="16"/>
                <w:rFonts w:eastAsia="宋体" w:ascii="Times New Roman" w:hAnsi="Times New Roman"/>
              </w:rPr>
              <w:t>25.5%</w:t>
            </w:r>
          </w:p>
        </w:tc>
        <w:tc>
          <w:tcPr>
            <w:tcW w:type="dxa" w:w="1440"/>
          </w:tcPr>
          <w:p>
            <w:pPr>
              <w:jc w:val="center"/>
            </w:pPr>
            <w:r>
              <w:rPr>
                <w:sz w:val="16"/>
                <w:rFonts w:eastAsia="宋体" w:ascii="Times New Roman" w:hAnsi="Times New Roman"/>
              </w:rPr>
              <w:t>31.83%</w:t>
            </w:r>
          </w:p>
        </w:tc>
        <w:tc>
          <w:tcPr>
            <w:tcW w:type="dxa" w:w="1872"/>
          </w:tcPr>
          <w:p>
            <w:pPr>
              <w:jc w:val="center"/>
            </w:pPr>
            <w:r>
              <w:rPr>
                <w:sz w:val="16"/>
                <w:rFonts w:eastAsia="宋体" w:ascii="Times New Roman" w:hAnsi="Times New Roman"/>
              </w:rPr>
              <w:t>约30%</w:t>
            </w:r>
          </w:p>
        </w:tc>
        <w:tc>
          <w:tcPr>
            <w:tcW w:type="dxa" w:w="1872"/>
          </w:tcPr>
          <w:p>
            <w:pPr>
              <w:jc w:val="center"/>
            </w:pPr>
            <w:r>
              <w:rPr>
                <w:sz w:val="16"/>
                <w:rFonts w:eastAsia="宋体" w:ascii="Times New Roman" w:hAnsi="Times New Roman"/>
              </w:rPr>
              <w:t>32.0%</w:t>
            </w:r>
          </w:p>
        </w:tc>
        <w:tc>
          <w:tcPr>
            <w:tcW w:type="dxa" w:w="1872"/>
          </w:tcPr>
          <w:p>
            <w:pPr>
              <w:jc w:val="center"/>
            </w:pPr>
            <w:r>
              <w:rPr>
                <w:sz w:val="16"/>
                <w:rFonts w:eastAsia="宋体" w:ascii="Times New Roman" w:hAnsi="Times New Roman"/>
              </w:rPr>
              <w:t>32.5%</w:t>
            </w:r>
          </w:p>
        </w:tc>
      </w:tr>
      <w:tr>
        <w:tc>
          <w:tcPr>
            <w:tcW w:type="dxa" w:w="2736"/>
            <w:shd w:val="clear" w:color="auto" w:fill="E9EEF4"/>
          </w:tcPr>
          <w:p>
            <w:pPr>
              <w:jc w:val="left"/>
            </w:pPr>
            <w:r>
              <w:rPr>
                <w:sz w:val="16"/>
                <w:rFonts w:eastAsia="宋体" w:ascii="Times New Roman" w:hAnsi="Times New Roman"/>
              </w:rPr>
              <w:t>归母净利润（亿元）</w:t>
            </w:r>
          </w:p>
        </w:tc>
        <w:tc>
          <w:tcPr>
            <w:tcW w:type="dxa" w:w="1440"/>
            <w:shd w:val="clear" w:color="auto" w:fill="E9EEF4"/>
          </w:tcPr>
          <w:p>
            <w:pPr>
              <w:jc w:val="center"/>
            </w:pPr>
            <w:r>
              <w:rPr>
                <w:sz w:val="16"/>
                <w:rFonts w:eastAsia="宋体" w:ascii="Times New Roman" w:hAnsi="Times New Roman"/>
              </w:rPr>
              <w:t>110.4</w:t>
            </w:r>
          </w:p>
        </w:tc>
        <w:tc>
          <w:tcPr>
            <w:tcW w:type="dxa" w:w="1440"/>
            <w:shd w:val="clear" w:color="auto" w:fill="E9EEF4"/>
          </w:tcPr>
          <w:p>
            <w:pPr>
              <w:jc w:val="center"/>
            </w:pPr>
            <w:r>
              <w:rPr>
                <w:sz w:val="16"/>
                <w:rFonts w:eastAsia="宋体" w:ascii="Times New Roman" w:hAnsi="Times New Roman"/>
              </w:rPr>
              <w:t>134.61</w:t>
            </w:r>
          </w:p>
        </w:tc>
        <w:tc>
          <w:tcPr>
            <w:tcW w:type="dxa" w:w="1872"/>
            <w:shd w:val="clear" w:color="auto" w:fill="E9EEF4"/>
          </w:tcPr>
          <w:p>
            <w:pPr>
              <w:jc w:val="center"/>
            </w:pPr>
            <w:r>
              <w:rPr>
                <w:sz w:val="16"/>
                <w:rFonts w:eastAsia="宋体" w:ascii="Times New Roman" w:hAnsi="Times New Roman"/>
              </w:rPr>
              <w:t>154.52</w:t>
            </w:r>
          </w:p>
        </w:tc>
        <w:tc>
          <w:tcPr>
            <w:tcW w:type="dxa" w:w="1872"/>
            <w:shd w:val="clear" w:color="auto" w:fill="E9EEF4"/>
          </w:tcPr>
          <w:p>
            <w:pPr>
              <w:jc w:val="center"/>
            </w:pPr>
            <w:r>
              <w:rPr>
                <w:sz w:val="16"/>
                <w:rFonts w:eastAsia="宋体" w:ascii="Times New Roman" w:hAnsi="Times New Roman"/>
              </w:rPr>
              <w:t>167.7</w:t>
            </w:r>
          </w:p>
        </w:tc>
        <w:tc>
          <w:tcPr>
            <w:tcW w:type="dxa" w:w="1872"/>
            <w:shd w:val="clear" w:color="auto" w:fill="E9EEF4"/>
          </w:tcPr>
          <w:p>
            <w:pPr>
              <w:jc w:val="center"/>
            </w:pPr>
            <w:r>
              <w:rPr>
                <w:sz w:val="16"/>
                <w:rFonts w:eastAsia="宋体" w:ascii="Times New Roman" w:hAnsi="Times New Roman"/>
              </w:rPr>
              <w:t>180.0</w:t>
            </w:r>
          </w:p>
        </w:tc>
      </w:tr>
      <w:tr>
        <w:tc>
          <w:tcPr>
            <w:tcW w:type="dxa" w:w="2736"/>
          </w:tcPr>
          <w:p>
            <w:pPr>
              <w:jc w:val="left"/>
            </w:pPr>
            <w:r>
              <w:rPr>
                <w:sz w:val="16"/>
                <w:rFonts w:eastAsia="宋体" w:ascii="Times New Roman" w:hAnsi="Times New Roman"/>
              </w:rPr>
              <w:t>净利润增速（%）</w:t>
            </w:r>
          </w:p>
        </w:tc>
        <w:tc>
          <w:tcPr>
            <w:tcW w:type="dxa" w:w="1440"/>
          </w:tcPr>
          <w:p>
            <w:pPr>
              <w:jc w:val="center"/>
            </w:pPr>
            <w:r>
              <w:rPr>
                <w:sz w:val="16"/>
                <w:rFonts w:eastAsia="宋体" w:ascii="Times New Roman" w:hAnsi="Times New Roman"/>
              </w:rPr>
              <w:t>+16.9%</w:t>
            </w:r>
          </w:p>
        </w:tc>
        <w:tc>
          <w:tcPr>
            <w:tcW w:type="dxa" w:w="1440"/>
          </w:tcPr>
          <w:p>
            <w:pPr>
              <w:jc w:val="center"/>
            </w:pPr>
            <w:r>
              <w:rPr>
                <w:sz w:val="16"/>
                <w:rFonts w:eastAsia="宋体" w:ascii="Times New Roman" w:hAnsi="Times New Roman"/>
              </w:rPr>
              <w:t>+22.0%</w:t>
            </w:r>
          </w:p>
        </w:tc>
        <w:tc>
          <w:tcPr>
            <w:tcW w:type="dxa" w:w="1872"/>
          </w:tcPr>
          <w:p>
            <w:pPr>
              <w:jc w:val="center"/>
            </w:pPr>
            <w:r>
              <w:rPr>
                <w:sz w:val="16"/>
                <w:rFonts w:eastAsia="宋体" w:ascii="Times New Roman" w:hAnsi="Times New Roman"/>
              </w:rPr>
              <w:t>+40.0%</w:t>
            </w:r>
          </w:p>
        </w:tc>
        <w:tc>
          <w:tcPr>
            <w:tcW w:type="dxa" w:w="1872"/>
          </w:tcPr>
          <w:p>
            <w:pPr>
              <w:jc w:val="center"/>
            </w:pPr>
            <w:r>
              <w:rPr>
                <w:sz w:val="16"/>
                <w:rFonts w:eastAsia="宋体" w:ascii="Times New Roman" w:hAnsi="Times New Roman"/>
              </w:rPr>
              <w:t>+24.6%</w:t>
            </w:r>
          </w:p>
        </w:tc>
        <w:tc>
          <w:tcPr>
            <w:tcW w:type="dxa" w:w="1872"/>
          </w:tcPr>
          <w:p>
            <w:pPr>
              <w:jc w:val="center"/>
            </w:pPr>
            <w:r>
              <w:rPr>
                <w:sz w:val="16"/>
                <w:rFonts w:eastAsia="宋体" w:ascii="Times New Roman" w:hAnsi="Times New Roman"/>
              </w:rPr>
              <w:t>+33.6%</w:t>
            </w:r>
          </w:p>
        </w:tc>
      </w:tr>
      <w:tr>
        <w:tc>
          <w:tcPr>
            <w:tcW w:type="dxa" w:w="2736"/>
            <w:shd w:val="clear" w:color="auto" w:fill="E9EEF4"/>
          </w:tcPr>
          <w:p>
            <w:pPr>
              <w:jc w:val="left"/>
            </w:pPr>
            <w:r>
              <w:rPr>
                <w:sz w:val="16"/>
                <w:rFonts w:eastAsia="宋体" w:ascii="Times New Roman" w:hAnsi="Times New Roman"/>
              </w:rPr>
              <w:t>基本EPS（元）</w:t>
            </w:r>
          </w:p>
        </w:tc>
        <w:tc>
          <w:tcPr>
            <w:tcW w:type="dxa" w:w="1440"/>
            <w:shd w:val="clear" w:color="auto" w:fill="E9EEF4"/>
          </w:tcPr>
          <w:p>
            <w:pPr>
              <w:jc w:val="center"/>
            </w:pPr>
            <w:r>
              <w:rPr>
                <w:sz w:val="16"/>
                <w:rFonts w:eastAsia="宋体" w:ascii="Times New Roman" w:hAnsi="Times New Roman"/>
              </w:rPr>
              <w:t>5.32</w:t>
            </w:r>
          </w:p>
        </w:tc>
        <w:tc>
          <w:tcPr>
            <w:tcW w:type="dxa" w:w="1440"/>
            <w:shd w:val="clear" w:color="auto" w:fill="E9EEF4"/>
          </w:tcPr>
          <w:p>
            <w:pPr>
              <w:jc w:val="center"/>
            </w:pPr>
            <w:r>
              <w:rPr>
                <w:sz w:val="16"/>
                <w:rFonts w:eastAsia="宋体" w:ascii="Times New Roman" w:hAnsi="Times New Roman"/>
              </w:rPr>
              <w:t>6.55</w:t>
            </w:r>
          </w:p>
        </w:tc>
        <w:tc>
          <w:tcPr>
            <w:tcW w:type="dxa" w:w="1872"/>
            <w:shd w:val="clear" w:color="auto" w:fill="E9EEF4"/>
          </w:tcPr>
          <w:p>
            <w:pPr>
              <w:jc w:val="center"/>
            </w:pPr>
            <w:r>
              <w:rPr>
                <w:sz w:val="16"/>
                <w:rFonts w:eastAsia="宋体" w:ascii="Times New Roman" w:hAnsi="Times New Roman"/>
              </w:rPr>
              <w:t>7.50</w:t>
            </w:r>
          </w:p>
        </w:tc>
        <w:tc>
          <w:tcPr>
            <w:tcW w:type="dxa" w:w="1872"/>
            <w:shd w:val="clear" w:color="auto" w:fill="E9EEF4"/>
          </w:tcPr>
          <w:p>
            <w:pPr>
              <w:jc w:val="center"/>
            </w:pPr>
            <w:r>
              <w:rPr>
                <w:sz w:val="16"/>
                <w:rFonts w:eastAsia="宋体" w:ascii="Times New Roman" w:hAnsi="Times New Roman"/>
              </w:rPr>
              <w:t>8.09</w:t>
            </w:r>
          </w:p>
        </w:tc>
        <w:tc>
          <w:tcPr>
            <w:tcW w:type="dxa" w:w="1872"/>
            <w:shd w:val="clear" w:color="auto" w:fill="E9EEF4"/>
          </w:tcPr>
          <w:p>
            <w:pPr>
              <w:jc w:val="center"/>
            </w:pPr>
            <w:r>
              <w:rPr>
                <w:sz w:val="16"/>
                <w:rFonts w:eastAsia="宋体" w:ascii="Times New Roman" w:hAnsi="Times New Roman"/>
              </w:rPr>
              <w:t>8.70</w:t>
            </w:r>
          </w:p>
        </w:tc>
      </w:tr>
      <w:tr>
        <w:tc>
          <w:tcPr>
            <w:tcW w:type="dxa" w:w="2736"/>
          </w:tcPr>
          <w:p>
            <w:pPr>
              <w:jc w:val="left"/>
            </w:pPr>
            <w:r>
              <w:rPr>
                <w:sz w:val="16"/>
                <w:rFonts w:eastAsia="宋体" w:ascii="Times New Roman" w:hAnsi="Times New Roman"/>
              </w:rPr>
              <w:t>P/E @ 136.91元</w:t>
            </w:r>
          </w:p>
        </w:tc>
        <w:tc>
          <w:tcPr>
            <w:tcW w:type="dxa" w:w="1440"/>
          </w:tcPr>
          <w:p>
            <w:pPr>
              <w:jc w:val="center"/>
            </w:pPr>
            <w:r>
              <w:rPr>
                <w:sz w:val="16"/>
                <w:rFonts w:eastAsia="宋体" w:ascii="Times New Roman" w:hAnsi="Times New Roman"/>
              </w:rPr>
              <w:t>25.7x</w:t>
            </w:r>
          </w:p>
        </w:tc>
        <w:tc>
          <w:tcPr>
            <w:tcW w:type="dxa" w:w="1440"/>
          </w:tcPr>
          <w:p>
            <w:pPr>
              <w:jc w:val="center"/>
            </w:pPr>
            <w:r>
              <w:rPr>
                <w:sz w:val="16"/>
                <w:rFonts w:eastAsia="宋体" w:ascii="Times New Roman" w:hAnsi="Times New Roman"/>
              </w:rPr>
              <w:t>20.9x</w:t>
            </w:r>
          </w:p>
        </w:tc>
        <w:tc>
          <w:tcPr>
            <w:tcW w:type="dxa" w:w="1872"/>
          </w:tcPr>
          <w:p>
            <w:pPr>
              <w:jc w:val="center"/>
            </w:pPr>
            <w:r>
              <w:rPr>
                <w:sz w:val="16"/>
                <w:rFonts w:eastAsia="宋体" w:ascii="Times New Roman" w:hAnsi="Times New Roman"/>
              </w:rPr>
              <w:t>—</w:t>
            </w:r>
          </w:p>
        </w:tc>
        <w:tc>
          <w:tcPr>
            <w:tcW w:type="dxa" w:w="1872"/>
          </w:tcPr>
          <w:p>
            <w:pPr>
              <w:jc w:val="center"/>
            </w:pPr>
            <w:r>
              <w:rPr>
                <w:sz w:val="16"/>
                <w:rFonts w:eastAsia="宋体" w:ascii="Times New Roman" w:hAnsi="Times New Roman"/>
              </w:rPr>
              <w:t>16.9x</w:t>
            </w:r>
          </w:p>
        </w:tc>
        <w:tc>
          <w:tcPr>
            <w:tcW w:type="dxa" w:w="1872"/>
          </w:tcPr>
          <w:p>
            <w:pPr>
              <w:jc w:val="center"/>
            </w:pPr>
            <w:r>
              <w:rPr>
                <w:sz w:val="16"/>
                <w:rFonts w:eastAsia="宋体" w:ascii="Times New Roman" w:hAnsi="Times New Roman"/>
              </w:rPr>
              <w:t>—</w:t>
            </w:r>
          </w:p>
        </w:tc>
      </w:tr>
    </w:tbl>
    <w:p>
      <w:pPr>
        <w:spacing w:before="20" w:after="120"/>
        <w:ind w:left="0"/>
      </w:pPr>
      <w:r>
        <w:rPr>
          <w:i/>
          <w:color w:val="808080"/>
          <w:sz w:val="15"/>
        </w:rPr>
        <w:t>注：前期预测为发布年报前内部测算。A=实际值，E=预测值。资料来源：阳光电源2025年年报；分析师预测</w:t>
      </w:r>
    </w:p>
    <w:p>
      <w:r>
        <w:br w:type="page"/>
      </w:r>
    </w:p>
    <w:p>
      <w:pPr>
        <w:spacing w:before="160" w:after="80"/>
        <w:ind w:left="0"/>
      </w:pPr>
      <w:r>
        <w:rPr>
          <w:b/>
          <w:color w:val="1F4E79"/>
          <w:sz w:val="24"/>
          <w:rFonts w:eastAsia="黑体" w:ascii="Times New Roman" w:hAnsi="Times New Roman"/>
        </w:rPr>
        <w:t>第一部分：详细业绩分析</w:t>
      </w:r>
    </w:p>
    <w:p>
      <w:pPr>
        <w:spacing w:before="40" w:after="40"/>
        <w:pBdr>
          <w:bottom w:val="single" w:sz="6" w:space="1" w:color="1F4E79"/>
        </w:pBdr>
      </w:pPr>
    </w:p>
    <w:p>
      <w:pPr>
        <w:spacing w:before="80" w:after="40"/>
        <w:ind w:left="0"/>
        <w:jc w:val="center"/>
      </w:pPr>
      <w:r>
        <w:drawing>
          <wp:inline xmlns:a="http://schemas.openxmlformats.org/drawingml/2006/main" xmlns:pic="http://schemas.openxmlformats.org/drawingml/2006/picture">
            <wp:extent cx="5669280" cy="3157235"/>
            <wp:docPr id="1" name="Picture 1"/>
            <wp:cNvGraphicFramePr>
              <a:graphicFrameLocks noChangeAspect="1"/>
            </wp:cNvGraphicFramePr>
            <a:graphic>
              <a:graphicData uri="http://schemas.openxmlformats.org/drawingml/2006/picture">
                <pic:pic>
                  <pic:nvPicPr>
                    <pic:cNvPr id="0" name="300274_chart1_revenue.png"/>
                    <pic:cNvPicPr/>
                  </pic:nvPicPr>
                  <pic:blipFill>
                    <a:blip r:embed="rId9"/>
                    <a:stretch>
                      <a:fillRect/>
                    </a:stretch>
                  </pic:blipFill>
                  <pic:spPr>
                    <a:xfrm>
                      <a:off x="0" y="0"/>
                      <a:ext cx="5669280" cy="3157235"/>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图1 — 季度营收走势 | 资料来源：阳光电源2025年年度报告；StockAnalysis.com</w:t>
      </w:r>
    </w:p>
    <w:p>
      <w:pPr>
        <w:spacing w:before="160" w:after="80"/>
        <w:ind w:left="0"/>
      </w:pPr>
      <w:r>
        <w:rPr>
          <w:b/>
          <w:color w:val="2E75B6"/>
          <w:sz w:val="22"/>
          <w:rFonts w:eastAsia="黑体" w:ascii="Times New Roman" w:hAnsi="Times New Roman"/>
        </w:rPr>
        <w:t>1.1  营收表现</w:t>
      </w:r>
    </w:p>
    <w:p>
      <w:pPr>
        <w:spacing w:before="80" w:after="120"/>
        <w:ind w:left="0"/>
      </w:pPr>
      <w:r>
        <w:rPr>
          <w:b/>
          <w:color w:val="1F4E79"/>
          <w:sz w:val="19"/>
          <w:rFonts w:eastAsia="黑体" w:ascii="Times New Roman" w:hAnsi="Times New Roman"/>
        </w:rPr>
        <w:t>FY2025全年营收891.84亿元（同比+14.6%）——基本符合预期。</w:t>
      </w:r>
      <w:r>
        <w:rPr>
          <w:b w:val="0"/>
          <w:i w:val="0"/>
          <w:sz w:val="19"/>
          <w:rFonts w:eastAsia="宋体" w:ascii="Times New Roman" w:hAnsi="Times New Roman"/>
        </w:rPr>
        <w:t>2025年全年营收较2024年777.86亿元增长14.6%，略低于市场一致预期的900亿元（差距约8亿元，-0.9%）。营收增速较2023年79.5%的高增速出现较大幅度回落，主要反映基数效应及国内市场阶段性疲软。从结构来看，储能系统占比由2024年约32%提升至41.8%，逆变器占比由37%降至34.9%，新能源投资开发占比由27%大幅下降至18.6%（主要源于2025年全年该业务收入165.6亿元，同比-21.1%）。</w:t>
      </w:r>
    </w:p>
    <w:p>
      <w:pPr>
        <w:spacing w:before="80" w:after="120"/>
        <w:ind w:left="0"/>
      </w:pPr>
      <w:r>
        <w:rPr>
          <w:b/>
          <w:color w:val="1F4E79"/>
          <w:sz w:val="19"/>
          <w:rFonts w:eastAsia="黑体" w:ascii="Times New Roman" w:hAnsi="Times New Roman"/>
        </w:rPr>
        <w:t>Q4 2025单季营收227.82亿元（同比-18.4%，环比-0.4%）——同比大幅下滑。</w:t>
      </w:r>
      <w:r>
        <w:rPr>
          <w:b w:val="0"/>
          <w:i w:val="0"/>
          <w:sz w:val="19"/>
          <w:rFonts w:eastAsia="宋体" w:ascii="Times New Roman" w:hAnsi="Times New Roman"/>
        </w:rPr>
        <w:t>Q4营收227.82亿元，较2024年Q4的279.1亿元大幅下降18.4%，是2025年内单季营收最低点（Q1为190.4亿元）。同比下滑主要源于以下因素：①2024年Q4基数较高（同比+8.0%）；②国内逆变器出货量全年同比下降约19%，Q4受此影响明显；③储能海外项目节奏集中于前三季度，Q4确认量有所下降。环比基本持平（-0.4% vs Q3的228.7亿元），表明Q4的同比下滑主要是高基数正常化，而非需求实质下滑。</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312"/>
            <w:shd w:val="clear" w:color="auto" w:fill="1F4E79"/>
          </w:tcPr>
          <w:p>
            <w:pPr>
              <w:jc w:val="center"/>
            </w:pPr>
            <w:r>
              <w:rPr>
                <w:b/>
                <w:color w:val="FFFFFF"/>
                <w:sz w:val="16"/>
                <w:rFonts w:eastAsia="黑体" w:ascii="Times New Roman" w:hAnsi="Times New Roman"/>
              </w:rPr>
              <w:t>业务板块</w:t>
            </w:r>
          </w:p>
        </w:tc>
        <w:tc>
          <w:tcPr>
            <w:tcW w:type="dxa" w:w="1728"/>
            <w:shd w:val="clear" w:color="auto" w:fill="1F4E79"/>
          </w:tcPr>
          <w:p>
            <w:pPr>
              <w:jc w:val="center"/>
            </w:pPr>
            <w:r>
              <w:rPr>
                <w:b/>
                <w:color w:val="FFFFFF"/>
                <w:sz w:val="16"/>
                <w:rFonts w:eastAsia="黑体" w:ascii="Times New Roman" w:hAnsi="Times New Roman"/>
              </w:rPr>
              <w:t>2024年（亿元）</w:t>
            </w:r>
          </w:p>
        </w:tc>
        <w:tc>
          <w:tcPr>
            <w:tcW w:type="dxa" w:w="1296"/>
            <w:shd w:val="clear" w:color="auto" w:fill="1F4E79"/>
          </w:tcPr>
          <w:p>
            <w:pPr>
              <w:jc w:val="center"/>
            </w:pPr>
            <w:r>
              <w:rPr>
                <w:b/>
                <w:color w:val="FFFFFF"/>
                <w:sz w:val="16"/>
                <w:rFonts w:eastAsia="黑体" w:ascii="Times New Roman" w:hAnsi="Times New Roman"/>
              </w:rPr>
              <w:t>2024年占比</w:t>
            </w:r>
          </w:p>
        </w:tc>
        <w:tc>
          <w:tcPr>
            <w:tcW w:type="dxa" w:w="1728"/>
            <w:shd w:val="clear" w:color="auto" w:fill="1F4E79"/>
          </w:tcPr>
          <w:p>
            <w:pPr>
              <w:jc w:val="center"/>
            </w:pPr>
            <w:r>
              <w:rPr>
                <w:b/>
                <w:color w:val="FFFFFF"/>
                <w:sz w:val="16"/>
                <w:rFonts w:eastAsia="黑体" w:ascii="Times New Roman" w:hAnsi="Times New Roman"/>
              </w:rPr>
              <w:t>2025年（亿元）</w:t>
            </w:r>
          </w:p>
        </w:tc>
        <w:tc>
          <w:tcPr>
            <w:tcW w:type="dxa" w:w="1296"/>
            <w:shd w:val="clear" w:color="auto" w:fill="1F4E79"/>
          </w:tcPr>
          <w:p>
            <w:pPr>
              <w:jc w:val="center"/>
            </w:pPr>
            <w:r>
              <w:rPr>
                <w:b/>
                <w:color w:val="FFFFFF"/>
                <w:sz w:val="16"/>
                <w:rFonts w:eastAsia="黑体" w:ascii="Times New Roman" w:hAnsi="Times New Roman"/>
              </w:rPr>
              <w:t>2025年占比</w:t>
            </w:r>
          </w:p>
        </w:tc>
        <w:tc>
          <w:tcPr>
            <w:tcW w:type="dxa" w:w="1440"/>
            <w:shd w:val="clear" w:color="auto" w:fill="1F4E79"/>
          </w:tcPr>
          <w:p>
            <w:pPr>
              <w:jc w:val="center"/>
            </w:pPr>
            <w:r>
              <w:rPr>
                <w:b/>
                <w:color w:val="FFFFFF"/>
                <w:sz w:val="16"/>
                <w:rFonts w:eastAsia="黑体" w:ascii="Times New Roman" w:hAnsi="Times New Roman"/>
              </w:rPr>
              <w:t>同比增速</w:t>
            </w:r>
          </w:p>
        </w:tc>
      </w:tr>
      <w:tr>
        <w:tc>
          <w:tcPr>
            <w:tcW w:type="dxa" w:w="3312"/>
          </w:tcPr>
          <w:p>
            <w:pPr>
              <w:jc w:val="left"/>
            </w:pPr>
            <w:r>
              <w:rPr>
                <w:sz w:val="16"/>
                <w:rFonts w:eastAsia="宋体" w:ascii="Times New Roman" w:hAnsi="Times New Roman"/>
              </w:rPr>
              <w:t>储能系统</w:t>
            </w:r>
          </w:p>
        </w:tc>
        <w:tc>
          <w:tcPr>
            <w:tcW w:type="dxa" w:w="1728"/>
          </w:tcPr>
          <w:p>
            <w:pPr>
              <w:jc w:val="center"/>
            </w:pPr>
            <w:r>
              <w:rPr>
                <w:sz w:val="16"/>
                <w:rFonts w:eastAsia="宋体" w:ascii="Times New Roman" w:hAnsi="Times New Roman"/>
              </w:rPr>
              <w:t>约249</w:t>
            </w:r>
          </w:p>
        </w:tc>
        <w:tc>
          <w:tcPr>
            <w:tcW w:type="dxa" w:w="1296"/>
          </w:tcPr>
          <w:p>
            <w:pPr>
              <w:jc w:val="center"/>
            </w:pPr>
            <w:r>
              <w:rPr>
                <w:sz w:val="16"/>
                <w:rFonts w:eastAsia="宋体" w:ascii="Times New Roman" w:hAnsi="Times New Roman"/>
              </w:rPr>
              <w:t>32.0%</w:t>
            </w:r>
          </w:p>
        </w:tc>
        <w:tc>
          <w:tcPr>
            <w:tcW w:type="dxa" w:w="1728"/>
          </w:tcPr>
          <w:p>
            <w:pPr>
              <w:jc w:val="center"/>
            </w:pPr>
            <w:r>
              <w:rPr>
                <w:sz w:val="16"/>
                <w:rFonts w:eastAsia="宋体" w:ascii="Times New Roman" w:hAnsi="Times New Roman"/>
              </w:rPr>
              <w:t>372.87</w:t>
            </w:r>
          </w:p>
        </w:tc>
        <w:tc>
          <w:tcPr>
            <w:tcW w:type="dxa" w:w="1296"/>
          </w:tcPr>
          <w:p>
            <w:pPr>
              <w:jc w:val="center"/>
            </w:pPr>
            <w:r>
              <w:rPr>
                <w:sz w:val="16"/>
                <w:rFonts w:eastAsia="宋体" w:ascii="Times New Roman" w:hAnsi="Times New Roman"/>
              </w:rPr>
              <w:t>41.8%</w:t>
            </w:r>
          </w:p>
        </w:tc>
        <w:tc>
          <w:tcPr>
            <w:tcW w:type="dxa" w:w="1440"/>
          </w:tcPr>
          <w:p>
            <w:pPr>
              <w:jc w:val="center"/>
            </w:pPr>
            <w:r>
              <w:rPr>
                <w:sz w:val="16"/>
                <w:rFonts w:eastAsia="宋体" w:ascii="Times New Roman" w:hAnsi="Times New Roman"/>
              </w:rPr>
              <w:t>+49.7%</w:t>
            </w:r>
          </w:p>
        </w:tc>
      </w:tr>
      <w:tr>
        <w:tc>
          <w:tcPr>
            <w:tcW w:type="dxa" w:w="3312"/>
            <w:shd w:val="clear" w:color="auto" w:fill="E9EEF4"/>
          </w:tcPr>
          <w:p>
            <w:pPr>
              <w:jc w:val="left"/>
            </w:pPr>
            <w:r>
              <w:rPr>
                <w:sz w:val="16"/>
                <w:rFonts w:eastAsia="宋体" w:ascii="Times New Roman" w:hAnsi="Times New Roman"/>
              </w:rPr>
              <w:t>光伏逆变器及电力电子设备</w:t>
            </w:r>
          </w:p>
        </w:tc>
        <w:tc>
          <w:tcPr>
            <w:tcW w:type="dxa" w:w="1728"/>
            <w:shd w:val="clear" w:color="auto" w:fill="E9EEF4"/>
          </w:tcPr>
          <w:p>
            <w:pPr>
              <w:jc w:val="center"/>
            </w:pPr>
            <w:r>
              <w:rPr>
                <w:sz w:val="16"/>
                <w:rFonts w:eastAsia="宋体" w:ascii="Times New Roman" w:hAnsi="Times New Roman"/>
              </w:rPr>
              <w:t>约288</w:t>
            </w:r>
          </w:p>
        </w:tc>
        <w:tc>
          <w:tcPr>
            <w:tcW w:type="dxa" w:w="1296"/>
            <w:shd w:val="clear" w:color="auto" w:fill="E9EEF4"/>
          </w:tcPr>
          <w:p>
            <w:pPr>
              <w:jc w:val="center"/>
            </w:pPr>
            <w:r>
              <w:rPr>
                <w:sz w:val="16"/>
                <w:rFonts w:eastAsia="宋体" w:ascii="Times New Roman" w:hAnsi="Times New Roman"/>
              </w:rPr>
              <w:t>37.0%</w:t>
            </w:r>
          </w:p>
        </w:tc>
        <w:tc>
          <w:tcPr>
            <w:tcW w:type="dxa" w:w="1728"/>
            <w:shd w:val="clear" w:color="auto" w:fill="E9EEF4"/>
          </w:tcPr>
          <w:p>
            <w:pPr>
              <w:jc w:val="center"/>
            </w:pPr>
            <w:r>
              <w:rPr>
                <w:sz w:val="16"/>
                <w:rFonts w:eastAsia="宋体" w:ascii="Times New Roman" w:hAnsi="Times New Roman"/>
              </w:rPr>
              <w:t>311.36</w:t>
            </w:r>
          </w:p>
        </w:tc>
        <w:tc>
          <w:tcPr>
            <w:tcW w:type="dxa" w:w="1296"/>
            <w:shd w:val="clear" w:color="auto" w:fill="E9EEF4"/>
          </w:tcPr>
          <w:p>
            <w:pPr>
              <w:jc w:val="center"/>
            </w:pPr>
            <w:r>
              <w:rPr>
                <w:sz w:val="16"/>
                <w:rFonts w:eastAsia="宋体" w:ascii="Times New Roman" w:hAnsi="Times New Roman"/>
              </w:rPr>
              <w:t>34.9%</w:t>
            </w:r>
          </w:p>
        </w:tc>
        <w:tc>
          <w:tcPr>
            <w:tcW w:type="dxa" w:w="1440"/>
            <w:shd w:val="clear" w:color="auto" w:fill="E9EEF4"/>
          </w:tcPr>
          <w:p>
            <w:pPr>
              <w:jc w:val="center"/>
            </w:pPr>
            <w:r>
              <w:rPr>
                <w:sz w:val="16"/>
                <w:rFonts w:eastAsia="宋体" w:ascii="Times New Roman" w:hAnsi="Times New Roman"/>
              </w:rPr>
              <w:t>+8.1%</w:t>
            </w:r>
          </w:p>
        </w:tc>
      </w:tr>
      <w:tr>
        <w:tc>
          <w:tcPr>
            <w:tcW w:type="dxa" w:w="3312"/>
          </w:tcPr>
          <w:p>
            <w:pPr>
              <w:jc w:val="left"/>
            </w:pPr>
            <w:r>
              <w:rPr>
                <w:sz w:val="16"/>
                <w:rFonts w:eastAsia="宋体" w:ascii="Times New Roman" w:hAnsi="Times New Roman"/>
              </w:rPr>
              <w:t>新能源投资开发</w:t>
            </w:r>
          </w:p>
        </w:tc>
        <w:tc>
          <w:tcPr>
            <w:tcW w:type="dxa" w:w="1728"/>
          </w:tcPr>
          <w:p>
            <w:pPr>
              <w:jc w:val="center"/>
            </w:pPr>
            <w:r>
              <w:rPr>
                <w:sz w:val="16"/>
                <w:rFonts w:eastAsia="宋体" w:ascii="Times New Roman" w:hAnsi="Times New Roman"/>
              </w:rPr>
              <w:t>约210</w:t>
            </w:r>
          </w:p>
        </w:tc>
        <w:tc>
          <w:tcPr>
            <w:tcW w:type="dxa" w:w="1296"/>
          </w:tcPr>
          <w:p>
            <w:pPr>
              <w:jc w:val="center"/>
            </w:pPr>
            <w:r>
              <w:rPr>
                <w:sz w:val="16"/>
                <w:rFonts w:eastAsia="宋体" w:ascii="Times New Roman" w:hAnsi="Times New Roman"/>
              </w:rPr>
              <w:t>27.0%</w:t>
            </w:r>
          </w:p>
        </w:tc>
        <w:tc>
          <w:tcPr>
            <w:tcW w:type="dxa" w:w="1728"/>
          </w:tcPr>
          <w:p>
            <w:pPr>
              <w:jc w:val="center"/>
            </w:pPr>
            <w:r>
              <w:rPr>
                <w:sz w:val="16"/>
                <w:rFonts w:eastAsia="宋体" w:ascii="Times New Roman" w:hAnsi="Times New Roman"/>
              </w:rPr>
              <w:t>165.59</w:t>
            </w:r>
          </w:p>
        </w:tc>
        <w:tc>
          <w:tcPr>
            <w:tcW w:type="dxa" w:w="1296"/>
          </w:tcPr>
          <w:p>
            <w:pPr>
              <w:jc w:val="center"/>
            </w:pPr>
            <w:r>
              <w:rPr>
                <w:sz w:val="16"/>
                <w:rFonts w:eastAsia="宋体" w:ascii="Times New Roman" w:hAnsi="Times New Roman"/>
              </w:rPr>
              <w:t>18.6%</w:t>
            </w:r>
          </w:p>
        </w:tc>
        <w:tc>
          <w:tcPr>
            <w:tcW w:type="dxa" w:w="1440"/>
          </w:tcPr>
          <w:p>
            <w:pPr>
              <w:jc w:val="center"/>
            </w:pPr>
            <w:r>
              <w:rPr>
                <w:sz w:val="16"/>
                <w:rFonts w:eastAsia="宋体" w:ascii="Times New Roman" w:hAnsi="Times New Roman"/>
              </w:rPr>
              <w:t>-21.1%</w:t>
            </w:r>
          </w:p>
        </w:tc>
      </w:tr>
      <w:tr>
        <w:tc>
          <w:tcPr>
            <w:tcW w:type="dxa" w:w="3312"/>
            <w:shd w:val="clear" w:color="auto" w:fill="E9EEF4"/>
          </w:tcPr>
          <w:p>
            <w:pPr>
              <w:jc w:val="left"/>
            </w:pPr>
            <w:r>
              <w:rPr>
                <w:sz w:val="16"/>
                <w:rFonts w:eastAsia="宋体" w:ascii="Times New Roman" w:hAnsi="Times New Roman"/>
              </w:rPr>
              <w:t>其他业务</w:t>
            </w:r>
          </w:p>
        </w:tc>
        <w:tc>
          <w:tcPr>
            <w:tcW w:type="dxa" w:w="1728"/>
            <w:shd w:val="clear" w:color="auto" w:fill="E9EEF4"/>
          </w:tcPr>
          <w:p>
            <w:pPr>
              <w:jc w:val="center"/>
            </w:pPr>
            <w:r>
              <w:rPr>
                <w:sz w:val="16"/>
                <w:rFonts w:eastAsia="宋体" w:ascii="Times New Roman" w:hAnsi="Times New Roman"/>
              </w:rPr>
              <w:t>约32</w:t>
            </w:r>
          </w:p>
        </w:tc>
        <w:tc>
          <w:tcPr>
            <w:tcW w:type="dxa" w:w="1296"/>
            <w:shd w:val="clear" w:color="auto" w:fill="E9EEF4"/>
          </w:tcPr>
          <w:p>
            <w:pPr>
              <w:jc w:val="center"/>
            </w:pPr>
            <w:r>
              <w:rPr>
                <w:sz w:val="16"/>
                <w:rFonts w:eastAsia="宋体" w:ascii="Times New Roman" w:hAnsi="Times New Roman"/>
              </w:rPr>
              <w:t>4.0%</w:t>
            </w:r>
          </w:p>
        </w:tc>
        <w:tc>
          <w:tcPr>
            <w:tcW w:type="dxa" w:w="1728"/>
            <w:shd w:val="clear" w:color="auto" w:fill="E9EEF4"/>
          </w:tcPr>
          <w:p>
            <w:pPr>
              <w:jc w:val="center"/>
            </w:pPr>
            <w:r>
              <w:rPr>
                <w:sz w:val="16"/>
                <w:rFonts w:eastAsia="宋体" w:ascii="Times New Roman" w:hAnsi="Times New Roman"/>
              </w:rPr>
              <w:t>42.02</w:t>
            </w:r>
          </w:p>
        </w:tc>
        <w:tc>
          <w:tcPr>
            <w:tcW w:type="dxa" w:w="1296"/>
            <w:shd w:val="clear" w:color="auto" w:fill="E9EEF4"/>
          </w:tcPr>
          <w:p>
            <w:pPr>
              <w:jc w:val="center"/>
            </w:pPr>
            <w:r>
              <w:rPr>
                <w:sz w:val="16"/>
                <w:rFonts w:eastAsia="宋体" w:ascii="Times New Roman" w:hAnsi="Times New Roman"/>
              </w:rPr>
              <w:t>4.7%</w:t>
            </w:r>
          </w:p>
        </w:tc>
        <w:tc>
          <w:tcPr>
            <w:tcW w:type="dxa" w:w="1440"/>
            <w:shd w:val="clear" w:color="auto" w:fill="E9EEF4"/>
          </w:tcPr>
          <w:p>
            <w:pPr>
              <w:jc w:val="center"/>
            </w:pPr>
            <w:r>
              <w:rPr>
                <w:sz w:val="16"/>
                <w:rFonts w:eastAsia="宋体" w:ascii="Times New Roman" w:hAnsi="Times New Roman"/>
              </w:rPr>
              <w:t>+31.3%</w:t>
            </w:r>
          </w:p>
        </w:tc>
      </w:tr>
      <w:tr>
        <w:tc>
          <w:tcPr>
            <w:tcW w:type="dxa" w:w="3312"/>
          </w:tcPr>
          <w:p>
            <w:pPr>
              <w:jc w:val="left"/>
            </w:pPr>
            <w:r>
              <w:rPr>
                <w:sz w:val="16"/>
                <w:rFonts w:eastAsia="宋体" w:ascii="Times New Roman" w:hAnsi="Times New Roman"/>
              </w:rPr>
              <w:t>合计</w:t>
            </w:r>
          </w:p>
        </w:tc>
        <w:tc>
          <w:tcPr>
            <w:tcW w:type="dxa" w:w="1728"/>
          </w:tcPr>
          <w:p>
            <w:pPr>
              <w:jc w:val="center"/>
            </w:pPr>
            <w:r>
              <w:rPr>
                <w:sz w:val="16"/>
                <w:rFonts w:eastAsia="宋体" w:ascii="Times New Roman" w:hAnsi="Times New Roman"/>
              </w:rPr>
              <w:t>778.6</w:t>
            </w:r>
          </w:p>
        </w:tc>
        <w:tc>
          <w:tcPr>
            <w:tcW w:type="dxa" w:w="1296"/>
          </w:tcPr>
          <w:p>
            <w:pPr>
              <w:jc w:val="center"/>
            </w:pPr>
            <w:r>
              <w:rPr>
                <w:sz w:val="16"/>
                <w:rFonts w:eastAsia="宋体" w:ascii="Times New Roman" w:hAnsi="Times New Roman"/>
              </w:rPr>
              <w:t>100%</w:t>
            </w:r>
          </w:p>
        </w:tc>
        <w:tc>
          <w:tcPr>
            <w:tcW w:type="dxa" w:w="1728"/>
          </w:tcPr>
          <w:p>
            <w:pPr>
              <w:jc w:val="center"/>
            </w:pPr>
            <w:r>
              <w:rPr>
                <w:sz w:val="16"/>
                <w:rFonts w:eastAsia="宋体" w:ascii="Times New Roman" w:hAnsi="Times New Roman"/>
              </w:rPr>
              <w:t>891.84</w:t>
            </w:r>
          </w:p>
        </w:tc>
        <w:tc>
          <w:tcPr>
            <w:tcW w:type="dxa" w:w="1296"/>
          </w:tcPr>
          <w:p>
            <w:pPr>
              <w:jc w:val="center"/>
            </w:pPr>
            <w:r>
              <w:rPr>
                <w:sz w:val="16"/>
                <w:rFonts w:eastAsia="宋体" w:ascii="Times New Roman" w:hAnsi="Times New Roman"/>
              </w:rPr>
              <w:t>100%</w:t>
            </w:r>
          </w:p>
        </w:tc>
        <w:tc>
          <w:tcPr>
            <w:tcW w:type="dxa" w:w="1440"/>
          </w:tcPr>
          <w:p>
            <w:pPr>
              <w:jc w:val="center"/>
            </w:pPr>
            <w:r>
              <w:rPr>
                <w:sz w:val="16"/>
                <w:rFonts w:eastAsia="宋体" w:ascii="Times New Roman" w:hAnsi="Times New Roman"/>
              </w:rPr>
              <w:t>+14.6%</w:t>
            </w:r>
          </w:p>
        </w:tc>
      </w:tr>
    </w:tbl>
    <w:p>
      <w:pPr>
        <w:spacing w:before="20" w:after="120"/>
        <w:ind w:left="0"/>
      </w:pPr>
      <w:r>
        <w:rPr>
          <w:i/>
          <w:color w:val="808080"/>
          <w:sz w:val="15"/>
        </w:rPr>
        <w:t>资料来源：阳光电源2025年年度报告（2026-04-01）；2024年分业务数据为基于公司披露的估算值</w:t>
      </w:r>
    </w:p>
    <w:p>
      <w:pPr>
        <w:spacing w:before="80" w:after="40"/>
        <w:ind w:left="0"/>
        <w:jc w:val="center"/>
      </w:pPr>
      <w:r>
        <w:drawing>
          <wp:inline xmlns:a="http://schemas.openxmlformats.org/drawingml/2006/main" xmlns:pic="http://schemas.openxmlformats.org/drawingml/2006/picture">
            <wp:extent cx="5669280" cy="3138351"/>
            <wp:docPr id="2" name="Picture 2"/>
            <wp:cNvGraphicFramePr>
              <a:graphicFrameLocks noChangeAspect="1"/>
            </wp:cNvGraphicFramePr>
            <a:graphic>
              <a:graphicData uri="http://schemas.openxmlformats.org/drawingml/2006/picture">
                <pic:pic>
                  <pic:nvPicPr>
                    <pic:cNvPr id="0" name="300274_chart4_segments.png"/>
                    <pic:cNvPicPr/>
                  </pic:nvPicPr>
                  <pic:blipFill>
                    <a:blip r:embed="rId10"/>
                    <a:stretch>
                      <a:fillRect/>
                    </a:stretch>
                  </pic:blipFill>
                  <pic:spPr>
                    <a:xfrm>
                      <a:off x="0" y="0"/>
                      <a:ext cx="5669280" cy="3138351"/>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图4 — 各业务板块营收对比（2024A vs 2025A）| 资料来源：阳光电源2025年年度报告</w:t>
      </w:r>
    </w:p>
    <w:p>
      <w:pPr>
        <w:spacing w:before="80" w:after="40"/>
        <w:ind w:left="0"/>
        <w:jc w:val="center"/>
      </w:pPr>
      <w:r>
        <w:drawing>
          <wp:inline xmlns:a="http://schemas.openxmlformats.org/drawingml/2006/main" xmlns:pic="http://schemas.openxmlformats.org/drawingml/2006/picture">
            <wp:extent cx="5669280" cy="3157235"/>
            <wp:docPr id="3" name="Picture 3"/>
            <wp:cNvGraphicFramePr>
              <a:graphicFrameLocks noChangeAspect="1"/>
            </wp:cNvGraphicFramePr>
            <a:graphic>
              <a:graphicData uri="http://schemas.openxmlformats.org/drawingml/2006/picture">
                <pic:pic>
                  <pic:nvPicPr>
                    <pic:cNvPr id="0" name="300274_chart2_net_profit.png"/>
                    <pic:cNvPicPr/>
                  </pic:nvPicPr>
                  <pic:blipFill>
                    <a:blip r:embed="rId11"/>
                    <a:stretch>
                      <a:fillRect/>
                    </a:stretch>
                  </pic:blipFill>
                  <pic:spPr>
                    <a:xfrm>
                      <a:off x="0" y="0"/>
                      <a:ext cx="5669280" cy="3157235"/>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图2 — 季度归母净利润走势 | 资料来源：阳光电源2025年年度报告；分析师季度拆分估算</w:t>
      </w:r>
    </w:p>
    <w:p>
      <w:pPr>
        <w:spacing w:before="160" w:after="80"/>
        <w:ind w:left="0"/>
      </w:pPr>
      <w:r>
        <w:rPr>
          <w:b/>
          <w:color w:val="2E75B6"/>
          <w:sz w:val="22"/>
          <w:rFonts w:eastAsia="黑体" w:ascii="Times New Roman" w:hAnsi="Times New Roman"/>
        </w:rPr>
        <w:t>1.2  盈利能力分析</w:t>
      </w:r>
    </w:p>
    <w:p>
      <w:pPr>
        <w:spacing w:before="80" w:after="120"/>
        <w:ind w:left="0"/>
      </w:pPr>
      <w:r>
        <w:rPr>
          <w:b/>
          <w:color w:val="1F4E79"/>
          <w:sz w:val="19"/>
          <w:rFonts w:eastAsia="黑体" w:ascii="Times New Roman" w:hAnsi="Times New Roman"/>
        </w:rPr>
        <w:t>FY2025全年毛利率31.83%（同比+6.31pcts）——盈利能力大幅提升。</w:t>
      </w:r>
      <w:r>
        <w:rPr>
          <w:b w:val="0"/>
          <w:i w:val="0"/>
          <w:sz w:val="19"/>
          <w:rFonts w:eastAsia="宋体" w:ascii="Times New Roman" w:hAnsi="Times New Roman"/>
        </w:rPr>
        <w:t>全年毛利率31.83%较2024年25.52%提升超6个百分点，主要驱动因素包括：①海外高毛利储能项目占比持续提升，海外项目议价能力优于国内；②产品结构优化，高附加值储能产品取代低毛利国内逆变器成为营收主体；③规模效应与运营杠杆。经营现金流每股8.16元（+40.2%），ROIC达25.01%，验证了资本配置效率的持续改善。</w:t>
      </w:r>
    </w:p>
    <w:p>
      <w:pPr>
        <w:spacing w:before="80" w:after="120"/>
        <w:ind w:left="0"/>
      </w:pPr>
      <w:r>
        <w:rPr>
          <w:b/>
          <w:color w:val="1F4E79"/>
          <w:sz w:val="19"/>
          <w:rFonts w:eastAsia="黑体" w:ascii="Times New Roman" w:hAnsi="Times New Roman"/>
        </w:rPr>
        <w:t>Q4 2025归母净利润15.8亿元（同比-54%）——三重负面因素叠加。</w:t>
      </w:r>
      <w:r>
        <w:rPr>
          <w:b w:val="0"/>
          <w:i w:val="0"/>
          <w:sz w:val="19"/>
          <w:rFonts w:eastAsia="宋体" w:ascii="Times New Roman" w:hAnsi="Times New Roman"/>
        </w:rPr>
        <w:t>Q4归母净利润15.8亿元是2025年最为突出的业绩亮点（负面），较市场预期约35亿元存在约19亿元差距，远低于Q4 2024的34.4亿元（同比-54%），亦大幅低于Q3 2025的41.47亿元（环比-62%）。管理层在2026年3月31日电话会上明确了三大原因：</w:t>
        <w:br/>
        <w:t>① 收入结构变化：新能源投资开发业务大项目集中在Q4交付，拉低了整体毛利率；</w:t>
        <w:br/>
        <w:t>② 储能毛利率环比大幅下降约17个百分点至约24%，主因Q3确认了海外高毛利项目导致基数偏高；</w:t>
        <w:br/>
        <w:t>③ Q4碳酸锂价格有一定涨幅，存量项目价格无法及时传导，挤压了固定价格合同的利润空间。</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592"/>
            <w:shd w:val="clear" w:color="auto" w:fill="1F4E79"/>
          </w:tcPr>
          <w:p>
            <w:pPr>
              <w:jc w:val="center"/>
            </w:pPr>
            <w:r>
              <w:rPr>
                <w:b/>
                <w:color w:val="FFFFFF"/>
                <w:sz w:val="16"/>
                <w:rFonts w:eastAsia="黑体" w:ascii="Times New Roman" w:hAnsi="Times New Roman"/>
              </w:rPr>
              <w:t>利润率指标</w:t>
            </w:r>
          </w:p>
        </w:tc>
        <w:tc>
          <w:tcPr>
            <w:tcW w:type="dxa" w:w="1152"/>
            <w:shd w:val="clear" w:color="auto" w:fill="1F4E79"/>
          </w:tcPr>
          <w:p>
            <w:pPr>
              <w:jc w:val="center"/>
            </w:pPr>
            <w:r>
              <w:rPr>
                <w:b/>
                <w:color w:val="FFFFFF"/>
                <w:sz w:val="16"/>
                <w:rFonts w:eastAsia="黑体" w:ascii="Times New Roman" w:hAnsi="Times New Roman"/>
              </w:rPr>
              <w:t>Q1'25A</w:t>
            </w:r>
          </w:p>
        </w:tc>
        <w:tc>
          <w:tcPr>
            <w:tcW w:type="dxa" w:w="1152"/>
            <w:shd w:val="clear" w:color="auto" w:fill="1F4E79"/>
          </w:tcPr>
          <w:p>
            <w:pPr>
              <w:jc w:val="center"/>
            </w:pPr>
            <w:r>
              <w:rPr>
                <w:b/>
                <w:color w:val="FFFFFF"/>
                <w:sz w:val="16"/>
                <w:rFonts w:eastAsia="黑体" w:ascii="Times New Roman" w:hAnsi="Times New Roman"/>
              </w:rPr>
              <w:t>Q2'25A</w:t>
            </w:r>
          </w:p>
        </w:tc>
        <w:tc>
          <w:tcPr>
            <w:tcW w:type="dxa" w:w="1152"/>
            <w:shd w:val="clear" w:color="auto" w:fill="1F4E79"/>
          </w:tcPr>
          <w:p>
            <w:pPr>
              <w:jc w:val="center"/>
            </w:pPr>
            <w:r>
              <w:rPr>
                <w:b/>
                <w:color w:val="FFFFFF"/>
                <w:sz w:val="16"/>
                <w:rFonts w:eastAsia="黑体" w:ascii="Times New Roman" w:hAnsi="Times New Roman"/>
              </w:rPr>
              <w:t>Q3'25A</w:t>
            </w:r>
          </w:p>
        </w:tc>
        <w:tc>
          <w:tcPr>
            <w:tcW w:type="dxa" w:w="1152"/>
            <w:shd w:val="clear" w:color="auto" w:fill="1F4E79"/>
          </w:tcPr>
          <w:p>
            <w:pPr>
              <w:jc w:val="center"/>
            </w:pPr>
            <w:r>
              <w:rPr>
                <w:b/>
                <w:color w:val="FFFFFF"/>
                <w:sz w:val="16"/>
                <w:rFonts w:eastAsia="黑体" w:ascii="Times New Roman" w:hAnsi="Times New Roman"/>
              </w:rPr>
              <w:t>Q4'25A</w:t>
            </w:r>
          </w:p>
        </w:tc>
        <w:tc>
          <w:tcPr>
            <w:tcW w:type="dxa" w:w="1296"/>
            <w:shd w:val="clear" w:color="auto" w:fill="1F4E79"/>
          </w:tcPr>
          <w:p>
            <w:pPr>
              <w:jc w:val="center"/>
            </w:pPr>
            <w:r>
              <w:rPr>
                <w:b/>
                <w:color w:val="FFFFFF"/>
                <w:sz w:val="16"/>
                <w:rFonts w:eastAsia="黑体" w:ascii="Times New Roman" w:hAnsi="Times New Roman"/>
              </w:rPr>
              <w:t>FY2025A</w:t>
            </w:r>
          </w:p>
        </w:tc>
        <w:tc>
          <w:tcPr>
            <w:tcW w:type="dxa" w:w="1296"/>
            <w:shd w:val="clear" w:color="auto" w:fill="1F4E79"/>
          </w:tcPr>
          <w:p>
            <w:pPr>
              <w:jc w:val="center"/>
            </w:pPr>
            <w:r>
              <w:rPr>
                <w:b/>
                <w:color w:val="FFFFFF"/>
                <w:sz w:val="16"/>
                <w:rFonts w:eastAsia="黑体" w:ascii="Times New Roman" w:hAnsi="Times New Roman"/>
              </w:rPr>
              <w:t>FY2024A</w:t>
            </w:r>
          </w:p>
        </w:tc>
        <w:tc>
          <w:tcPr>
            <w:tcW w:type="dxa" w:w="1296"/>
            <w:shd w:val="clear" w:color="auto" w:fill="1F4E79"/>
          </w:tcPr>
          <w:p>
            <w:pPr>
              <w:jc w:val="center"/>
            </w:pPr>
            <w:r>
              <w:rPr>
                <w:b/>
                <w:color w:val="FFFFFF"/>
                <w:sz w:val="16"/>
                <w:rFonts w:eastAsia="黑体" w:ascii="Times New Roman" w:hAnsi="Times New Roman"/>
              </w:rPr>
              <w:t>同比变动</w:t>
            </w:r>
          </w:p>
        </w:tc>
      </w:tr>
      <w:tr>
        <w:tc>
          <w:tcPr>
            <w:tcW w:type="dxa" w:w="2592"/>
          </w:tcPr>
          <w:p>
            <w:pPr>
              <w:jc w:val="left"/>
            </w:pPr>
            <w:r>
              <w:rPr>
                <w:sz w:val="16"/>
                <w:rFonts w:eastAsia="宋体" w:ascii="Times New Roman" w:hAnsi="Times New Roman"/>
              </w:rPr>
              <w:t>毛利率（%）</w:t>
            </w:r>
          </w:p>
        </w:tc>
        <w:tc>
          <w:tcPr>
            <w:tcW w:type="dxa" w:w="1152"/>
          </w:tcPr>
          <w:p>
            <w:pPr>
              <w:jc w:val="center"/>
            </w:pPr>
            <w:r>
              <w:rPr>
                <w:sz w:val="16"/>
                <w:rFonts w:eastAsia="宋体" w:ascii="Times New Roman" w:hAnsi="Times New Roman"/>
              </w:rPr>
              <w:t>29.4%</w:t>
            </w:r>
          </w:p>
        </w:tc>
        <w:tc>
          <w:tcPr>
            <w:tcW w:type="dxa" w:w="1152"/>
          </w:tcPr>
          <w:p>
            <w:pPr>
              <w:jc w:val="center"/>
            </w:pPr>
            <w:r>
              <w:rPr>
                <w:sz w:val="16"/>
                <w:rFonts w:eastAsia="宋体" w:ascii="Times New Roman" w:hAnsi="Times New Roman"/>
              </w:rPr>
              <w:t>32.1%</w:t>
            </w:r>
          </w:p>
        </w:tc>
        <w:tc>
          <w:tcPr>
            <w:tcW w:type="dxa" w:w="1152"/>
          </w:tcPr>
          <w:p>
            <w:pPr>
              <w:jc w:val="center"/>
            </w:pPr>
            <w:r>
              <w:rPr>
                <w:sz w:val="16"/>
                <w:rFonts w:eastAsia="宋体" w:ascii="Times New Roman" w:hAnsi="Times New Roman"/>
              </w:rPr>
              <w:t>35.9%</w:t>
            </w:r>
          </w:p>
        </w:tc>
        <w:tc>
          <w:tcPr>
            <w:tcW w:type="dxa" w:w="1152"/>
          </w:tcPr>
          <w:p>
            <w:pPr>
              <w:jc w:val="center"/>
            </w:pPr>
            <w:r>
              <w:rPr>
                <w:sz w:val="16"/>
                <w:rFonts w:eastAsia="宋体" w:ascii="Times New Roman" w:hAnsi="Times New Roman"/>
              </w:rPr>
              <w:t>24.2%</w:t>
            </w:r>
          </w:p>
        </w:tc>
        <w:tc>
          <w:tcPr>
            <w:tcW w:type="dxa" w:w="1296"/>
          </w:tcPr>
          <w:p>
            <w:pPr>
              <w:jc w:val="center"/>
            </w:pPr>
            <w:r>
              <w:rPr>
                <w:sz w:val="16"/>
                <w:rFonts w:eastAsia="宋体" w:ascii="Times New Roman" w:hAnsi="Times New Roman"/>
              </w:rPr>
              <w:t>31.83%</w:t>
            </w:r>
          </w:p>
        </w:tc>
        <w:tc>
          <w:tcPr>
            <w:tcW w:type="dxa" w:w="1296"/>
          </w:tcPr>
          <w:p>
            <w:pPr>
              <w:jc w:val="center"/>
            </w:pPr>
            <w:r>
              <w:rPr>
                <w:sz w:val="16"/>
                <w:rFonts w:eastAsia="宋体" w:ascii="Times New Roman" w:hAnsi="Times New Roman"/>
              </w:rPr>
              <w:t>25.52%</w:t>
            </w:r>
          </w:p>
        </w:tc>
        <w:tc>
          <w:tcPr>
            <w:tcW w:type="dxa" w:w="1296"/>
          </w:tcPr>
          <w:p>
            <w:pPr>
              <w:jc w:val="center"/>
            </w:pPr>
            <w:r>
              <w:rPr>
                <w:sz w:val="16"/>
                <w:rFonts w:eastAsia="宋体" w:ascii="Times New Roman" w:hAnsi="Times New Roman"/>
              </w:rPr>
              <w:t>+631bps</w:t>
            </w:r>
          </w:p>
        </w:tc>
      </w:tr>
      <w:tr>
        <w:tc>
          <w:tcPr>
            <w:tcW w:type="dxa" w:w="2592"/>
            <w:shd w:val="clear" w:color="auto" w:fill="E9EEF4"/>
          </w:tcPr>
          <w:p>
            <w:pPr>
              <w:jc w:val="left"/>
            </w:pPr>
            <w:r>
              <w:rPr>
                <w:sz w:val="16"/>
                <w:rFonts w:eastAsia="宋体" w:ascii="Times New Roman" w:hAnsi="Times New Roman"/>
              </w:rPr>
              <w:t>净利率（%）</w:t>
            </w:r>
          </w:p>
        </w:tc>
        <w:tc>
          <w:tcPr>
            <w:tcW w:type="dxa" w:w="1152"/>
            <w:shd w:val="clear" w:color="auto" w:fill="E9EEF4"/>
          </w:tcPr>
          <w:p>
            <w:pPr>
              <w:jc w:val="center"/>
            </w:pPr>
            <w:r>
              <w:rPr>
                <w:sz w:val="16"/>
                <w:rFonts w:eastAsia="宋体" w:ascii="Times New Roman" w:hAnsi="Times New Roman"/>
              </w:rPr>
              <w:t>17.9%</w:t>
            </w:r>
          </w:p>
        </w:tc>
        <w:tc>
          <w:tcPr>
            <w:tcW w:type="dxa" w:w="1152"/>
            <w:shd w:val="clear" w:color="auto" w:fill="E9EEF4"/>
          </w:tcPr>
          <w:p>
            <w:pPr>
              <w:jc w:val="center"/>
            </w:pPr>
            <w:r>
              <w:rPr>
                <w:sz w:val="16"/>
                <w:rFonts w:eastAsia="宋体" w:ascii="Times New Roman" w:hAnsi="Times New Roman"/>
              </w:rPr>
              <w:t>17.7%</w:t>
            </w:r>
          </w:p>
        </w:tc>
        <w:tc>
          <w:tcPr>
            <w:tcW w:type="dxa" w:w="1152"/>
            <w:shd w:val="clear" w:color="auto" w:fill="E9EEF4"/>
          </w:tcPr>
          <w:p>
            <w:pPr>
              <w:jc w:val="center"/>
            </w:pPr>
            <w:r>
              <w:rPr>
                <w:sz w:val="16"/>
                <w:rFonts w:eastAsia="宋体" w:ascii="Times New Roman" w:hAnsi="Times New Roman"/>
              </w:rPr>
              <w:t>18.1%</w:t>
            </w:r>
          </w:p>
        </w:tc>
        <w:tc>
          <w:tcPr>
            <w:tcW w:type="dxa" w:w="1152"/>
            <w:shd w:val="clear" w:color="auto" w:fill="E9EEF4"/>
          </w:tcPr>
          <w:p>
            <w:pPr>
              <w:jc w:val="center"/>
            </w:pPr>
            <w:r>
              <w:rPr>
                <w:sz w:val="16"/>
                <w:rFonts w:eastAsia="宋体" w:ascii="Times New Roman" w:hAnsi="Times New Roman"/>
              </w:rPr>
              <w:t>6.9%</w:t>
            </w:r>
          </w:p>
        </w:tc>
        <w:tc>
          <w:tcPr>
            <w:tcW w:type="dxa" w:w="1296"/>
            <w:shd w:val="clear" w:color="auto" w:fill="E9EEF4"/>
          </w:tcPr>
          <w:p>
            <w:pPr>
              <w:jc w:val="center"/>
            </w:pPr>
            <w:r>
              <w:rPr>
                <w:sz w:val="16"/>
                <w:rFonts w:eastAsia="宋体" w:ascii="Times New Roman" w:hAnsi="Times New Roman"/>
              </w:rPr>
              <w:t>15.17%</w:t>
            </w:r>
          </w:p>
        </w:tc>
        <w:tc>
          <w:tcPr>
            <w:tcW w:type="dxa" w:w="1296"/>
            <w:shd w:val="clear" w:color="auto" w:fill="E9EEF4"/>
          </w:tcPr>
          <w:p>
            <w:pPr>
              <w:jc w:val="center"/>
            </w:pPr>
            <w:r>
              <w:rPr>
                <w:sz w:val="16"/>
                <w:rFonts w:eastAsia="宋体" w:ascii="Times New Roman" w:hAnsi="Times New Roman"/>
              </w:rPr>
              <w:t>10.29%</w:t>
            </w:r>
          </w:p>
        </w:tc>
        <w:tc>
          <w:tcPr>
            <w:tcW w:type="dxa" w:w="1296"/>
            <w:shd w:val="clear" w:color="auto" w:fill="E9EEF4"/>
          </w:tcPr>
          <w:p>
            <w:pPr>
              <w:jc w:val="center"/>
            </w:pPr>
            <w:r>
              <w:rPr>
                <w:sz w:val="16"/>
                <w:rFonts w:eastAsia="宋体" w:ascii="Times New Roman" w:hAnsi="Times New Roman"/>
              </w:rPr>
              <w:t>+488bps</w:t>
            </w:r>
          </w:p>
        </w:tc>
      </w:tr>
      <w:tr>
        <w:tc>
          <w:tcPr>
            <w:tcW w:type="dxa" w:w="2592"/>
          </w:tcPr>
          <w:p>
            <w:pPr>
              <w:jc w:val="left"/>
            </w:pPr>
            <w:r>
              <w:rPr>
                <w:sz w:val="16"/>
                <w:rFonts w:eastAsia="宋体" w:ascii="Times New Roman" w:hAnsi="Times New Roman"/>
              </w:rPr>
              <w:t>ROIC（%）</w:t>
            </w:r>
          </w:p>
        </w:tc>
        <w:tc>
          <w:tcPr>
            <w:tcW w:type="dxa" w:w="1152"/>
          </w:tcPr>
          <w:p>
            <w:pPr>
              <w:jc w:val="center"/>
            </w:pPr>
            <w:r>
              <w:rPr>
                <w:sz w:val="16"/>
                <w:rFonts w:eastAsia="宋体" w:ascii="Times New Roman" w:hAnsi="Times New Roman"/>
              </w:rPr>
              <w:t>—</w:t>
            </w:r>
          </w:p>
        </w:tc>
        <w:tc>
          <w:tcPr>
            <w:tcW w:type="dxa" w:w="1152"/>
          </w:tcPr>
          <w:p>
            <w:pPr>
              <w:jc w:val="center"/>
            </w:pPr>
            <w:r>
              <w:rPr>
                <w:sz w:val="16"/>
                <w:rFonts w:eastAsia="宋体" w:ascii="Times New Roman" w:hAnsi="Times New Roman"/>
              </w:rPr>
              <w:t>—</w:t>
            </w:r>
          </w:p>
        </w:tc>
        <w:tc>
          <w:tcPr>
            <w:tcW w:type="dxa" w:w="1152"/>
          </w:tcPr>
          <w:p>
            <w:pPr>
              <w:jc w:val="center"/>
            </w:pPr>
            <w:r>
              <w:rPr>
                <w:sz w:val="16"/>
                <w:rFonts w:eastAsia="宋体" w:ascii="Times New Roman" w:hAnsi="Times New Roman"/>
              </w:rPr>
              <w:t>—</w:t>
            </w:r>
          </w:p>
        </w:tc>
        <w:tc>
          <w:tcPr>
            <w:tcW w:type="dxa" w:w="1152"/>
          </w:tcPr>
          <w:p>
            <w:pPr>
              <w:jc w:val="center"/>
            </w:pPr>
            <w:r>
              <w:rPr>
                <w:sz w:val="16"/>
                <w:rFonts w:eastAsia="宋体" w:ascii="Times New Roman" w:hAnsi="Times New Roman"/>
              </w:rPr>
              <w:t>—</w:t>
            </w:r>
          </w:p>
        </w:tc>
        <w:tc>
          <w:tcPr>
            <w:tcW w:type="dxa" w:w="1296"/>
          </w:tcPr>
          <w:p>
            <w:pPr>
              <w:jc w:val="center"/>
            </w:pPr>
            <w:r>
              <w:rPr>
                <w:sz w:val="16"/>
                <w:rFonts w:eastAsia="宋体" w:ascii="Times New Roman" w:hAnsi="Times New Roman"/>
              </w:rPr>
              <w:t>25.01%</w:t>
            </w:r>
          </w:p>
        </w:tc>
        <w:tc>
          <w:tcPr>
            <w:tcW w:type="dxa" w:w="1296"/>
          </w:tcPr>
          <w:p>
            <w:pPr>
              <w:jc w:val="center"/>
            </w:pPr>
            <w:r>
              <w:rPr>
                <w:sz w:val="16"/>
                <w:rFonts w:eastAsia="宋体" w:ascii="Times New Roman" w:hAnsi="Times New Roman"/>
              </w:rPr>
              <w:t>约20%</w:t>
            </w:r>
          </w:p>
        </w:tc>
        <w:tc>
          <w:tcPr>
            <w:tcW w:type="dxa" w:w="1296"/>
          </w:tcPr>
          <w:p>
            <w:pPr>
              <w:jc w:val="center"/>
            </w:pPr>
            <w:r>
              <w:rPr>
                <w:sz w:val="16"/>
                <w:rFonts w:eastAsia="宋体" w:ascii="Times New Roman" w:hAnsi="Times New Roman"/>
              </w:rPr>
              <w:t>+约500bps</w:t>
            </w:r>
          </w:p>
        </w:tc>
      </w:tr>
      <w:tr>
        <w:tc>
          <w:tcPr>
            <w:tcW w:type="dxa" w:w="2592"/>
            <w:shd w:val="clear" w:color="auto" w:fill="E9EEF4"/>
          </w:tcPr>
          <w:p>
            <w:pPr>
              <w:jc w:val="left"/>
            </w:pPr>
            <w:r>
              <w:rPr>
                <w:sz w:val="16"/>
                <w:rFonts w:eastAsia="宋体" w:ascii="Times New Roman" w:hAnsi="Times New Roman"/>
              </w:rPr>
              <w:t>每股经营性现金流</w:t>
            </w:r>
          </w:p>
        </w:tc>
        <w:tc>
          <w:tcPr>
            <w:tcW w:type="dxa" w:w="1152"/>
            <w:shd w:val="clear" w:color="auto" w:fill="E9EEF4"/>
          </w:tcPr>
          <w:p>
            <w:pPr>
              <w:jc w:val="center"/>
            </w:pPr>
            <w:r>
              <w:rPr>
                <w:sz w:val="16"/>
                <w:rFonts w:eastAsia="宋体" w:ascii="Times New Roman" w:hAnsi="Times New Roman"/>
              </w:rPr>
              <w:t>—</w:t>
            </w:r>
          </w:p>
        </w:tc>
        <w:tc>
          <w:tcPr>
            <w:tcW w:type="dxa" w:w="1152"/>
            <w:shd w:val="clear" w:color="auto" w:fill="E9EEF4"/>
          </w:tcPr>
          <w:p>
            <w:pPr>
              <w:jc w:val="center"/>
            </w:pPr>
            <w:r>
              <w:rPr>
                <w:sz w:val="16"/>
                <w:rFonts w:eastAsia="宋体" w:ascii="Times New Roman" w:hAnsi="Times New Roman"/>
              </w:rPr>
              <w:t>—</w:t>
            </w:r>
          </w:p>
        </w:tc>
        <w:tc>
          <w:tcPr>
            <w:tcW w:type="dxa" w:w="1152"/>
            <w:shd w:val="clear" w:color="auto" w:fill="E9EEF4"/>
          </w:tcPr>
          <w:p>
            <w:pPr>
              <w:jc w:val="center"/>
            </w:pPr>
            <w:r>
              <w:rPr>
                <w:sz w:val="16"/>
                <w:rFonts w:eastAsia="宋体" w:ascii="Times New Roman" w:hAnsi="Times New Roman"/>
              </w:rPr>
              <w:t>—</w:t>
            </w:r>
          </w:p>
        </w:tc>
        <w:tc>
          <w:tcPr>
            <w:tcW w:type="dxa" w:w="1152"/>
            <w:shd w:val="clear" w:color="auto" w:fill="E9EEF4"/>
          </w:tcPr>
          <w:p>
            <w:pPr>
              <w:jc w:val="center"/>
            </w:pPr>
            <w:r>
              <w:rPr>
                <w:sz w:val="16"/>
                <w:rFonts w:eastAsia="宋体" w:ascii="Times New Roman" w:hAnsi="Times New Roman"/>
              </w:rPr>
              <w:t>—</w:t>
            </w:r>
          </w:p>
        </w:tc>
        <w:tc>
          <w:tcPr>
            <w:tcW w:type="dxa" w:w="1296"/>
            <w:shd w:val="clear" w:color="auto" w:fill="E9EEF4"/>
          </w:tcPr>
          <w:p>
            <w:pPr>
              <w:jc w:val="center"/>
            </w:pPr>
            <w:r>
              <w:rPr>
                <w:sz w:val="16"/>
                <w:rFonts w:eastAsia="宋体" w:ascii="Times New Roman" w:hAnsi="Times New Roman"/>
              </w:rPr>
              <w:t>8.16元</w:t>
            </w:r>
          </w:p>
        </w:tc>
        <w:tc>
          <w:tcPr>
            <w:tcW w:type="dxa" w:w="1296"/>
            <w:shd w:val="clear" w:color="auto" w:fill="E9EEF4"/>
          </w:tcPr>
          <w:p>
            <w:pPr>
              <w:jc w:val="center"/>
            </w:pPr>
            <w:r>
              <w:rPr>
                <w:sz w:val="16"/>
                <w:rFonts w:eastAsia="宋体" w:ascii="Times New Roman" w:hAnsi="Times New Roman"/>
              </w:rPr>
              <w:t>5.82元</w:t>
            </w:r>
          </w:p>
        </w:tc>
        <w:tc>
          <w:tcPr>
            <w:tcW w:type="dxa" w:w="1296"/>
            <w:shd w:val="clear" w:color="auto" w:fill="E9EEF4"/>
          </w:tcPr>
          <w:p>
            <w:pPr>
              <w:jc w:val="center"/>
            </w:pPr>
            <w:r>
              <w:rPr>
                <w:sz w:val="16"/>
                <w:rFonts w:eastAsia="宋体" w:ascii="Times New Roman" w:hAnsi="Times New Roman"/>
              </w:rPr>
              <w:t>+40.2%</w:t>
            </w:r>
          </w:p>
        </w:tc>
      </w:tr>
    </w:tbl>
    <w:p>
      <w:pPr>
        <w:spacing w:before="20" w:after="120"/>
        <w:ind w:left="0"/>
      </w:pPr>
      <w:r>
        <w:rPr>
          <w:i/>
          <w:color w:val="808080"/>
          <w:sz w:val="15"/>
        </w:rPr>
        <w:t>资料来源：阳光电源2025年年度报告；公司投资者电话会议（2026-03-31）</w:t>
      </w:r>
    </w:p>
    <w:p>
      <w:pPr>
        <w:spacing w:before="80" w:after="40"/>
        <w:ind w:left="0"/>
        <w:jc w:val="center"/>
      </w:pPr>
      <w:r>
        <w:drawing>
          <wp:inline xmlns:a="http://schemas.openxmlformats.org/drawingml/2006/main" xmlns:pic="http://schemas.openxmlformats.org/drawingml/2006/picture">
            <wp:extent cx="5669280" cy="3157235"/>
            <wp:docPr id="4" name="Picture 4"/>
            <wp:cNvGraphicFramePr>
              <a:graphicFrameLocks noChangeAspect="1"/>
            </wp:cNvGraphicFramePr>
            <a:graphic>
              <a:graphicData uri="http://schemas.openxmlformats.org/drawingml/2006/picture">
                <pic:pic>
                  <pic:nvPicPr>
                    <pic:cNvPr id="0" name="300274_chart3_margins.png"/>
                    <pic:cNvPicPr/>
                  </pic:nvPicPr>
                  <pic:blipFill>
                    <a:blip r:embed="rId12"/>
                    <a:stretch>
                      <a:fillRect/>
                    </a:stretch>
                  </pic:blipFill>
                  <pic:spPr>
                    <a:xfrm>
                      <a:off x="0" y="0"/>
                      <a:ext cx="5669280" cy="3157235"/>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图3 — 季度利润率走势 | 资料来源：阳光电源2025年年度报告；公司投资者电话会议</w:t>
      </w:r>
    </w:p>
    <w:p>
      <w:r>
        <w:br w:type="page"/>
      </w:r>
    </w:p>
    <w:p>
      <w:pPr>
        <w:spacing w:before="160" w:after="80"/>
        <w:ind w:left="0"/>
      </w:pPr>
      <w:r>
        <w:rPr>
          <w:b/>
          <w:color w:val="1F4E79"/>
          <w:sz w:val="24"/>
          <w:rFonts w:eastAsia="黑体" w:ascii="Times New Roman" w:hAnsi="Times New Roman"/>
        </w:rPr>
        <w:t>第二部分：核心运营指标与业绩指引</w:t>
      </w:r>
    </w:p>
    <w:p>
      <w:pPr>
        <w:spacing w:before="40" w:after="40"/>
        <w:pBdr>
          <w:bottom w:val="single" w:sz="6" w:space="1" w:color="1F4E79"/>
        </w:pBdr>
      </w:pPr>
    </w:p>
    <w:p>
      <w:pPr>
        <w:spacing w:before="160" w:after="80"/>
        <w:ind w:left="0"/>
      </w:pPr>
      <w:r>
        <w:rPr>
          <w:b/>
          <w:color w:val="2E75B6"/>
          <w:sz w:val="22"/>
          <w:rFonts w:eastAsia="黑体" w:ascii="Times New Roman" w:hAnsi="Times New Roman"/>
        </w:rPr>
        <w:t>2.1  出货量表现</w:t>
      </w:r>
    </w:p>
    <w:p>
      <w:pPr>
        <w:spacing w:before="80" w:after="120"/>
        <w:ind w:left="0"/>
      </w:pPr>
      <w:r>
        <w:rPr>
          <w:b/>
          <w:color w:val="1F4E79"/>
          <w:sz w:val="19"/>
          <w:rFonts w:eastAsia="黑体" w:ascii="Times New Roman" w:hAnsi="Times New Roman"/>
        </w:rPr>
        <w:t>储能系统：43GWh（同比+53.6%）——全球龙头地位进一步巩固。</w:t>
      </w:r>
      <w:r>
        <w:rPr>
          <w:b w:val="0"/>
          <w:i w:val="0"/>
          <w:sz w:val="19"/>
          <w:rFonts w:eastAsia="宋体" w:ascii="Times New Roman" w:hAnsi="Times New Roman"/>
        </w:rPr>
        <w:t>2025年储能系统出货43GWh，超出我们约40GWh的预测，同比增速达53.6%。其中海外出货36GWh（同比+89%），占总出货量84%，充分体现了阳光电源海外市场拓展的显著成效。国内储能出货7GWh（同比-22%），主要受制于国内公用事业储能项目开工节奏放缓。国内外出货量的反向走势清晰印证了公司向更高毛利国际市场转型的战略成功。</w:t>
      </w:r>
    </w:p>
    <w:p>
      <w:pPr>
        <w:spacing w:before="80" w:after="120"/>
        <w:ind w:left="0"/>
      </w:pPr>
      <w:r>
        <w:rPr>
          <w:b/>
          <w:color w:val="1F4E79"/>
          <w:sz w:val="19"/>
          <w:rFonts w:eastAsia="黑体" w:ascii="Times New Roman" w:hAnsi="Times New Roman"/>
        </w:rPr>
        <w:t>光伏逆变器：143GW（同比-2.7%）——国内承压拖累总量。</w:t>
      </w:r>
      <w:r>
        <w:rPr>
          <w:b w:val="0"/>
          <w:i w:val="0"/>
          <w:sz w:val="19"/>
          <w:rFonts w:eastAsia="宋体" w:ascii="Times New Roman" w:hAnsi="Times New Roman"/>
        </w:rPr>
        <w:t>2025年逆变器出货量143GW，较2024年147GW小幅下降2.7%，其中国内出货量57GW（同比-19%），反映国内太阳能装机节奏放缓及竞争加剧。但逆变器收入仍增长8.1%至311.36亿元，体现了产品结构优化（高价值组串逆变器及大型地面电站解决方案）及海外定价稳定的正面影响。</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4E79"/>
          </w:tcPr>
          <w:p>
            <w:pPr>
              <w:jc w:val="center"/>
            </w:pPr>
            <w:r>
              <w:rPr>
                <w:b/>
                <w:color w:val="FFFFFF"/>
                <w:sz w:val="16"/>
                <w:rFonts w:eastAsia="黑体" w:ascii="Times New Roman" w:hAnsi="Times New Roman"/>
              </w:rPr>
              <w:t>指标</w:t>
            </w:r>
          </w:p>
        </w:tc>
        <w:tc>
          <w:tcPr>
            <w:tcW w:type="dxa" w:w="1296"/>
            <w:shd w:val="clear" w:color="auto" w:fill="1F4E79"/>
          </w:tcPr>
          <w:p>
            <w:pPr>
              <w:jc w:val="center"/>
            </w:pPr>
            <w:r>
              <w:rPr>
                <w:b/>
                <w:color w:val="FFFFFF"/>
                <w:sz w:val="16"/>
                <w:rFonts w:eastAsia="黑体" w:ascii="Times New Roman" w:hAnsi="Times New Roman"/>
              </w:rPr>
              <w:t>2023年A</w:t>
            </w:r>
          </w:p>
        </w:tc>
        <w:tc>
          <w:tcPr>
            <w:tcW w:type="dxa" w:w="1296"/>
            <w:shd w:val="clear" w:color="auto" w:fill="1F4E79"/>
          </w:tcPr>
          <w:p>
            <w:pPr>
              <w:jc w:val="center"/>
            </w:pPr>
            <w:r>
              <w:rPr>
                <w:b/>
                <w:color w:val="FFFFFF"/>
                <w:sz w:val="16"/>
                <w:rFonts w:eastAsia="黑体" w:ascii="Times New Roman" w:hAnsi="Times New Roman"/>
              </w:rPr>
              <w:t>2024年A</w:t>
            </w:r>
          </w:p>
        </w:tc>
        <w:tc>
          <w:tcPr>
            <w:tcW w:type="dxa" w:w="1296"/>
            <w:shd w:val="clear" w:color="auto" w:fill="1F4E79"/>
          </w:tcPr>
          <w:p>
            <w:pPr>
              <w:jc w:val="center"/>
            </w:pPr>
            <w:r>
              <w:rPr>
                <w:b/>
                <w:color w:val="FFFFFF"/>
                <w:sz w:val="16"/>
                <w:rFonts w:eastAsia="黑体" w:ascii="Times New Roman" w:hAnsi="Times New Roman"/>
              </w:rPr>
              <w:t>2025年A</w:t>
            </w:r>
          </w:p>
        </w:tc>
        <w:tc>
          <w:tcPr>
            <w:tcW w:type="dxa" w:w="1440"/>
            <w:shd w:val="clear" w:color="auto" w:fill="1F4E79"/>
          </w:tcPr>
          <w:p>
            <w:pPr>
              <w:jc w:val="center"/>
            </w:pPr>
            <w:r>
              <w:rPr>
                <w:b/>
                <w:color w:val="FFFFFF"/>
                <w:sz w:val="16"/>
                <w:rFonts w:eastAsia="黑体" w:ascii="Times New Roman" w:hAnsi="Times New Roman"/>
              </w:rPr>
              <w:t>同比增速</w:t>
            </w:r>
          </w:p>
        </w:tc>
        <w:tc>
          <w:tcPr>
            <w:tcW w:type="dxa" w:w="1872"/>
            <w:shd w:val="clear" w:color="auto" w:fill="1F4E79"/>
          </w:tcPr>
          <w:p>
            <w:pPr>
              <w:jc w:val="center"/>
            </w:pPr>
            <w:r>
              <w:rPr>
                <w:b/>
                <w:color w:val="FFFFFF"/>
                <w:sz w:val="16"/>
                <w:rFonts w:eastAsia="黑体" w:ascii="Times New Roman" w:hAnsi="Times New Roman"/>
              </w:rPr>
              <w:t>2026年目标</w:t>
            </w:r>
          </w:p>
        </w:tc>
      </w:tr>
      <w:tr>
        <w:tc>
          <w:tcPr>
            <w:tcW w:type="dxa" w:w="2880"/>
          </w:tcPr>
          <w:p>
            <w:pPr>
              <w:jc w:val="left"/>
            </w:pPr>
            <w:r>
              <w:rPr>
                <w:sz w:val="16"/>
                <w:rFonts w:eastAsia="宋体" w:ascii="Times New Roman" w:hAnsi="Times New Roman"/>
              </w:rPr>
              <w:t>储能系统（GWh）</w:t>
            </w:r>
          </w:p>
        </w:tc>
        <w:tc>
          <w:tcPr>
            <w:tcW w:type="dxa" w:w="1296"/>
          </w:tcPr>
          <w:p>
            <w:pPr>
              <w:jc w:val="center"/>
            </w:pPr>
            <w:r>
              <w:rPr>
                <w:sz w:val="16"/>
                <w:rFonts w:eastAsia="宋体" w:ascii="Times New Roman" w:hAnsi="Times New Roman"/>
              </w:rPr>
              <w:t>16.0</w:t>
            </w:r>
          </w:p>
        </w:tc>
        <w:tc>
          <w:tcPr>
            <w:tcW w:type="dxa" w:w="1296"/>
          </w:tcPr>
          <w:p>
            <w:pPr>
              <w:jc w:val="center"/>
            </w:pPr>
            <w:r>
              <w:rPr>
                <w:sz w:val="16"/>
                <w:rFonts w:eastAsia="宋体" w:ascii="Times New Roman" w:hAnsi="Times New Roman"/>
              </w:rPr>
              <w:t>28.0</w:t>
            </w:r>
          </w:p>
        </w:tc>
        <w:tc>
          <w:tcPr>
            <w:tcW w:type="dxa" w:w="1296"/>
          </w:tcPr>
          <w:p>
            <w:pPr>
              <w:jc w:val="center"/>
            </w:pPr>
            <w:r>
              <w:rPr>
                <w:sz w:val="16"/>
                <w:rFonts w:eastAsia="宋体" w:ascii="Times New Roman" w:hAnsi="Times New Roman"/>
              </w:rPr>
              <w:t>43.0</w:t>
            </w:r>
          </w:p>
        </w:tc>
        <w:tc>
          <w:tcPr>
            <w:tcW w:type="dxa" w:w="1440"/>
          </w:tcPr>
          <w:p>
            <w:pPr>
              <w:jc w:val="center"/>
            </w:pPr>
            <w:r>
              <w:rPr>
                <w:sz w:val="16"/>
                <w:rFonts w:eastAsia="宋体" w:ascii="Times New Roman" w:hAnsi="Times New Roman"/>
              </w:rPr>
              <w:t>+53.6%</w:t>
            </w:r>
          </w:p>
        </w:tc>
        <w:tc>
          <w:tcPr>
            <w:tcW w:type="dxa" w:w="1872"/>
          </w:tcPr>
          <w:p>
            <w:pPr>
              <w:jc w:val="center"/>
            </w:pPr>
            <w:r>
              <w:rPr>
                <w:sz w:val="16"/>
                <w:rFonts w:eastAsia="宋体" w:ascii="Times New Roman" w:hAnsi="Times New Roman"/>
              </w:rPr>
              <w:t>&gt;60GWh</w:t>
            </w:r>
          </w:p>
        </w:tc>
      </w:tr>
      <w:tr>
        <w:tc>
          <w:tcPr>
            <w:tcW w:type="dxa" w:w="2880"/>
            <w:shd w:val="clear" w:color="auto" w:fill="E9EEF4"/>
          </w:tcPr>
          <w:p>
            <w:pPr>
              <w:jc w:val="left"/>
            </w:pPr>
            <w:r>
              <w:rPr>
                <w:sz w:val="16"/>
                <w:rFonts w:eastAsia="宋体" w:ascii="Times New Roman" w:hAnsi="Times New Roman"/>
              </w:rPr>
              <w:t>— 国内（GWh）</w:t>
            </w:r>
          </w:p>
        </w:tc>
        <w:tc>
          <w:tcPr>
            <w:tcW w:type="dxa" w:w="1296"/>
            <w:shd w:val="clear" w:color="auto" w:fill="E9EEF4"/>
          </w:tcPr>
          <w:p>
            <w:pPr>
              <w:jc w:val="center"/>
            </w:pPr>
            <w:r>
              <w:rPr>
                <w:sz w:val="16"/>
                <w:rFonts w:eastAsia="宋体" w:ascii="Times New Roman" w:hAnsi="Times New Roman"/>
              </w:rPr>
              <w:t>7.0</w:t>
            </w:r>
          </w:p>
        </w:tc>
        <w:tc>
          <w:tcPr>
            <w:tcW w:type="dxa" w:w="1296"/>
            <w:shd w:val="clear" w:color="auto" w:fill="E9EEF4"/>
          </w:tcPr>
          <w:p>
            <w:pPr>
              <w:jc w:val="center"/>
            </w:pPr>
            <w:r>
              <w:rPr>
                <w:sz w:val="16"/>
                <w:rFonts w:eastAsia="宋体" w:ascii="Times New Roman" w:hAnsi="Times New Roman"/>
              </w:rPr>
              <w:t>9.0</w:t>
            </w:r>
          </w:p>
        </w:tc>
        <w:tc>
          <w:tcPr>
            <w:tcW w:type="dxa" w:w="1296"/>
            <w:shd w:val="clear" w:color="auto" w:fill="E9EEF4"/>
          </w:tcPr>
          <w:p>
            <w:pPr>
              <w:jc w:val="center"/>
            </w:pPr>
            <w:r>
              <w:rPr>
                <w:sz w:val="16"/>
                <w:rFonts w:eastAsia="宋体" w:ascii="Times New Roman" w:hAnsi="Times New Roman"/>
              </w:rPr>
              <w:t>7.0</w:t>
            </w:r>
          </w:p>
        </w:tc>
        <w:tc>
          <w:tcPr>
            <w:tcW w:type="dxa" w:w="1440"/>
            <w:shd w:val="clear" w:color="auto" w:fill="E9EEF4"/>
          </w:tcPr>
          <w:p>
            <w:pPr>
              <w:jc w:val="center"/>
            </w:pPr>
            <w:r>
              <w:rPr>
                <w:sz w:val="16"/>
                <w:rFonts w:eastAsia="宋体" w:ascii="Times New Roman" w:hAnsi="Times New Roman"/>
              </w:rPr>
              <w:t>-22.2%</w:t>
            </w:r>
          </w:p>
        </w:tc>
        <w:tc>
          <w:tcPr>
            <w:tcW w:type="dxa" w:w="1872"/>
            <w:shd w:val="clear" w:color="auto" w:fill="E9EEF4"/>
          </w:tcPr>
          <w:p>
            <w:pPr>
              <w:jc w:val="center"/>
            </w:pPr>
            <w:r>
              <w:rPr>
                <w:sz w:val="16"/>
                <w:rFonts w:eastAsia="宋体" w:ascii="Times New Roman" w:hAnsi="Times New Roman"/>
              </w:rPr>
              <w:t>约10GWh</w:t>
            </w:r>
          </w:p>
        </w:tc>
      </w:tr>
      <w:tr>
        <w:tc>
          <w:tcPr>
            <w:tcW w:type="dxa" w:w="2880"/>
          </w:tcPr>
          <w:p>
            <w:pPr>
              <w:jc w:val="left"/>
            </w:pPr>
            <w:r>
              <w:rPr>
                <w:sz w:val="16"/>
                <w:rFonts w:eastAsia="宋体" w:ascii="Times New Roman" w:hAnsi="Times New Roman"/>
              </w:rPr>
              <w:t>— 海外（GWh）</w:t>
            </w:r>
          </w:p>
        </w:tc>
        <w:tc>
          <w:tcPr>
            <w:tcW w:type="dxa" w:w="1296"/>
          </w:tcPr>
          <w:p>
            <w:pPr>
              <w:jc w:val="center"/>
            </w:pPr>
            <w:r>
              <w:rPr>
                <w:sz w:val="16"/>
                <w:rFonts w:eastAsia="宋体" w:ascii="Times New Roman" w:hAnsi="Times New Roman"/>
              </w:rPr>
              <w:t>9.0</w:t>
            </w:r>
          </w:p>
        </w:tc>
        <w:tc>
          <w:tcPr>
            <w:tcW w:type="dxa" w:w="1296"/>
          </w:tcPr>
          <w:p>
            <w:pPr>
              <w:jc w:val="center"/>
            </w:pPr>
            <w:r>
              <w:rPr>
                <w:sz w:val="16"/>
                <w:rFonts w:eastAsia="宋体" w:ascii="Times New Roman" w:hAnsi="Times New Roman"/>
              </w:rPr>
              <w:t>19.0</w:t>
            </w:r>
          </w:p>
        </w:tc>
        <w:tc>
          <w:tcPr>
            <w:tcW w:type="dxa" w:w="1296"/>
          </w:tcPr>
          <w:p>
            <w:pPr>
              <w:jc w:val="center"/>
            </w:pPr>
            <w:r>
              <w:rPr>
                <w:sz w:val="16"/>
                <w:rFonts w:eastAsia="宋体" w:ascii="Times New Roman" w:hAnsi="Times New Roman"/>
              </w:rPr>
              <w:t>36.0</w:t>
            </w:r>
          </w:p>
        </w:tc>
        <w:tc>
          <w:tcPr>
            <w:tcW w:type="dxa" w:w="1440"/>
          </w:tcPr>
          <w:p>
            <w:pPr>
              <w:jc w:val="center"/>
            </w:pPr>
            <w:r>
              <w:rPr>
                <w:sz w:val="16"/>
                <w:rFonts w:eastAsia="宋体" w:ascii="Times New Roman" w:hAnsi="Times New Roman"/>
              </w:rPr>
              <w:t>+89.5%</w:t>
            </w:r>
          </w:p>
        </w:tc>
        <w:tc>
          <w:tcPr>
            <w:tcW w:type="dxa" w:w="1872"/>
          </w:tcPr>
          <w:p>
            <w:pPr>
              <w:jc w:val="center"/>
            </w:pPr>
            <w:r>
              <w:rPr>
                <w:sz w:val="16"/>
                <w:rFonts w:eastAsia="宋体" w:ascii="Times New Roman" w:hAnsi="Times New Roman"/>
              </w:rPr>
              <w:t>&gt;50GWh</w:t>
            </w:r>
          </w:p>
        </w:tc>
      </w:tr>
      <w:tr>
        <w:tc>
          <w:tcPr>
            <w:tcW w:type="dxa" w:w="2880"/>
            <w:shd w:val="clear" w:color="auto" w:fill="E9EEF4"/>
          </w:tcPr>
          <w:p>
            <w:pPr>
              <w:jc w:val="left"/>
            </w:pPr>
            <w:r>
              <w:rPr>
                <w:sz w:val="16"/>
                <w:rFonts w:eastAsia="宋体" w:ascii="Times New Roman" w:hAnsi="Times New Roman"/>
              </w:rPr>
              <w:t>光伏逆变器（GW）</w:t>
            </w:r>
          </w:p>
        </w:tc>
        <w:tc>
          <w:tcPr>
            <w:tcW w:type="dxa" w:w="1296"/>
            <w:shd w:val="clear" w:color="auto" w:fill="E9EEF4"/>
          </w:tcPr>
          <w:p>
            <w:pPr>
              <w:jc w:val="center"/>
            </w:pPr>
            <w:r>
              <w:rPr>
                <w:sz w:val="16"/>
                <w:rFonts w:eastAsia="宋体" w:ascii="Times New Roman" w:hAnsi="Times New Roman"/>
              </w:rPr>
              <w:t>130</w:t>
            </w:r>
          </w:p>
        </w:tc>
        <w:tc>
          <w:tcPr>
            <w:tcW w:type="dxa" w:w="1296"/>
            <w:shd w:val="clear" w:color="auto" w:fill="E9EEF4"/>
          </w:tcPr>
          <w:p>
            <w:pPr>
              <w:jc w:val="center"/>
            </w:pPr>
            <w:r>
              <w:rPr>
                <w:sz w:val="16"/>
                <w:rFonts w:eastAsia="宋体" w:ascii="Times New Roman" w:hAnsi="Times New Roman"/>
              </w:rPr>
              <w:t>147</w:t>
            </w:r>
          </w:p>
        </w:tc>
        <w:tc>
          <w:tcPr>
            <w:tcW w:type="dxa" w:w="1296"/>
            <w:shd w:val="clear" w:color="auto" w:fill="E9EEF4"/>
          </w:tcPr>
          <w:p>
            <w:pPr>
              <w:jc w:val="center"/>
            </w:pPr>
            <w:r>
              <w:rPr>
                <w:sz w:val="16"/>
                <w:rFonts w:eastAsia="宋体" w:ascii="Times New Roman" w:hAnsi="Times New Roman"/>
              </w:rPr>
              <w:t>143</w:t>
            </w:r>
          </w:p>
        </w:tc>
        <w:tc>
          <w:tcPr>
            <w:tcW w:type="dxa" w:w="1440"/>
            <w:shd w:val="clear" w:color="auto" w:fill="E9EEF4"/>
          </w:tcPr>
          <w:p>
            <w:pPr>
              <w:jc w:val="center"/>
            </w:pPr>
            <w:r>
              <w:rPr>
                <w:sz w:val="16"/>
                <w:rFonts w:eastAsia="宋体" w:ascii="Times New Roman" w:hAnsi="Times New Roman"/>
              </w:rPr>
              <w:t>-2.7%</w:t>
            </w:r>
          </w:p>
        </w:tc>
        <w:tc>
          <w:tcPr>
            <w:tcW w:type="dxa" w:w="1872"/>
            <w:shd w:val="clear" w:color="auto" w:fill="E9EEF4"/>
          </w:tcPr>
          <w:p>
            <w:pPr>
              <w:jc w:val="center"/>
            </w:pPr>
            <w:r>
              <w:rPr>
                <w:sz w:val="16"/>
                <w:rFonts w:eastAsia="宋体" w:ascii="Times New Roman" w:hAnsi="Times New Roman"/>
              </w:rPr>
              <w:t>约155GW</w:t>
            </w:r>
          </w:p>
        </w:tc>
      </w:tr>
      <w:tr>
        <w:tc>
          <w:tcPr>
            <w:tcW w:type="dxa" w:w="2880"/>
          </w:tcPr>
          <w:p>
            <w:pPr>
              <w:jc w:val="left"/>
            </w:pPr>
            <w:r>
              <w:rPr>
                <w:sz w:val="16"/>
                <w:rFonts w:eastAsia="宋体" w:ascii="Times New Roman" w:hAnsi="Times New Roman"/>
              </w:rPr>
              <w:t>— 国内（GW）</w:t>
            </w:r>
          </w:p>
        </w:tc>
        <w:tc>
          <w:tcPr>
            <w:tcW w:type="dxa" w:w="1296"/>
          </w:tcPr>
          <w:p>
            <w:pPr>
              <w:jc w:val="center"/>
            </w:pPr>
            <w:r>
              <w:rPr>
                <w:sz w:val="16"/>
                <w:rFonts w:eastAsia="宋体" w:ascii="Times New Roman" w:hAnsi="Times New Roman"/>
              </w:rPr>
              <w:t>n/a</w:t>
            </w:r>
          </w:p>
        </w:tc>
        <w:tc>
          <w:tcPr>
            <w:tcW w:type="dxa" w:w="1296"/>
          </w:tcPr>
          <w:p>
            <w:pPr>
              <w:jc w:val="center"/>
            </w:pPr>
            <w:r>
              <w:rPr>
                <w:sz w:val="16"/>
                <w:rFonts w:eastAsia="宋体" w:ascii="Times New Roman" w:hAnsi="Times New Roman"/>
              </w:rPr>
              <w:t>71</w:t>
            </w:r>
          </w:p>
        </w:tc>
        <w:tc>
          <w:tcPr>
            <w:tcW w:type="dxa" w:w="1296"/>
          </w:tcPr>
          <w:p>
            <w:pPr>
              <w:jc w:val="center"/>
            </w:pPr>
            <w:r>
              <w:rPr>
                <w:sz w:val="16"/>
                <w:rFonts w:eastAsia="宋体" w:ascii="Times New Roman" w:hAnsi="Times New Roman"/>
              </w:rPr>
              <w:t>57</w:t>
            </w:r>
          </w:p>
        </w:tc>
        <w:tc>
          <w:tcPr>
            <w:tcW w:type="dxa" w:w="1440"/>
          </w:tcPr>
          <w:p>
            <w:pPr>
              <w:jc w:val="center"/>
            </w:pPr>
            <w:r>
              <w:rPr>
                <w:sz w:val="16"/>
                <w:rFonts w:eastAsia="宋体" w:ascii="Times New Roman" w:hAnsi="Times New Roman"/>
              </w:rPr>
              <w:t>-19.7%</w:t>
            </w:r>
          </w:p>
        </w:tc>
        <w:tc>
          <w:tcPr>
            <w:tcW w:type="dxa" w:w="1872"/>
          </w:tcPr>
          <w:p>
            <w:pPr>
              <w:jc w:val="center"/>
            </w:pPr>
            <w:r>
              <w:rPr>
                <w:sz w:val="16"/>
                <w:rFonts w:eastAsia="宋体" w:ascii="Times New Roman" w:hAnsi="Times New Roman"/>
              </w:rPr>
              <w:t>约60GW</w:t>
            </w:r>
          </w:p>
        </w:tc>
      </w:tr>
      <w:tr>
        <w:tc>
          <w:tcPr>
            <w:tcW w:type="dxa" w:w="2880"/>
            <w:shd w:val="clear" w:color="auto" w:fill="E9EEF4"/>
          </w:tcPr>
          <w:p>
            <w:pPr>
              <w:jc w:val="left"/>
            </w:pPr>
            <w:r>
              <w:rPr>
                <w:sz w:val="16"/>
                <w:rFonts w:eastAsia="宋体" w:ascii="Times New Roman" w:hAnsi="Times New Roman"/>
              </w:rPr>
              <w:t>— 海外（GW）</w:t>
            </w:r>
          </w:p>
        </w:tc>
        <w:tc>
          <w:tcPr>
            <w:tcW w:type="dxa" w:w="1296"/>
            <w:shd w:val="clear" w:color="auto" w:fill="E9EEF4"/>
          </w:tcPr>
          <w:p>
            <w:pPr>
              <w:jc w:val="center"/>
            </w:pPr>
            <w:r>
              <w:rPr>
                <w:sz w:val="16"/>
                <w:rFonts w:eastAsia="宋体" w:ascii="Times New Roman" w:hAnsi="Times New Roman"/>
              </w:rPr>
              <w:t>n/a</w:t>
            </w:r>
          </w:p>
        </w:tc>
        <w:tc>
          <w:tcPr>
            <w:tcW w:type="dxa" w:w="1296"/>
            <w:shd w:val="clear" w:color="auto" w:fill="E9EEF4"/>
          </w:tcPr>
          <w:p>
            <w:pPr>
              <w:jc w:val="center"/>
            </w:pPr>
            <w:r>
              <w:rPr>
                <w:sz w:val="16"/>
                <w:rFonts w:eastAsia="宋体" w:ascii="Times New Roman" w:hAnsi="Times New Roman"/>
              </w:rPr>
              <w:t>76</w:t>
            </w:r>
          </w:p>
        </w:tc>
        <w:tc>
          <w:tcPr>
            <w:tcW w:type="dxa" w:w="1296"/>
            <w:shd w:val="clear" w:color="auto" w:fill="E9EEF4"/>
          </w:tcPr>
          <w:p>
            <w:pPr>
              <w:jc w:val="center"/>
            </w:pPr>
            <w:r>
              <w:rPr>
                <w:sz w:val="16"/>
                <w:rFonts w:eastAsia="宋体" w:ascii="Times New Roman" w:hAnsi="Times New Roman"/>
              </w:rPr>
              <w:t>86</w:t>
            </w:r>
          </w:p>
        </w:tc>
        <w:tc>
          <w:tcPr>
            <w:tcW w:type="dxa" w:w="1440"/>
            <w:shd w:val="clear" w:color="auto" w:fill="E9EEF4"/>
          </w:tcPr>
          <w:p>
            <w:pPr>
              <w:jc w:val="center"/>
            </w:pPr>
            <w:r>
              <w:rPr>
                <w:sz w:val="16"/>
                <w:rFonts w:eastAsia="宋体" w:ascii="Times New Roman" w:hAnsi="Times New Roman"/>
              </w:rPr>
              <w:t>+13.2%</w:t>
            </w:r>
          </w:p>
        </w:tc>
        <w:tc>
          <w:tcPr>
            <w:tcW w:type="dxa" w:w="1872"/>
            <w:shd w:val="clear" w:color="auto" w:fill="E9EEF4"/>
          </w:tcPr>
          <w:p>
            <w:pPr>
              <w:jc w:val="center"/>
            </w:pPr>
            <w:r>
              <w:rPr>
                <w:sz w:val="16"/>
                <w:rFonts w:eastAsia="宋体" w:ascii="Times New Roman" w:hAnsi="Times New Roman"/>
              </w:rPr>
              <w:t>&gt;90GW</w:t>
            </w:r>
          </w:p>
        </w:tc>
      </w:tr>
    </w:tbl>
    <w:p>
      <w:pPr>
        <w:spacing w:before="20" w:after="120"/>
        <w:ind w:left="0"/>
      </w:pPr>
      <w:r>
        <w:rPr>
          <w:i/>
          <w:color w:val="808080"/>
          <w:sz w:val="15"/>
        </w:rPr>
        <w:t>资料来源：阳光电源2025年年度报告（2026-04-01）；2026年目标来自管理层指引（2026-03-31电话会议）</w:t>
      </w:r>
    </w:p>
    <w:p>
      <w:pPr>
        <w:spacing w:before="80" w:after="40"/>
        <w:ind w:left="0"/>
        <w:jc w:val="center"/>
      </w:pPr>
      <w:r>
        <w:drawing>
          <wp:inline xmlns:a="http://schemas.openxmlformats.org/drawingml/2006/main" xmlns:pic="http://schemas.openxmlformats.org/drawingml/2006/picture">
            <wp:extent cx="5486400" cy="3398691"/>
            <wp:docPr id="5" name="Picture 5"/>
            <wp:cNvGraphicFramePr>
              <a:graphicFrameLocks noChangeAspect="1"/>
            </wp:cNvGraphicFramePr>
            <a:graphic>
              <a:graphicData uri="http://schemas.openxmlformats.org/drawingml/2006/picture">
                <pic:pic>
                  <pic:nvPicPr>
                    <pic:cNvPr id="0" name="300274_chart5_storage_shipments.png"/>
                    <pic:cNvPicPr/>
                  </pic:nvPicPr>
                  <pic:blipFill>
                    <a:blip r:embed="rId13"/>
                    <a:stretch>
                      <a:fillRect/>
                    </a:stretch>
                  </pic:blipFill>
                  <pic:spPr>
                    <a:xfrm>
                      <a:off x="0" y="0"/>
                      <a:ext cx="5486400" cy="3398691"/>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图5 — 储能系统出货量（GWh）| 资料来源：阳光电源2025年年度报告；管理层指引</w:t>
      </w:r>
    </w:p>
    <w:p>
      <w:pPr>
        <w:spacing w:before="80" w:after="40"/>
        <w:ind w:left="0"/>
        <w:jc w:val="center"/>
      </w:pPr>
      <w:r>
        <w:drawing>
          <wp:inline xmlns:a="http://schemas.openxmlformats.org/drawingml/2006/main" xmlns:pic="http://schemas.openxmlformats.org/drawingml/2006/picture">
            <wp:extent cx="5029200" cy="3195770"/>
            <wp:docPr id="6" name="Picture 6"/>
            <wp:cNvGraphicFramePr>
              <a:graphicFrameLocks noChangeAspect="1"/>
            </wp:cNvGraphicFramePr>
            <a:graphic>
              <a:graphicData uri="http://schemas.openxmlformats.org/drawingml/2006/picture">
                <pic:pic>
                  <pic:nvPicPr>
                    <pic:cNvPr id="0" name="300274_chart6_inverter_shipments.png"/>
                    <pic:cNvPicPr/>
                  </pic:nvPicPr>
                  <pic:blipFill>
                    <a:blip r:embed="rId14"/>
                    <a:stretch>
                      <a:fillRect/>
                    </a:stretch>
                  </pic:blipFill>
                  <pic:spPr>
                    <a:xfrm>
                      <a:off x="0" y="0"/>
                      <a:ext cx="5029200" cy="3195770"/>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图6 — 光伏逆变器出货量（GW）| 资料来源：阳光电源2025年年度报告</w:t>
      </w:r>
    </w:p>
    <w:p>
      <w:pPr>
        <w:spacing w:before="160" w:after="80"/>
        <w:ind w:left="0"/>
      </w:pPr>
      <w:r>
        <w:rPr>
          <w:b/>
          <w:color w:val="2E75B6"/>
          <w:sz w:val="22"/>
          <w:rFonts w:eastAsia="黑体" w:ascii="Times New Roman" w:hAnsi="Times New Roman"/>
        </w:rPr>
        <w:t>2.2  管理层指引与展望</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92"/>
            <w:shd w:val="clear" w:color="auto" w:fill="1F4E79"/>
          </w:tcPr>
          <w:p>
            <w:pPr>
              <w:jc w:val="center"/>
            </w:pPr>
            <w:r>
              <w:rPr>
                <w:b/>
                <w:color w:val="FFFFFF"/>
                <w:sz w:val="16"/>
                <w:rFonts w:eastAsia="黑体" w:ascii="Times New Roman" w:hAnsi="Times New Roman"/>
              </w:rPr>
              <w:t>指标</w:t>
            </w:r>
          </w:p>
        </w:tc>
        <w:tc>
          <w:tcPr>
            <w:tcW w:type="dxa" w:w="1728"/>
            <w:shd w:val="clear" w:color="auto" w:fill="1F4E79"/>
          </w:tcPr>
          <w:p>
            <w:pPr>
              <w:jc w:val="center"/>
            </w:pPr>
            <w:r>
              <w:rPr>
                <w:b/>
                <w:color w:val="FFFFFF"/>
                <w:sz w:val="16"/>
                <w:rFonts w:eastAsia="黑体" w:ascii="Times New Roman" w:hAnsi="Times New Roman"/>
              </w:rPr>
              <w:t>FY2025A</w:t>
            </w:r>
          </w:p>
        </w:tc>
        <w:tc>
          <w:tcPr>
            <w:tcW w:type="dxa" w:w="2304"/>
            <w:shd w:val="clear" w:color="auto" w:fill="1F4E79"/>
          </w:tcPr>
          <w:p>
            <w:pPr>
              <w:jc w:val="center"/>
            </w:pPr>
            <w:r>
              <w:rPr>
                <w:b/>
                <w:color w:val="FFFFFF"/>
                <w:sz w:val="16"/>
                <w:rFonts w:eastAsia="黑体" w:ascii="Times New Roman" w:hAnsi="Times New Roman"/>
              </w:rPr>
              <w:t>2026年指引/目标</w:t>
            </w:r>
          </w:p>
        </w:tc>
        <w:tc>
          <w:tcPr>
            <w:tcW w:type="dxa" w:w="2160"/>
            <w:shd w:val="clear" w:color="auto" w:fill="1F4E79"/>
          </w:tcPr>
          <w:p>
            <w:pPr>
              <w:jc w:val="center"/>
            </w:pPr>
            <w:r>
              <w:rPr>
                <w:b/>
                <w:color w:val="FFFFFF"/>
                <w:sz w:val="16"/>
                <w:rFonts w:eastAsia="黑体" w:ascii="Times New Roman" w:hAnsi="Times New Roman"/>
              </w:rPr>
              <w:t>我们的预测（FY2026E）</w:t>
            </w:r>
          </w:p>
        </w:tc>
        <w:tc>
          <w:tcPr>
            <w:tcW w:type="dxa" w:w="2160"/>
            <w:shd w:val="clear" w:color="auto" w:fill="1F4E79"/>
          </w:tcPr>
          <w:p>
            <w:pPr>
              <w:jc w:val="center"/>
            </w:pPr>
            <w:r>
              <w:rPr>
                <w:b/>
                <w:color w:val="FFFFFF"/>
                <w:sz w:val="16"/>
                <w:rFonts w:eastAsia="黑体" w:ascii="Times New Roman" w:hAnsi="Times New Roman"/>
              </w:rPr>
              <w:t>评估</w:t>
            </w:r>
          </w:p>
        </w:tc>
      </w:tr>
      <w:tr>
        <w:tc>
          <w:tcPr>
            <w:tcW w:type="dxa" w:w="2592"/>
          </w:tcPr>
          <w:p>
            <w:pPr>
              <w:jc w:val="left"/>
            </w:pPr>
            <w:r>
              <w:rPr>
                <w:sz w:val="16"/>
                <w:rFonts w:eastAsia="宋体" w:ascii="Times New Roman" w:hAnsi="Times New Roman"/>
              </w:rPr>
              <w:t>储能出货量（GWh）</w:t>
            </w:r>
          </w:p>
        </w:tc>
        <w:tc>
          <w:tcPr>
            <w:tcW w:type="dxa" w:w="1728"/>
          </w:tcPr>
          <w:p>
            <w:pPr>
              <w:jc w:val="center"/>
            </w:pPr>
            <w:r>
              <w:rPr>
                <w:sz w:val="16"/>
                <w:rFonts w:eastAsia="宋体" w:ascii="Times New Roman" w:hAnsi="Times New Roman"/>
              </w:rPr>
              <w:t>43GWh</w:t>
            </w:r>
          </w:p>
        </w:tc>
        <w:tc>
          <w:tcPr>
            <w:tcW w:type="dxa" w:w="2304"/>
          </w:tcPr>
          <w:p>
            <w:pPr>
              <w:jc w:val="center"/>
            </w:pPr>
            <w:r>
              <w:rPr>
                <w:sz w:val="16"/>
                <w:rFonts w:eastAsia="宋体" w:ascii="Times New Roman" w:hAnsi="Times New Roman"/>
              </w:rPr>
              <w:t>&gt;60GWh（+40% YoY）</w:t>
            </w:r>
          </w:p>
        </w:tc>
        <w:tc>
          <w:tcPr>
            <w:tcW w:type="dxa" w:w="2160"/>
          </w:tcPr>
          <w:p>
            <w:pPr>
              <w:jc w:val="center"/>
            </w:pPr>
            <w:r>
              <w:rPr>
                <w:sz w:val="16"/>
                <w:rFonts w:eastAsia="宋体" w:ascii="Times New Roman" w:hAnsi="Times New Roman"/>
              </w:rPr>
              <w:t>62GWh</w:t>
            </w:r>
          </w:p>
        </w:tc>
        <w:tc>
          <w:tcPr>
            <w:tcW w:type="dxa" w:w="2160"/>
          </w:tcPr>
          <w:p>
            <w:pPr>
              <w:jc w:val="center"/>
            </w:pPr>
            <w:r>
              <w:rPr>
                <w:sz w:val="16"/>
                <w:rFonts w:eastAsia="宋体" w:ascii="Times New Roman" w:hAnsi="Times New Roman"/>
              </w:rPr>
              <w:t>可信；市场需求驱动强劲</w:t>
            </w:r>
          </w:p>
        </w:tc>
      </w:tr>
      <w:tr>
        <w:tc>
          <w:tcPr>
            <w:tcW w:type="dxa" w:w="2592"/>
            <w:shd w:val="clear" w:color="auto" w:fill="E9EEF4"/>
          </w:tcPr>
          <w:p>
            <w:pPr>
              <w:jc w:val="left"/>
            </w:pPr>
            <w:r>
              <w:rPr>
                <w:sz w:val="16"/>
                <w:rFonts w:eastAsia="宋体" w:ascii="Times New Roman" w:hAnsi="Times New Roman"/>
              </w:rPr>
              <w:t>全球储能市场增速</w:t>
            </w:r>
          </w:p>
        </w:tc>
        <w:tc>
          <w:tcPr>
            <w:tcW w:type="dxa" w:w="1728"/>
            <w:shd w:val="clear" w:color="auto" w:fill="E9EEF4"/>
          </w:tcPr>
          <w:p>
            <w:pPr>
              <w:jc w:val="center"/>
            </w:pPr>
            <w:r>
              <w:rPr>
                <w:sz w:val="16"/>
                <w:rFonts w:eastAsia="宋体" w:ascii="Times New Roman" w:hAnsi="Times New Roman"/>
              </w:rPr>
              <w:t>—</w:t>
            </w:r>
          </w:p>
        </w:tc>
        <w:tc>
          <w:tcPr>
            <w:tcW w:type="dxa" w:w="2304"/>
            <w:shd w:val="clear" w:color="auto" w:fill="E9EEF4"/>
          </w:tcPr>
          <w:p>
            <w:pPr>
              <w:jc w:val="center"/>
            </w:pPr>
            <w:r>
              <w:rPr>
                <w:sz w:val="16"/>
                <w:rFonts w:eastAsia="宋体" w:ascii="Times New Roman" w:hAnsi="Times New Roman"/>
              </w:rPr>
              <w:t>30%-50%</w:t>
            </w:r>
          </w:p>
        </w:tc>
        <w:tc>
          <w:tcPr>
            <w:tcW w:type="dxa" w:w="2160"/>
            <w:shd w:val="clear" w:color="auto" w:fill="E9EEF4"/>
          </w:tcPr>
          <w:p>
            <w:pPr>
              <w:jc w:val="center"/>
            </w:pPr>
            <w:r>
              <w:rPr>
                <w:sz w:val="16"/>
                <w:rFonts w:eastAsia="宋体" w:ascii="Times New Roman" w:hAnsi="Times New Roman"/>
              </w:rPr>
              <w:t>约40%</w:t>
            </w:r>
          </w:p>
        </w:tc>
        <w:tc>
          <w:tcPr>
            <w:tcW w:type="dxa" w:w="2160"/>
            <w:shd w:val="clear" w:color="auto" w:fill="E9EEF4"/>
          </w:tcPr>
          <w:p>
            <w:pPr>
              <w:jc w:val="center"/>
            </w:pPr>
            <w:r>
              <w:rPr>
                <w:sz w:val="16"/>
                <w:rFonts w:eastAsia="宋体" w:ascii="Times New Roman" w:hAnsi="Times New Roman"/>
              </w:rPr>
              <w:t>可实现；历史执行力支撑</w:t>
            </w:r>
          </w:p>
        </w:tc>
      </w:tr>
      <w:tr>
        <w:tc>
          <w:tcPr>
            <w:tcW w:type="dxa" w:w="2592"/>
          </w:tcPr>
          <w:p>
            <w:pPr>
              <w:jc w:val="left"/>
            </w:pPr>
            <w:r>
              <w:rPr>
                <w:sz w:val="16"/>
                <w:rFonts w:eastAsia="宋体" w:ascii="Times New Roman" w:hAnsi="Times New Roman"/>
              </w:rPr>
              <w:t>营业收入（亿元）</w:t>
            </w:r>
          </w:p>
        </w:tc>
        <w:tc>
          <w:tcPr>
            <w:tcW w:type="dxa" w:w="1728"/>
          </w:tcPr>
          <w:p>
            <w:pPr>
              <w:jc w:val="center"/>
            </w:pPr>
            <w:r>
              <w:rPr>
                <w:sz w:val="16"/>
                <w:rFonts w:eastAsia="宋体" w:ascii="Times New Roman" w:hAnsi="Times New Roman"/>
              </w:rPr>
              <w:t>891.84亿</w:t>
            </w:r>
          </w:p>
        </w:tc>
        <w:tc>
          <w:tcPr>
            <w:tcW w:type="dxa" w:w="2304"/>
          </w:tcPr>
          <w:p>
            <w:pPr>
              <w:jc w:val="center"/>
            </w:pPr>
            <w:r>
              <w:rPr>
                <w:sz w:val="16"/>
                <w:rFonts w:eastAsia="宋体" w:ascii="Times New Roman" w:hAnsi="Times New Roman"/>
              </w:rPr>
              <w:t>无正式指引</w:t>
            </w:r>
          </w:p>
        </w:tc>
        <w:tc>
          <w:tcPr>
            <w:tcW w:type="dxa" w:w="2160"/>
          </w:tcPr>
          <w:p>
            <w:pPr>
              <w:jc w:val="center"/>
            </w:pPr>
            <w:r>
              <w:rPr>
                <w:sz w:val="16"/>
                <w:rFonts w:eastAsia="宋体" w:ascii="Times New Roman" w:hAnsi="Times New Roman"/>
              </w:rPr>
              <w:t>1020亿</w:t>
            </w:r>
          </w:p>
        </w:tc>
        <w:tc>
          <w:tcPr>
            <w:tcW w:type="dxa" w:w="2160"/>
          </w:tcPr>
          <w:p>
            <w:pPr>
              <w:jc w:val="center"/>
            </w:pPr>
            <w:r>
              <w:rPr>
                <w:sz w:val="16"/>
                <w:rFonts w:eastAsia="宋体" w:ascii="Times New Roman" w:hAnsi="Times New Roman"/>
              </w:rPr>
              <w:t>同比+14.4%估算</w:t>
            </w:r>
          </w:p>
        </w:tc>
      </w:tr>
      <w:tr>
        <w:tc>
          <w:tcPr>
            <w:tcW w:type="dxa" w:w="2592"/>
            <w:shd w:val="clear" w:color="auto" w:fill="E9EEF4"/>
          </w:tcPr>
          <w:p>
            <w:pPr>
              <w:jc w:val="left"/>
            </w:pPr>
            <w:r>
              <w:rPr>
                <w:sz w:val="16"/>
                <w:rFonts w:eastAsia="宋体" w:ascii="Times New Roman" w:hAnsi="Times New Roman"/>
              </w:rPr>
              <w:t>归母净利润（亿元）</w:t>
            </w:r>
          </w:p>
        </w:tc>
        <w:tc>
          <w:tcPr>
            <w:tcW w:type="dxa" w:w="1728"/>
            <w:shd w:val="clear" w:color="auto" w:fill="E9EEF4"/>
          </w:tcPr>
          <w:p>
            <w:pPr>
              <w:jc w:val="center"/>
            </w:pPr>
            <w:r>
              <w:rPr>
                <w:sz w:val="16"/>
                <w:rFonts w:eastAsia="宋体" w:ascii="Times New Roman" w:hAnsi="Times New Roman"/>
              </w:rPr>
              <w:t>134.61亿</w:t>
            </w:r>
          </w:p>
        </w:tc>
        <w:tc>
          <w:tcPr>
            <w:tcW w:type="dxa" w:w="2304"/>
            <w:shd w:val="clear" w:color="auto" w:fill="E9EEF4"/>
          </w:tcPr>
          <w:p>
            <w:pPr>
              <w:jc w:val="center"/>
            </w:pPr>
            <w:r>
              <w:rPr>
                <w:sz w:val="16"/>
                <w:rFonts w:eastAsia="宋体" w:ascii="Times New Roman" w:hAnsi="Times New Roman"/>
              </w:rPr>
              <w:t>无正式指引</w:t>
            </w:r>
          </w:p>
        </w:tc>
        <w:tc>
          <w:tcPr>
            <w:tcW w:type="dxa" w:w="2160"/>
            <w:shd w:val="clear" w:color="auto" w:fill="E9EEF4"/>
          </w:tcPr>
          <w:p>
            <w:pPr>
              <w:jc w:val="center"/>
            </w:pPr>
            <w:r>
              <w:rPr>
                <w:sz w:val="16"/>
                <w:rFonts w:eastAsia="宋体" w:ascii="Times New Roman" w:hAnsi="Times New Roman"/>
              </w:rPr>
              <w:t>167.7亿</w:t>
            </w:r>
          </w:p>
        </w:tc>
        <w:tc>
          <w:tcPr>
            <w:tcW w:type="dxa" w:w="2160"/>
            <w:shd w:val="clear" w:color="auto" w:fill="E9EEF4"/>
          </w:tcPr>
          <w:p>
            <w:pPr>
              <w:jc w:val="center"/>
            </w:pPr>
            <w:r>
              <w:rPr>
                <w:sz w:val="16"/>
                <w:rFonts w:eastAsia="宋体" w:ascii="Times New Roman" w:hAnsi="Times New Roman"/>
              </w:rPr>
              <w:t>同比+24.6%估算</w:t>
            </w:r>
          </w:p>
        </w:tc>
      </w:tr>
      <w:tr>
        <w:tc>
          <w:tcPr>
            <w:tcW w:type="dxa" w:w="2592"/>
          </w:tcPr>
          <w:p>
            <w:pPr>
              <w:jc w:val="left"/>
            </w:pPr>
            <w:r>
              <w:rPr>
                <w:sz w:val="16"/>
                <w:rFonts w:eastAsia="宋体" w:ascii="Times New Roman" w:hAnsi="Times New Roman"/>
              </w:rPr>
              <w:t>储能毛利率</w:t>
            </w:r>
          </w:p>
        </w:tc>
        <w:tc>
          <w:tcPr>
            <w:tcW w:type="dxa" w:w="1728"/>
          </w:tcPr>
          <w:p>
            <w:pPr>
              <w:jc w:val="center"/>
            </w:pPr>
            <w:r>
              <w:rPr>
                <w:sz w:val="16"/>
                <w:rFonts w:eastAsia="宋体" w:ascii="Times New Roman" w:hAnsi="Times New Roman"/>
              </w:rPr>
              <w:t>约31.8%</w:t>
            </w:r>
          </w:p>
        </w:tc>
        <w:tc>
          <w:tcPr>
            <w:tcW w:type="dxa" w:w="2304"/>
          </w:tcPr>
          <w:p>
            <w:pPr>
              <w:jc w:val="center"/>
            </w:pPr>
            <w:r>
              <w:rPr>
                <w:sz w:val="16"/>
                <w:rFonts w:eastAsia="宋体" w:ascii="Times New Roman" w:hAnsi="Times New Roman"/>
              </w:rPr>
              <w:t>H1 2026预期恢复</w:t>
            </w:r>
          </w:p>
        </w:tc>
        <w:tc>
          <w:tcPr>
            <w:tcW w:type="dxa" w:w="2160"/>
          </w:tcPr>
          <w:p>
            <w:pPr>
              <w:jc w:val="center"/>
            </w:pPr>
            <w:r>
              <w:rPr>
                <w:sz w:val="16"/>
                <w:rFonts w:eastAsia="宋体" w:ascii="Times New Roman" w:hAnsi="Times New Roman"/>
              </w:rPr>
              <w:t>全年&gt;30%</w:t>
            </w:r>
          </w:p>
        </w:tc>
        <w:tc>
          <w:tcPr>
            <w:tcW w:type="dxa" w:w="2160"/>
          </w:tcPr>
          <w:p>
            <w:pPr>
              <w:jc w:val="center"/>
            </w:pPr>
            <w:r>
              <w:rPr>
                <w:sz w:val="16"/>
                <w:rFonts w:eastAsia="宋体" w:ascii="Times New Roman" w:hAnsi="Times New Roman"/>
              </w:rPr>
              <w:t>若碳酸锂价格企稳，可实现</w:t>
            </w:r>
          </w:p>
        </w:tc>
      </w:tr>
    </w:tbl>
    <w:p>
      <w:pPr>
        <w:spacing w:before="20" w:after="120"/>
        <w:ind w:left="0"/>
      </w:pPr>
      <w:r>
        <w:rPr>
          <w:i/>
          <w:color w:val="808080"/>
          <w:sz w:val="15"/>
        </w:rPr>
        <w:t>资料来源：阳光电源投资者电话会议（2026-03-31）；分析师预测</w:t>
      </w:r>
    </w:p>
    <w:p>
      <w:pPr>
        <w:spacing w:before="120" w:after="120"/>
        <w:ind w:left="0"/>
      </w:pPr>
      <w:r>
        <w:rPr>
          <w:b/>
          <w:color w:val="1F4E79"/>
          <w:sz w:val="19"/>
          <w:rFonts w:eastAsia="黑体" w:ascii="Times New Roman" w:hAnsi="Times New Roman"/>
        </w:rPr>
        <w:t>管理层关于Q4低迷的解释：</w:t>
      </w:r>
      <w:r>
        <w:rPr>
          <w:b w:val="0"/>
          <w:i w:val="0"/>
          <w:sz w:val="19"/>
          <w:rFonts w:eastAsia="宋体" w:ascii="Times New Roman" w:hAnsi="Times New Roman"/>
        </w:rPr>
        <w:t>管理层在电话会上对Q4业绩低迷进行了详细解释，明确指出三大因素均具有一次性、阶段性特征，公司内在竞争力与商业模式未受影响。具体而言：①新能源投资开发业务大项目集中在Q4确认收入，该业务毛利率低于储能产品，拉低整体利润率；②储能业务毛利率Q4仅约24%，环比下降约17个百分点，主因Q3集中确认了多个高毛利海外大型项目，形成较高基数；③碳酸锂Q4价格上涨，存量固定价格合同在成本端承压。管理层表示，随着碳酸锂价格趋于平稳、新海外项目签约单价改善，2026年上半年储能毛利率有望回升，并对实现全年指引目标表达了信心。</w:t>
      </w:r>
    </w:p>
    <w:p>
      <w:pPr>
        <w:spacing w:before="80" w:after="40"/>
        <w:ind w:left="0"/>
        <w:jc w:val="center"/>
      </w:pPr>
      <w:r>
        <w:drawing>
          <wp:inline xmlns:a="http://schemas.openxmlformats.org/drawingml/2006/main" xmlns:pic="http://schemas.openxmlformats.org/drawingml/2006/picture">
            <wp:extent cx="5486400" cy="3398691"/>
            <wp:docPr id="7" name="Picture 7"/>
            <wp:cNvGraphicFramePr>
              <a:graphicFrameLocks noChangeAspect="1"/>
            </wp:cNvGraphicFramePr>
            <a:graphic>
              <a:graphicData uri="http://schemas.openxmlformats.org/drawingml/2006/picture">
                <pic:pic>
                  <pic:nvPicPr>
                    <pic:cNvPr id="0" name="300274_chart8_storage_margins.png"/>
                    <pic:cNvPicPr/>
                  </pic:nvPicPr>
                  <pic:blipFill>
                    <a:blip r:embed="rId15"/>
                    <a:stretch>
                      <a:fillRect/>
                    </a:stretch>
                  </pic:blipFill>
                  <pic:spPr>
                    <a:xfrm>
                      <a:off x="0" y="0"/>
                      <a:ext cx="5486400" cy="3398691"/>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图8 — 储能业务季度毛利率分析（Q4压缩原因）| 资料来源：阳光电源2025年年度报告；投资者电话会议</w:t>
      </w:r>
    </w:p>
    <w:p>
      <w:r>
        <w:br w:type="page"/>
      </w:r>
    </w:p>
    <w:p>
      <w:pPr>
        <w:spacing w:before="160" w:after="80"/>
        <w:ind w:left="0"/>
      </w:pPr>
      <w:r>
        <w:rPr>
          <w:b/>
          <w:color w:val="1F4E79"/>
          <w:sz w:val="24"/>
          <w:rFonts w:eastAsia="黑体" w:ascii="Times New Roman" w:hAnsi="Times New Roman"/>
        </w:rPr>
        <w:t>第三部分：投资逻辑更新</w:t>
      </w:r>
    </w:p>
    <w:p>
      <w:pPr>
        <w:spacing w:before="40" w:after="40"/>
        <w:pBdr>
          <w:bottom w:val="single" w:sz="6" w:space="1" w:color="1F4E79"/>
        </w:pBdr>
      </w:pPr>
    </w:p>
    <w:p>
      <w:pPr>
        <w:spacing w:before="80" w:after="120"/>
        <w:ind w:left="0"/>
      </w:pPr>
      <w:r>
        <w:rPr>
          <w:b w:val="0"/>
          <w:i w:val="0"/>
          <w:sz w:val="19"/>
          <w:rFonts w:eastAsia="宋体" w:ascii="Times New Roman" w:hAnsi="Times New Roman"/>
        </w:rPr>
        <w:t>我们对阳光电源的投资逻辑建立在三大支柱之上：①全球储能市场领导地位与海外扩张；②逆变器业务的持续竞争优势；③全球能源转型带来的长期结构性需求。我们据此评估本次年报对各支柱的影响。</w:t>
      </w:r>
    </w:p>
    <w:p>
      <w:pPr>
        <w:spacing w:before="120" w:after="40"/>
        <w:ind w:left="0"/>
      </w:pPr>
      <w:r>
        <w:rPr>
          <w:b/>
          <w:color w:val="1F4E79"/>
          <w:sz w:val="20"/>
          <w:rFonts w:eastAsia="黑体" w:ascii="Times New Roman" w:hAnsi="Times New Roman"/>
        </w:rPr>
        <w:t>■ 支柱一：全球储能市场领导地位 — 进一步强化</w:t>
      </w:r>
    </w:p>
    <w:p>
      <w:pPr>
        <w:spacing w:before="0" w:after="40"/>
        <w:ind w:left="240"/>
      </w:pPr>
      <w:r>
        <w:rPr>
          <w:b/>
          <w:color w:val="375623"/>
          <w:sz w:val="19"/>
          <w:rFonts w:eastAsia="黑体" w:ascii="Times New Roman" w:hAnsi="Times New Roman"/>
        </w:rPr>
        <w:t>评估：进一步强化</w:t>
      </w:r>
    </w:p>
    <w:p>
      <w:pPr>
        <w:spacing w:before="0" w:after="160"/>
        <w:ind w:left="240"/>
      </w:pPr>
      <w:r>
        <w:rPr>
          <w:b w:val="0"/>
          <w:i w:val="0"/>
          <w:sz w:val="19"/>
          <w:rFonts w:eastAsia="宋体" w:ascii="Times New Roman" w:hAnsi="Times New Roman"/>
        </w:rPr>
        <w:t>2025年储能出货43GWh（+53.6%），海外出货量同比增长89%，阳光电源全球储能龙头地位得到充分印证。海外收入占比提升至储能板块主体，有效规避了国内市场的价格竞争压力。2026年超60GWh的指引（+40% YoY）有强劲的全球项目储备支撑，包括美国、欧洲、澳大利亚及中东市场。Q4毛利率压缩是时序因素，并非竞争格局或需求端的实质恶化——若非如此，公司不会同时给出2026年超60GWh的高增速指引。</w:t>
      </w:r>
    </w:p>
    <w:p>
      <w:pPr>
        <w:spacing w:before="120" w:after="40"/>
        <w:ind w:left="0"/>
      </w:pPr>
      <w:r>
        <w:rPr>
          <w:b/>
          <w:color w:val="1F4E79"/>
          <w:sz w:val="20"/>
          <w:rFonts w:eastAsia="黑体" w:ascii="Times New Roman" w:hAnsi="Times New Roman"/>
        </w:rPr>
        <w:t>■ 支柱二：逆变器业务现金奶牛 — 基本维持</w:t>
      </w:r>
    </w:p>
    <w:p>
      <w:pPr>
        <w:spacing w:before="0" w:after="40"/>
        <w:ind w:left="240"/>
      </w:pPr>
      <w:r>
        <w:rPr>
          <w:b/>
          <w:color w:val="1F4E79"/>
          <w:sz w:val="19"/>
          <w:rFonts w:eastAsia="黑体" w:ascii="Times New Roman" w:hAnsi="Times New Roman"/>
        </w:rPr>
        <w:t>评估：基本维持</w:t>
      </w:r>
    </w:p>
    <w:p>
      <w:pPr>
        <w:spacing w:before="0" w:after="160"/>
        <w:ind w:left="240"/>
      </w:pPr>
      <w:r>
        <w:rPr>
          <w:b w:val="0"/>
          <w:i w:val="0"/>
          <w:sz w:val="19"/>
          <w:rFonts w:eastAsia="宋体" w:ascii="Times New Roman" w:hAnsi="Times New Roman"/>
        </w:rPr>
        <w:t>逆变器出货量143GW（-2.7%），国内同比下降19%，主要反映国内公用事业太阳能装机节奏放缓及竞争激烈，但逆变器收入仍增长8.1%至311.36亿元，表明海外市场ASP稳定及产品结构优化有效对冲了国内量的压力。阳光电源在全球地面电站逆变器市场份额约30%，且持续积累数字化运维服务等经常性收入来源，逆变器业务的稳定性并未因本次年报结果而受损。</w:t>
      </w:r>
    </w:p>
    <w:p>
      <w:pPr>
        <w:spacing w:before="120" w:after="40"/>
        <w:ind w:left="0"/>
      </w:pPr>
      <w:r>
        <w:rPr>
          <w:b/>
          <w:color w:val="1F4E79"/>
          <w:sz w:val="20"/>
          <w:rFonts w:eastAsia="黑体" w:ascii="Times New Roman" w:hAnsi="Times New Roman"/>
        </w:rPr>
        <w:t>■ 支柱三：能源转型长期结构性需求 — 进一步强化</w:t>
      </w:r>
    </w:p>
    <w:p>
      <w:pPr>
        <w:spacing w:before="0" w:after="40"/>
        <w:ind w:left="240"/>
      </w:pPr>
      <w:r>
        <w:rPr>
          <w:b/>
          <w:color w:val="375623"/>
          <w:sz w:val="19"/>
          <w:rFonts w:eastAsia="黑体" w:ascii="Times New Roman" w:hAnsi="Times New Roman"/>
        </w:rPr>
        <w:t>评估：进一步强化</w:t>
      </w:r>
    </w:p>
    <w:p>
      <w:pPr>
        <w:spacing w:before="0" w:after="160"/>
        <w:ind w:left="240"/>
      </w:pPr>
      <w:r>
        <w:rPr>
          <w:b w:val="0"/>
          <w:i w:val="0"/>
          <w:sz w:val="19"/>
          <w:rFonts w:eastAsia="宋体" w:ascii="Times New Roman" w:hAnsi="Times New Roman"/>
        </w:rPr>
        <w:t>全球能源存储部署加速，2026年全球储能市场预计增速30%-50%，美国IRA政策驱动的需求、欧洲电网稳定性投资及亚太与中东市场的大型公用事业储能项目均提供多年期能见度。值得关注的是，AI数据中心（AIDC）储能备电需求正在成为新的增量市场，阳光电源已于2025年开始布局AIDC配套产品线（据华润证券2025年11月研报），这一趋势为公司储能业务提供了超越传统公用事业市场的期权价值。</w:t>
      </w:r>
    </w:p>
    <w:p>
      <w:pPr>
        <w:spacing w:before="160" w:after="80"/>
        <w:ind w:left="0"/>
      </w:pPr>
      <w:r>
        <w:rPr>
          <w:b/>
          <w:color w:val="2E75B6"/>
          <w:sz w:val="22"/>
          <w:rFonts w:eastAsia="黑体" w:ascii="Times New Roman" w:hAnsi="Times New Roman"/>
        </w:rPr>
        <w:t>3.1  风险更新</w:t>
      </w:r>
    </w:p>
    <w:p>
      <w:pPr>
        <w:spacing w:before="60" w:after="60"/>
        <w:ind w:left="240"/>
      </w:pPr>
      <w:r>
        <w:rPr>
          <w:b/>
          <w:color w:val="1F4E79"/>
          <w:sz w:val="19"/>
          <w:rFonts w:eastAsia="黑体" w:ascii="Times New Roman" w:hAnsi="Times New Roman"/>
        </w:rPr>
        <w:t>▲ 新增/加剧风险：</w:t>
      </w:r>
      <w:r>
        <w:rPr>
          <w:b w:val="0"/>
          <w:i w:val="0"/>
          <w:sz w:val="19"/>
          <w:rFonts w:eastAsia="宋体" w:ascii="Times New Roman" w:hAnsi="Times New Roman"/>
        </w:rPr>
        <w:t>碳酸锂价格波动仍是近期毛利率的潜在风险，Q4已验证这一点。若2026年碳酸锂价格再度上涨，存量固定价格合同将再度承压。</w:t>
      </w:r>
    </w:p>
    <w:p>
      <w:pPr>
        <w:spacing w:before="60" w:after="60"/>
        <w:ind w:left="240"/>
      </w:pPr>
      <w:r>
        <w:rPr>
          <w:b/>
          <w:color w:val="1F4E79"/>
          <w:sz w:val="19"/>
          <w:rFonts w:eastAsia="黑体" w:ascii="Times New Roman" w:hAnsi="Times New Roman"/>
        </w:rPr>
        <w:t>▲ 新增/加剧风险：</w:t>
      </w:r>
      <w:r>
        <w:rPr>
          <w:b w:val="0"/>
          <w:i w:val="0"/>
          <w:sz w:val="19"/>
          <w:rFonts w:eastAsia="宋体" w:ascii="Times New Roman" w:hAnsi="Times New Roman"/>
        </w:rPr>
        <w:t>美国关税与贸易政策风险有所升温。若对中国制造储能设备的关税进一步扩大，阳光电源的美国业务可能面临增量阻力。</w:t>
      </w:r>
    </w:p>
    <w:p>
      <w:pPr>
        <w:spacing w:before="60" w:after="60"/>
        <w:ind w:left="240"/>
      </w:pPr>
      <w:r>
        <w:rPr>
          <w:b/>
          <w:color w:val="1F4E79"/>
          <w:sz w:val="19"/>
          <w:rFonts w:eastAsia="黑体" w:ascii="Times New Roman" w:hAnsi="Times New Roman"/>
        </w:rPr>
        <w:t>▼ 有所缓解：</w:t>
      </w:r>
      <w:r>
        <w:rPr>
          <w:b w:val="0"/>
          <w:i w:val="0"/>
          <w:sz w:val="19"/>
          <w:rFonts w:eastAsia="宋体" w:ascii="Times New Roman" w:hAnsi="Times New Roman"/>
        </w:rPr>
        <w:t>国内逆变器价格竞争压力相对可控；2025年量虽下降19%，但ASP仍稳定，表明最严峻的价格压缩阶段可能已过。</w:t>
      </w:r>
    </w:p>
    <w:p>
      <w:pPr>
        <w:spacing w:before="60" w:after="60"/>
        <w:ind w:left="240"/>
      </w:pPr>
      <w:r>
        <w:rPr>
          <w:b/>
          <w:color w:val="1F4E79"/>
          <w:sz w:val="19"/>
          <w:rFonts w:eastAsia="黑体" w:ascii="Times New Roman" w:hAnsi="Times New Roman"/>
        </w:rPr>
        <w:t>→ 基本维持：</w:t>
      </w:r>
      <w:r>
        <w:rPr>
          <w:b w:val="0"/>
          <w:i w:val="0"/>
          <w:sz w:val="19"/>
          <w:rFonts w:eastAsia="宋体" w:ascii="Times New Roman" w:hAnsi="Times New Roman"/>
        </w:rPr>
        <w:t>来自宁德时代、比亚迪储能、华为数字能源的储能竞争持续，但阳光电源在海外市场的品牌认可度、安全记录和资质认证壁垒仍构成有效护城河。</w:t>
      </w:r>
    </w:p>
    <w:p>
      <w:pPr>
        <w:spacing w:before="80" w:after="40"/>
        <w:ind w:left="0"/>
        <w:jc w:val="center"/>
      </w:pPr>
      <w:r>
        <w:drawing>
          <wp:inline xmlns:a="http://schemas.openxmlformats.org/drawingml/2006/main" xmlns:pic="http://schemas.openxmlformats.org/drawingml/2006/picture">
            <wp:extent cx="5669280" cy="131932299"/>
            <wp:docPr id="8" name="Picture 8"/>
            <wp:cNvGraphicFramePr>
              <a:graphicFrameLocks noChangeAspect="1"/>
            </wp:cNvGraphicFramePr>
            <a:graphic>
              <a:graphicData uri="http://schemas.openxmlformats.org/drawingml/2006/picture">
                <pic:pic>
                  <pic:nvPicPr>
                    <pic:cNvPr id="0" name="300274_chart7_beat_miss.png"/>
                    <pic:cNvPicPr/>
                  </pic:nvPicPr>
                  <pic:blipFill>
                    <a:blip r:embed="rId16"/>
                    <a:stretch>
                      <a:fillRect/>
                    </a:stretch>
                  </pic:blipFill>
                  <pic:spPr>
                    <a:xfrm>
                      <a:off x="0" y="0"/>
                      <a:ext cx="5669280" cy="131932299"/>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图7 — FY2025业绩与市场预期对比 | 资料来源：阳光电源2025年年度报告；Bloomberg/富途发布前一致预期</w:t>
      </w:r>
    </w:p>
    <w:p>
      <w:r>
        <w:br w:type="page"/>
      </w:r>
    </w:p>
    <w:p>
      <w:pPr>
        <w:spacing w:before="160" w:after="80"/>
        <w:ind w:left="0"/>
      </w:pPr>
      <w:r>
        <w:rPr>
          <w:b/>
          <w:color w:val="1F4E79"/>
          <w:sz w:val="24"/>
          <w:rFonts w:eastAsia="黑体" w:ascii="Times New Roman" w:hAnsi="Times New Roman"/>
        </w:rPr>
        <w:t>第四部分：估值与盈利预测</w:t>
      </w:r>
    </w:p>
    <w:p>
      <w:pPr>
        <w:spacing w:before="40" w:after="40"/>
        <w:pBdr>
          <w:bottom w:val="single" w:sz="6" w:space="1" w:color="1F4E79"/>
        </w:pBdr>
      </w:pPr>
    </w:p>
    <w:p>
      <w:pPr>
        <w:spacing w:before="160" w:after="80"/>
        <w:ind w:left="0"/>
      </w:pPr>
      <w:r>
        <w:rPr>
          <w:b/>
          <w:color w:val="2E75B6"/>
          <w:sz w:val="22"/>
          <w:rFonts w:eastAsia="黑体" w:ascii="Times New Roman" w:hAnsi="Times New Roman"/>
        </w:rPr>
        <w:t>4.1  目标价更新</w:t>
      </w:r>
    </w:p>
    <w:p>
      <w:pPr>
        <w:spacing w:before="80" w:after="120"/>
        <w:ind w:left="0"/>
      </w:pPr>
      <w:r>
        <w:rPr>
          <w:b w:val="0"/>
          <w:i w:val="0"/>
          <w:sz w:val="19"/>
          <w:rFonts w:eastAsia="宋体" w:ascii="Times New Roman" w:hAnsi="Times New Roman"/>
        </w:rPr>
        <w:t>我们将12个月目标价下调至158元（原175元），反映年报低于预期后的盈利预测下修。估值方法如下：</w:t>
      </w:r>
    </w:p>
    <w:p>
      <w:pPr>
        <w:spacing w:before="60" w:after="120"/>
        <w:ind w:left="240"/>
      </w:pPr>
      <w:r>
        <w:rPr>
          <w:b/>
          <w:color w:val="1F4E79"/>
          <w:sz w:val="19"/>
          <w:rFonts w:eastAsia="黑体" w:ascii="Times New Roman" w:hAnsi="Times New Roman"/>
        </w:rPr>
        <w:t>主要方法：市盈率估值（权重60%）。</w:t>
      </w:r>
      <w:r>
        <w:rPr>
          <w:b w:val="0"/>
          <w:i w:val="0"/>
          <w:sz w:val="19"/>
          <w:rFonts w:eastAsia="宋体" w:ascii="Times New Roman" w:hAnsi="Times New Roman"/>
        </w:rPr>
        <w:t>以20x目标P/E乘以我们修订后的2026年每股收益预测8.09元，得到内在价值161.8元。目标倍数低于历史均值约25x，折扣反映：①Q4 2025后近期利润率不确定性；②若碳酸锂价格持续高位或美国关税风险落地，存在进一步盈利下修可能；③宏观经济整体增速放缓背景下给予适当安全边际。</w:t>
      </w:r>
    </w:p>
    <w:p>
      <w:pPr>
        <w:spacing w:before="60" w:after="120"/>
        <w:ind w:left="240"/>
      </w:pPr>
      <w:r>
        <w:rPr>
          <w:b/>
          <w:color w:val="1F4E79"/>
          <w:sz w:val="19"/>
          <w:rFonts w:eastAsia="黑体" w:ascii="Times New Roman" w:hAnsi="Times New Roman"/>
        </w:rPr>
        <w:t>辅助方法：EV/EBITDA估值（权重40%）。</w:t>
      </w:r>
      <w:r>
        <w:rPr>
          <w:b w:val="0"/>
          <w:i w:val="0"/>
          <w:sz w:val="19"/>
          <w:rFonts w:eastAsia="宋体" w:ascii="Times New Roman" w:hAnsi="Times New Roman"/>
        </w:rPr>
        <w:t>基于我们预测的2026年EBITDA约185亿元，以行业均值约13x EV/EBITDA估算公允价值约155元，与P/E估值结果基本吻合。加权平均目标价158元，较当前价格136.91元隐含上涨空间15.4%。</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92"/>
            <w:shd w:val="clear" w:color="auto" w:fill="1F4E79"/>
          </w:tcPr>
          <w:p>
            <w:pPr>
              <w:jc w:val="center"/>
            </w:pPr>
            <w:r>
              <w:rPr>
                <w:b/>
                <w:color w:val="FFFFFF"/>
                <w:sz w:val="16"/>
                <w:rFonts w:eastAsia="黑体" w:ascii="Times New Roman" w:hAnsi="Times New Roman"/>
              </w:rPr>
              <w:t>估值方法</w:t>
            </w:r>
          </w:p>
        </w:tc>
        <w:tc>
          <w:tcPr>
            <w:tcW w:type="dxa" w:w="1008"/>
            <w:shd w:val="clear" w:color="auto" w:fill="1F4E79"/>
          </w:tcPr>
          <w:p>
            <w:pPr>
              <w:jc w:val="center"/>
            </w:pPr>
            <w:r>
              <w:rPr>
                <w:b/>
                <w:color w:val="FFFFFF"/>
                <w:sz w:val="16"/>
                <w:rFonts w:eastAsia="黑体" w:ascii="Times New Roman" w:hAnsi="Times New Roman"/>
              </w:rPr>
              <w:t>权重</w:t>
            </w:r>
          </w:p>
        </w:tc>
        <w:tc>
          <w:tcPr>
            <w:tcW w:type="dxa" w:w="2880"/>
            <w:shd w:val="clear" w:color="auto" w:fill="1F4E79"/>
          </w:tcPr>
          <w:p>
            <w:pPr>
              <w:jc w:val="center"/>
            </w:pPr>
            <w:r>
              <w:rPr>
                <w:b/>
                <w:color w:val="FFFFFF"/>
                <w:sz w:val="16"/>
                <w:rFonts w:eastAsia="黑体" w:ascii="Times New Roman" w:hAnsi="Times New Roman"/>
              </w:rPr>
              <w:t>盈利输入</w:t>
            </w:r>
          </w:p>
        </w:tc>
        <w:tc>
          <w:tcPr>
            <w:tcW w:type="dxa" w:w="1296"/>
            <w:shd w:val="clear" w:color="auto" w:fill="1F4E79"/>
          </w:tcPr>
          <w:p>
            <w:pPr>
              <w:jc w:val="center"/>
            </w:pPr>
            <w:r>
              <w:rPr>
                <w:b/>
                <w:color w:val="FFFFFF"/>
                <w:sz w:val="16"/>
                <w:rFonts w:eastAsia="黑体" w:ascii="Times New Roman" w:hAnsi="Times New Roman"/>
              </w:rPr>
              <w:t>目标倍数</w:t>
            </w:r>
          </w:p>
        </w:tc>
        <w:tc>
          <w:tcPr>
            <w:tcW w:type="dxa" w:w="2304"/>
            <w:shd w:val="clear" w:color="auto" w:fill="1F4E79"/>
          </w:tcPr>
          <w:p>
            <w:pPr>
              <w:jc w:val="center"/>
            </w:pPr>
            <w:r>
              <w:rPr>
                <w:b/>
                <w:color w:val="FFFFFF"/>
                <w:sz w:val="16"/>
                <w:rFonts w:eastAsia="黑体" w:ascii="Times New Roman" w:hAnsi="Times New Roman"/>
              </w:rPr>
              <w:t>隐含价值（元）</w:t>
            </w:r>
          </w:p>
        </w:tc>
      </w:tr>
      <w:tr>
        <w:tc>
          <w:tcPr>
            <w:tcW w:type="dxa" w:w="2592"/>
          </w:tcPr>
          <w:p>
            <w:pPr>
              <w:jc w:val="left"/>
            </w:pPr>
            <w:r>
              <w:rPr>
                <w:sz w:val="16"/>
                <w:rFonts w:eastAsia="宋体" w:ascii="Times New Roman" w:hAnsi="Times New Roman"/>
              </w:rPr>
              <w:t>市盈率（NTM P/E）</w:t>
            </w:r>
          </w:p>
        </w:tc>
        <w:tc>
          <w:tcPr>
            <w:tcW w:type="dxa" w:w="1008"/>
          </w:tcPr>
          <w:p>
            <w:pPr>
              <w:jc w:val="center"/>
            </w:pPr>
            <w:r>
              <w:rPr>
                <w:sz w:val="16"/>
                <w:rFonts w:eastAsia="宋体" w:ascii="Times New Roman" w:hAnsi="Times New Roman"/>
              </w:rPr>
              <w:t>60%</w:t>
            </w:r>
          </w:p>
        </w:tc>
        <w:tc>
          <w:tcPr>
            <w:tcW w:type="dxa" w:w="2880"/>
          </w:tcPr>
          <w:p>
            <w:pPr>
              <w:jc w:val="center"/>
            </w:pPr>
            <w:r>
              <w:rPr>
                <w:sz w:val="16"/>
                <w:rFonts w:eastAsia="宋体" w:ascii="Times New Roman" w:hAnsi="Times New Roman"/>
              </w:rPr>
              <w:t>2026E EPS 8.09元</w:t>
            </w:r>
          </w:p>
        </w:tc>
        <w:tc>
          <w:tcPr>
            <w:tcW w:type="dxa" w:w="1296"/>
          </w:tcPr>
          <w:p>
            <w:pPr>
              <w:jc w:val="center"/>
            </w:pPr>
            <w:r>
              <w:rPr>
                <w:sz w:val="16"/>
                <w:rFonts w:eastAsia="宋体" w:ascii="Times New Roman" w:hAnsi="Times New Roman"/>
              </w:rPr>
              <w:t>20.0x</w:t>
            </w:r>
          </w:p>
        </w:tc>
        <w:tc>
          <w:tcPr>
            <w:tcW w:type="dxa" w:w="2304"/>
          </w:tcPr>
          <w:p>
            <w:pPr>
              <w:jc w:val="center"/>
            </w:pPr>
            <w:r>
              <w:rPr>
                <w:sz w:val="16"/>
                <w:rFonts w:eastAsia="宋体" w:ascii="Times New Roman" w:hAnsi="Times New Roman"/>
              </w:rPr>
              <w:t>161.8元</w:t>
            </w:r>
          </w:p>
        </w:tc>
      </w:tr>
      <w:tr>
        <w:tc>
          <w:tcPr>
            <w:tcW w:type="dxa" w:w="2592"/>
            <w:shd w:val="clear" w:color="auto" w:fill="E9EEF4"/>
          </w:tcPr>
          <w:p>
            <w:pPr>
              <w:jc w:val="left"/>
            </w:pPr>
            <w:r>
              <w:rPr>
                <w:sz w:val="16"/>
                <w:rFonts w:eastAsia="宋体" w:ascii="Times New Roman" w:hAnsi="Times New Roman"/>
              </w:rPr>
              <w:t>EV/EBITDA</w:t>
            </w:r>
          </w:p>
        </w:tc>
        <w:tc>
          <w:tcPr>
            <w:tcW w:type="dxa" w:w="1008"/>
            <w:shd w:val="clear" w:color="auto" w:fill="E9EEF4"/>
          </w:tcPr>
          <w:p>
            <w:pPr>
              <w:jc w:val="center"/>
            </w:pPr>
            <w:r>
              <w:rPr>
                <w:sz w:val="16"/>
                <w:rFonts w:eastAsia="宋体" w:ascii="Times New Roman" w:hAnsi="Times New Roman"/>
              </w:rPr>
              <w:t>40%</w:t>
            </w:r>
          </w:p>
        </w:tc>
        <w:tc>
          <w:tcPr>
            <w:tcW w:type="dxa" w:w="2880"/>
            <w:shd w:val="clear" w:color="auto" w:fill="E9EEF4"/>
          </w:tcPr>
          <w:p>
            <w:pPr>
              <w:jc w:val="center"/>
            </w:pPr>
            <w:r>
              <w:rPr>
                <w:sz w:val="16"/>
                <w:rFonts w:eastAsia="宋体" w:ascii="Times New Roman" w:hAnsi="Times New Roman"/>
              </w:rPr>
              <w:t>2026E EBITDA 185亿元</w:t>
            </w:r>
          </w:p>
        </w:tc>
        <w:tc>
          <w:tcPr>
            <w:tcW w:type="dxa" w:w="1296"/>
            <w:shd w:val="clear" w:color="auto" w:fill="E9EEF4"/>
          </w:tcPr>
          <w:p>
            <w:pPr>
              <w:jc w:val="center"/>
            </w:pPr>
            <w:r>
              <w:rPr>
                <w:sz w:val="16"/>
                <w:rFonts w:eastAsia="宋体" w:ascii="Times New Roman" w:hAnsi="Times New Roman"/>
              </w:rPr>
              <w:t>13.0x</w:t>
            </w:r>
          </w:p>
        </w:tc>
        <w:tc>
          <w:tcPr>
            <w:tcW w:type="dxa" w:w="2304"/>
            <w:shd w:val="clear" w:color="auto" w:fill="E9EEF4"/>
          </w:tcPr>
          <w:p>
            <w:pPr>
              <w:jc w:val="center"/>
            </w:pPr>
            <w:r>
              <w:rPr>
                <w:sz w:val="16"/>
                <w:rFonts w:eastAsia="宋体" w:ascii="Times New Roman" w:hAnsi="Times New Roman"/>
              </w:rPr>
              <w:t>153.5元</w:t>
            </w:r>
          </w:p>
        </w:tc>
      </w:tr>
      <w:tr>
        <w:tc>
          <w:tcPr>
            <w:tcW w:type="dxa" w:w="2592"/>
          </w:tcPr>
          <w:p>
            <w:pPr>
              <w:jc w:val="left"/>
            </w:pPr>
            <w:r>
              <w:rPr>
                <w:sz w:val="16"/>
                <w:rFonts w:eastAsia="宋体" w:ascii="Times New Roman" w:hAnsi="Times New Roman"/>
              </w:rPr>
              <w:t>加权目标价</w:t>
            </w:r>
          </w:p>
        </w:tc>
        <w:tc>
          <w:tcPr>
            <w:tcW w:type="dxa" w:w="1008"/>
          </w:tcPr>
          <w:p>
            <w:pPr>
              <w:jc w:val="center"/>
            </w:pPr>
            <w:r>
              <w:rPr>
                <w:sz w:val="16"/>
                <w:rFonts w:eastAsia="宋体" w:ascii="Times New Roman" w:hAnsi="Times New Roman"/>
              </w:rPr>
              <w:t>100%</w:t>
            </w:r>
          </w:p>
        </w:tc>
        <w:tc>
          <w:tcPr>
            <w:tcW w:type="dxa" w:w="2880"/>
          </w:tcPr>
          <w:p>
            <w:pPr>
              <w:jc w:val="center"/>
            </w:pPr>
            <w:r>
              <w:rPr>
                <w:sz w:val="16"/>
                <w:rFonts w:eastAsia="宋体" w:ascii="Times New Roman" w:hAnsi="Times New Roman"/>
              </w:rPr>
              <w:t>—</w:t>
            </w:r>
          </w:p>
        </w:tc>
        <w:tc>
          <w:tcPr>
            <w:tcW w:type="dxa" w:w="1296"/>
          </w:tcPr>
          <w:p>
            <w:pPr>
              <w:jc w:val="center"/>
            </w:pPr>
            <w:r>
              <w:rPr>
                <w:sz w:val="16"/>
                <w:rFonts w:eastAsia="宋体" w:ascii="Times New Roman" w:hAnsi="Times New Roman"/>
              </w:rPr>
              <w:t>—</w:t>
            </w:r>
          </w:p>
        </w:tc>
        <w:tc>
          <w:tcPr>
            <w:tcW w:type="dxa" w:w="2304"/>
          </w:tcPr>
          <w:p>
            <w:pPr>
              <w:jc w:val="center"/>
            </w:pPr>
            <w:r>
              <w:rPr>
                <w:sz w:val="16"/>
                <w:rFonts w:eastAsia="宋体" w:ascii="Times New Roman" w:hAnsi="Times New Roman"/>
              </w:rPr>
              <w:t>158.0元</w:t>
            </w:r>
          </w:p>
        </w:tc>
      </w:tr>
      <w:tr>
        <w:tc>
          <w:tcPr>
            <w:tcW w:type="dxa" w:w="2592"/>
            <w:shd w:val="clear" w:color="auto" w:fill="E9EEF4"/>
          </w:tcPr>
          <w:p>
            <w:pPr>
              <w:jc w:val="left"/>
            </w:pPr>
            <w:r>
              <w:rPr>
                <w:sz w:val="16"/>
                <w:rFonts w:eastAsia="宋体" w:ascii="Times New Roman" w:hAnsi="Times New Roman"/>
              </w:rPr>
              <w:t>当前股价</w:t>
            </w:r>
          </w:p>
        </w:tc>
        <w:tc>
          <w:tcPr>
            <w:tcW w:type="dxa" w:w="1008"/>
            <w:shd w:val="clear" w:color="auto" w:fill="E9EEF4"/>
          </w:tcPr>
          <w:p>
            <w:pPr>
              <w:jc w:val="center"/>
            </w:pPr>
            <w:r>
              <w:rPr>
                <w:sz w:val="16"/>
                <w:rFonts w:eastAsia="宋体" w:ascii="Times New Roman" w:hAnsi="Times New Roman"/>
              </w:rPr>
              <w:t>—</w:t>
            </w:r>
          </w:p>
        </w:tc>
        <w:tc>
          <w:tcPr>
            <w:tcW w:type="dxa" w:w="2880"/>
            <w:shd w:val="clear" w:color="auto" w:fill="E9EEF4"/>
          </w:tcPr>
          <w:p>
            <w:pPr>
              <w:jc w:val="center"/>
            </w:pPr>
            <w:r>
              <w:rPr>
                <w:sz w:val="16"/>
                <w:rFonts w:eastAsia="宋体" w:ascii="Times New Roman" w:hAnsi="Times New Roman"/>
              </w:rPr>
              <w:t>2026年4月21日</w:t>
            </w:r>
          </w:p>
        </w:tc>
        <w:tc>
          <w:tcPr>
            <w:tcW w:type="dxa" w:w="1296"/>
            <w:shd w:val="clear" w:color="auto" w:fill="E9EEF4"/>
          </w:tcPr>
          <w:p>
            <w:pPr>
              <w:jc w:val="center"/>
            </w:pPr>
            <w:r>
              <w:rPr>
                <w:sz w:val="16"/>
                <w:rFonts w:eastAsia="宋体" w:ascii="Times New Roman" w:hAnsi="Times New Roman"/>
              </w:rPr>
              <w:t>—</w:t>
            </w:r>
          </w:p>
        </w:tc>
        <w:tc>
          <w:tcPr>
            <w:tcW w:type="dxa" w:w="2304"/>
            <w:shd w:val="clear" w:color="auto" w:fill="E9EEF4"/>
          </w:tcPr>
          <w:p>
            <w:pPr>
              <w:jc w:val="center"/>
            </w:pPr>
            <w:r>
              <w:rPr>
                <w:sz w:val="16"/>
                <w:rFonts w:eastAsia="宋体" w:ascii="Times New Roman" w:hAnsi="Times New Roman"/>
              </w:rPr>
              <w:t>136.91元</w:t>
            </w:r>
          </w:p>
        </w:tc>
      </w:tr>
      <w:tr>
        <w:tc>
          <w:tcPr>
            <w:tcW w:type="dxa" w:w="2592"/>
          </w:tcPr>
          <w:p>
            <w:pPr>
              <w:jc w:val="left"/>
            </w:pPr>
            <w:r>
              <w:rPr>
                <w:sz w:val="16"/>
                <w:rFonts w:eastAsia="宋体" w:ascii="Times New Roman" w:hAnsi="Times New Roman"/>
              </w:rPr>
              <w:t>隐含涨幅</w:t>
            </w:r>
          </w:p>
        </w:tc>
        <w:tc>
          <w:tcPr>
            <w:tcW w:type="dxa" w:w="1008"/>
          </w:tcPr>
          <w:p>
            <w:pPr>
              <w:jc w:val="center"/>
            </w:pPr>
            <w:r>
              <w:rPr>
                <w:sz w:val="16"/>
                <w:rFonts w:eastAsia="宋体" w:ascii="Times New Roman" w:hAnsi="Times New Roman"/>
              </w:rPr>
              <w:t>—</w:t>
            </w:r>
          </w:p>
        </w:tc>
        <w:tc>
          <w:tcPr>
            <w:tcW w:type="dxa" w:w="2880"/>
          </w:tcPr>
          <w:p>
            <w:pPr>
              <w:jc w:val="center"/>
            </w:pPr>
            <w:r>
              <w:rPr>
                <w:sz w:val="16"/>
                <w:rFonts w:eastAsia="宋体" w:ascii="Times New Roman" w:hAnsi="Times New Roman"/>
              </w:rPr>
              <w:t>—</w:t>
            </w:r>
          </w:p>
        </w:tc>
        <w:tc>
          <w:tcPr>
            <w:tcW w:type="dxa" w:w="1296"/>
          </w:tcPr>
          <w:p>
            <w:pPr>
              <w:jc w:val="center"/>
            </w:pPr>
            <w:r>
              <w:rPr>
                <w:sz w:val="16"/>
                <w:rFonts w:eastAsia="宋体" w:ascii="Times New Roman" w:hAnsi="Times New Roman"/>
              </w:rPr>
              <w:t>—</w:t>
            </w:r>
          </w:p>
        </w:tc>
        <w:tc>
          <w:tcPr>
            <w:tcW w:type="dxa" w:w="2304"/>
          </w:tcPr>
          <w:p>
            <w:pPr>
              <w:jc w:val="center"/>
            </w:pPr>
            <w:r>
              <w:rPr>
                <w:sz w:val="16"/>
                <w:rFonts w:eastAsia="宋体" w:ascii="Times New Roman" w:hAnsi="Times New Roman"/>
              </w:rPr>
              <w:t>+15.4%</w:t>
            </w:r>
          </w:p>
        </w:tc>
      </w:tr>
    </w:tbl>
    <w:p>
      <w:pPr>
        <w:spacing w:before="20" w:after="120"/>
        <w:ind w:left="0"/>
      </w:pPr>
      <w:r>
        <w:rPr>
          <w:i/>
          <w:color w:val="808080"/>
          <w:sz w:val="15"/>
        </w:rPr>
        <w:t>资料来源：分析师预测；Bloomberg；市场数据截至2026年4月21日</w:t>
      </w:r>
    </w:p>
    <w:p>
      <w:pPr>
        <w:spacing w:before="80" w:after="40"/>
        <w:ind w:left="0"/>
        <w:jc w:val="center"/>
      </w:pPr>
      <w:r>
        <w:drawing>
          <wp:inline xmlns:a="http://schemas.openxmlformats.org/drawingml/2006/main" xmlns:pic="http://schemas.openxmlformats.org/drawingml/2006/picture">
            <wp:extent cx="5669280" cy="3167902"/>
            <wp:docPr id="9" name="Picture 9"/>
            <wp:cNvGraphicFramePr>
              <a:graphicFrameLocks noChangeAspect="1"/>
            </wp:cNvGraphicFramePr>
            <a:graphic>
              <a:graphicData uri="http://schemas.openxmlformats.org/drawingml/2006/picture">
                <pic:pic>
                  <pic:nvPicPr>
                    <pic:cNvPr id="0" name="300274_chart10_valuation.png"/>
                    <pic:cNvPicPr/>
                  </pic:nvPicPr>
                  <pic:blipFill>
                    <a:blip r:embed="rId17"/>
                    <a:stretch>
                      <a:fillRect/>
                    </a:stretch>
                  </pic:blipFill>
                  <pic:spPr>
                    <a:xfrm>
                      <a:off x="0" y="0"/>
                      <a:ext cx="5669280" cy="3167902"/>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图10 — NTM市盈率估值区间 | 资料来源：Bloomberg；StockAnalysis.com；分析师预测</w:t>
      </w:r>
    </w:p>
    <w:p>
      <w:pPr>
        <w:spacing w:before="160" w:after="80"/>
        <w:ind w:left="0"/>
      </w:pPr>
      <w:r>
        <w:rPr>
          <w:b/>
          <w:color w:val="2E75B6"/>
          <w:sz w:val="22"/>
          <w:rFonts w:eastAsia="黑体" w:ascii="Times New Roman" w:hAnsi="Times New Roman"/>
        </w:rPr>
        <w:t>4.2  详细盈利预测更新</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4E79"/>
          </w:tcPr>
          <w:p>
            <w:pPr>
              <w:jc w:val="center"/>
            </w:pPr>
            <w:r>
              <w:rPr>
                <w:b/>
                <w:color w:val="FFFFFF"/>
                <w:sz w:val="16"/>
                <w:rFonts w:eastAsia="黑体" w:ascii="Times New Roman" w:hAnsi="Times New Roman"/>
              </w:rPr>
              <w:t>利润表指标（亿元）</w:t>
            </w:r>
          </w:p>
        </w:tc>
        <w:tc>
          <w:tcPr>
            <w:tcW w:type="dxa" w:w="1440"/>
            <w:shd w:val="clear" w:color="auto" w:fill="1F4E79"/>
          </w:tcPr>
          <w:p>
            <w:pPr>
              <w:jc w:val="center"/>
            </w:pPr>
            <w:r>
              <w:rPr>
                <w:b/>
                <w:color w:val="FFFFFF"/>
                <w:sz w:val="16"/>
                <w:rFonts w:eastAsia="黑体" w:ascii="Times New Roman" w:hAnsi="Times New Roman"/>
              </w:rPr>
              <w:t>FY2024A</w:t>
            </w:r>
          </w:p>
        </w:tc>
        <w:tc>
          <w:tcPr>
            <w:tcW w:type="dxa" w:w="1440"/>
            <w:shd w:val="clear" w:color="auto" w:fill="1F4E79"/>
          </w:tcPr>
          <w:p>
            <w:pPr>
              <w:jc w:val="center"/>
            </w:pPr>
            <w:r>
              <w:rPr>
                <w:b/>
                <w:color w:val="FFFFFF"/>
                <w:sz w:val="16"/>
                <w:rFonts w:eastAsia="黑体" w:ascii="Times New Roman" w:hAnsi="Times New Roman"/>
              </w:rPr>
              <w:t>FY2025A</w:t>
            </w:r>
          </w:p>
        </w:tc>
        <w:tc>
          <w:tcPr>
            <w:tcW w:type="dxa" w:w="1728"/>
            <w:shd w:val="clear" w:color="auto" w:fill="1F4E79"/>
          </w:tcPr>
          <w:p>
            <w:pPr>
              <w:jc w:val="center"/>
            </w:pPr>
            <w:r>
              <w:rPr>
                <w:b/>
                <w:color w:val="FFFFFF"/>
                <w:sz w:val="16"/>
                <w:rFonts w:eastAsia="黑体" w:ascii="Times New Roman" w:hAnsi="Times New Roman"/>
              </w:rPr>
              <w:t>FY2026E（新）</w:t>
            </w:r>
          </w:p>
        </w:tc>
        <w:tc>
          <w:tcPr>
            <w:tcW w:type="dxa" w:w="1728"/>
            <w:shd w:val="clear" w:color="auto" w:fill="1F4E79"/>
          </w:tcPr>
          <w:p>
            <w:pPr>
              <w:jc w:val="center"/>
            </w:pPr>
            <w:r>
              <w:rPr>
                <w:b/>
                <w:color w:val="FFFFFF"/>
                <w:sz w:val="16"/>
                <w:rFonts w:eastAsia="黑体" w:ascii="Times New Roman" w:hAnsi="Times New Roman"/>
              </w:rPr>
              <w:t>FY2026E（前）</w:t>
            </w:r>
          </w:p>
        </w:tc>
        <w:tc>
          <w:tcPr>
            <w:tcW w:type="dxa" w:w="1440"/>
            <w:shd w:val="clear" w:color="auto" w:fill="1F4E79"/>
          </w:tcPr>
          <w:p>
            <w:pPr>
              <w:jc w:val="center"/>
            </w:pPr>
            <w:r>
              <w:rPr>
                <w:b/>
                <w:color w:val="FFFFFF"/>
                <w:sz w:val="16"/>
                <w:rFonts w:eastAsia="黑体" w:ascii="Times New Roman" w:hAnsi="Times New Roman"/>
              </w:rPr>
              <w:t>变动（%）</w:t>
            </w:r>
          </w:p>
        </w:tc>
      </w:tr>
      <w:tr>
        <w:tc>
          <w:tcPr>
            <w:tcW w:type="dxa" w:w="2880"/>
          </w:tcPr>
          <w:p>
            <w:pPr>
              <w:jc w:val="left"/>
            </w:pPr>
            <w:r>
              <w:rPr>
                <w:sz w:val="16"/>
                <w:rFonts w:eastAsia="宋体" w:ascii="Times New Roman" w:hAnsi="Times New Roman"/>
              </w:rPr>
              <w:t>营业收入</w:t>
            </w:r>
          </w:p>
        </w:tc>
        <w:tc>
          <w:tcPr>
            <w:tcW w:type="dxa" w:w="1440"/>
          </w:tcPr>
          <w:p>
            <w:pPr>
              <w:jc w:val="center"/>
            </w:pPr>
            <w:r>
              <w:rPr>
                <w:sz w:val="16"/>
                <w:rFonts w:eastAsia="宋体" w:ascii="Times New Roman" w:hAnsi="Times New Roman"/>
              </w:rPr>
              <w:t>778.6</w:t>
            </w:r>
          </w:p>
        </w:tc>
        <w:tc>
          <w:tcPr>
            <w:tcW w:type="dxa" w:w="1440"/>
          </w:tcPr>
          <w:p>
            <w:pPr>
              <w:jc w:val="center"/>
            </w:pPr>
            <w:r>
              <w:rPr>
                <w:sz w:val="16"/>
                <w:rFonts w:eastAsia="宋体" w:ascii="Times New Roman" w:hAnsi="Times New Roman"/>
              </w:rPr>
              <w:t>891.8</w:t>
            </w:r>
          </w:p>
        </w:tc>
        <w:tc>
          <w:tcPr>
            <w:tcW w:type="dxa" w:w="1728"/>
          </w:tcPr>
          <w:p>
            <w:pPr>
              <w:jc w:val="center"/>
            </w:pPr>
            <w:r>
              <w:rPr>
                <w:sz w:val="16"/>
                <w:rFonts w:eastAsia="宋体" w:ascii="Times New Roman" w:hAnsi="Times New Roman"/>
              </w:rPr>
              <w:t>1020.0</w:t>
            </w:r>
          </w:p>
        </w:tc>
        <w:tc>
          <w:tcPr>
            <w:tcW w:type="dxa" w:w="1728"/>
          </w:tcPr>
          <w:p>
            <w:pPr>
              <w:jc w:val="center"/>
            </w:pPr>
            <w:r>
              <w:rPr>
                <w:sz w:val="16"/>
                <w:rFonts w:eastAsia="宋体" w:ascii="Times New Roman" w:hAnsi="Times New Roman"/>
              </w:rPr>
              <w:t>1080.0</w:t>
            </w:r>
          </w:p>
        </w:tc>
        <w:tc>
          <w:tcPr>
            <w:tcW w:type="dxa" w:w="1440"/>
          </w:tcPr>
          <w:p>
            <w:pPr>
              <w:jc w:val="center"/>
            </w:pPr>
            <w:r>
              <w:rPr>
                <w:sz w:val="16"/>
                <w:rFonts w:eastAsia="宋体" w:ascii="Times New Roman" w:hAnsi="Times New Roman"/>
              </w:rPr>
              <w:t>-5.6%</w:t>
            </w:r>
          </w:p>
        </w:tc>
      </w:tr>
      <w:tr>
        <w:tc>
          <w:tcPr>
            <w:tcW w:type="dxa" w:w="2880"/>
            <w:shd w:val="clear" w:color="auto" w:fill="E9EEF4"/>
          </w:tcPr>
          <w:p>
            <w:pPr>
              <w:jc w:val="left"/>
            </w:pPr>
            <w:r>
              <w:rPr>
                <w:sz w:val="16"/>
                <w:rFonts w:eastAsia="宋体" w:ascii="Times New Roman" w:hAnsi="Times New Roman"/>
              </w:rPr>
              <w:t>收入增速（%）</w:t>
            </w:r>
          </w:p>
        </w:tc>
        <w:tc>
          <w:tcPr>
            <w:tcW w:type="dxa" w:w="1440"/>
            <w:shd w:val="clear" w:color="auto" w:fill="E9EEF4"/>
          </w:tcPr>
          <w:p>
            <w:pPr>
              <w:jc w:val="center"/>
            </w:pPr>
            <w:r>
              <w:rPr>
                <w:sz w:val="16"/>
                <w:rFonts w:eastAsia="宋体" w:ascii="Times New Roman" w:hAnsi="Times New Roman"/>
              </w:rPr>
              <w:t>+7.8%</w:t>
            </w:r>
          </w:p>
        </w:tc>
        <w:tc>
          <w:tcPr>
            <w:tcW w:type="dxa" w:w="1440"/>
            <w:shd w:val="clear" w:color="auto" w:fill="E9EEF4"/>
          </w:tcPr>
          <w:p>
            <w:pPr>
              <w:jc w:val="center"/>
            </w:pPr>
            <w:r>
              <w:rPr>
                <w:sz w:val="16"/>
                <w:rFonts w:eastAsia="宋体" w:ascii="Times New Roman" w:hAnsi="Times New Roman"/>
              </w:rPr>
              <w:t>+14.6%</w:t>
            </w:r>
          </w:p>
        </w:tc>
        <w:tc>
          <w:tcPr>
            <w:tcW w:type="dxa" w:w="1728"/>
            <w:shd w:val="clear" w:color="auto" w:fill="E9EEF4"/>
          </w:tcPr>
          <w:p>
            <w:pPr>
              <w:jc w:val="center"/>
            </w:pPr>
            <w:r>
              <w:rPr>
                <w:sz w:val="16"/>
                <w:rFonts w:eastAsia="宋体" w:ascii="Times New Roman" w:hAnsi="Times New Roman"/>
              </w:rPr>
              <w:t>+14.4%</w:t>
            </w:r>
          </w:p>
        </w:tc>
        <w:tc>
          <w:tcPr>
            <w:tcW w:type="dxa" w:w="1728"/>
            <w:shd w:val="clear" w:color="auto" w:fill="E9EEF4"/>
          </w:tcPr>
          <w:p>
            <w:pPr>
              <w:jc w:val="center"/>
            </w:pPr>
            <w:r>
              <w:rPr>
                <w:sz w:val="16"/>
                <w:rFonts w:eastAsia="宋体" w:ascii="Times New Roman" w:hAnsi="Times New Roman"/>
              </w:rPr>
              <w:t>+21.1%</w:t>
            </w:r>
          </w:p>
        </w:tc>
        <w:tc>
          <w:tcPr>
            <w:tcW w:type="dxa" w:w="1440"/>
            <w:shd w:val="clear" w:color="auto" w:fill="E9EEF4"/>
          </w:tcPr>
          <w:p>
            <w:pPr>
              <w:jc w:val="center"/>
            </w:pPr>
            <w:r>
              <w:rPr>
                <w:sz w:val="16"/>
                <w:rFonts w:eastAsia="宋体" w:ascii="Times New Roman" w:hAnsi="Times New Roman"/>
              </w:rPr>
              <w:t>—</w:t>
            </w:r>
          </w:p>
        </w:tc>
      </w:tr>
      <w:tr>
        <w:tc>
          <w:tcPr>
            <w:tcW w:type="dxa" w:w="2880"/>
          </w:tcPr>
          <w:p>
            <w:pPr>
              <w:jc w:val="left"/>
            </w:pPr>
            <w:r>
              <w:rPr>
                <w:sz w:val="16"/>
                <w:rFonts w:eastAsia="宋体" w:ascii="Times New Roman" w:hAnsi="Times New Roman"/>
              </w:rPr>
              <w:t>毛利润</w:t>
            </w:r>
          </w:p>
        </w:tc>
        <w:tc>
          <w:tcPr>
            <w:tcW w:type="dxa" w:w="1440"/>
          </w:tcPr>
          <w:p>
            <w:pPr>
              <w:jc w:val="center"/>
            </w:pPr>
            <w:r>
              <w:rPr>
                <w:sz w:val="16"/>
                <w:rFonts w:eastAsia="宋体" w:ascii="Times New Roman" w:hAnsi="Times New Roman"/>
              </w:rPr>
              <w:t>198.8</w:t>
            </w:r>
          </w:p>
        </w:tc>
        <w:tc>
          <w:tcPr>
            <w:tcW w:type="dxa" w:w="1440"/>
          </w:tcPr>
          <w:p>
            <w:pPr>
              <w:jc w:val="center"/>
            </w:pPr>
            <w:r>
              <w:rPr>
                <w:sz w:val="16"/>
                <w:rFonts w:eastAsia="宋体" w:ascii="Times New Roman" w:hAnsi="Times New Roman"/>
              </w:rPr>
              <w:t>284.0E</w:t>
            </w:r>
          </w:p>
        </w:tc>
        <w:tc>
          <w:tcPr>
            <w:tcW w:type="dxa" w:w="1728"/>
          </w:tcPr>
          <w:p>
            <w:pPr>
              <w:jc w:val="center"/>
            </w:pPr>
            <w:r>
              <w:rPr>
                <w:sz w:val="16"/>
                <w:rFonts w:eastAsia="宋体" w:ascii="Times New Roman" w:hAnsi="Times New Roman"/>
              </w:rPr>
              <w:t>326.4</w:t>
            </w:r>
          </w:p>
        </w:tc>
        <w:tc>
          <w:tcPr>
            <w:tcW w:type="dxa" w:w="1728"/>
          </w:tcPr>
          <w:p>
            <w:pPr>
              <w:jc w:val="center"/>
            </w:pPr>
            <w:r>
              <w:rPr>
                <w:sz w:val="16"/>
                <w:rFonts w:eastAsia="宋体" w:ascii="Times New Roman" w:hAnsi="Times New Roman"/>
              </w:rPr>
              <w:t>351.0</w:t>
            </w:r>
          </w:p>
        </w:tc>
        <w:tc>
          <w:tcPr>
            <w:tcW w:type="dxa" w:w="1440"/>
          </w:tcPr>
          <w:p>
            <w:pPr>
              <w:jc w:val="center"/>
            </w:pPr>
            <w:r>
              <w:rPr>
                <w:sz w:val="16"/>
                <w:rFonts w:eastAsia="宋体" w:ascii="Times New Roman" w:hAnsi="Times New Roman"/>
              </w:rPr>
              <w:t>-7.1%</w:t>
            </w:r>
          </w:p>
        </w:tc>
      </w:tr>
      <w:tr>
        <w:tc>
          <w:tcPr>
            <w:tcW w:type="dxa" w:w="2880"/>
            <w:shd w:val="clear" w:color="auto" w:fill="E9EEF4"/>
          </w:tcPr>
          <w:p>
            <w:pPr>
              <w:jc w:val="left"/>
            </w:pPr>
            <w:r>
              <w:rPr>
                <w:sz w:val="16"/>
                <w:rFonts w:eastAsia="宋体" w:ascii="Times New Roman" w:hAnsi="Times New Roman"/>
              </w:rPr>
              <w:t>毛利率（%）</w:t>
            </w:r>
          </w:p>
        </w:tc>
        <w:tc>
          <w:tcPr>
            <w:tcW w:type="dxa" w:w="1440"/>
            <w:shd w:val="clear" w:color="auto" w:fill="E9EEF4"/>
          </w:tcPr>
          <w:p>
            <w:pPr>
              <w:jc w:val="center"/>
            </w:pPr>
            <w:r>
              <w:rPr>
                <w:sz w:val="16"/>
                <w:rFonts w:eastAsia="宋体" w:ascii="Times New Roman" w:hAnsi="Times New Roman"/>
              </w:rPr>
              <w:t>25.5%</w:t>
            </w:r>
          </w:p>
        </w:tc>
        <w:tc>
          <w:tcPr>
            <w:tcW w:type="dxa" w:w="1440"/>
            <w:shd w:val="clear" w:color="auto" w:fill="E9EEF4"/>
          </w:tcPr>
          <w:p>
            <w:pPr>
              <w:jc w:val="center"/>
            </w:pPr>
            <w:r>
              <w:rPr>
                <w:sz w:val="16"/>
                <w:rFonts w:eastAsia="宋体" w:ascii="Times New Roman" w:hAnsi="Times New Roman"/>
              </w:rPr>
              <w:t>31.83%</w:t>
            </w:r>
          </w:p>
        </w:tc>
        <w:tc>
          <w:tcPr>
            <w:tcW w:type="dxa" w:w="1728"/>
            <w:shd w:val="clear" w:color="auto" w:fill="E9EEF4"/>
          </w:tcPr>
          <w:p>
            <w:pPr>
              <w:jc w:val="center"/>
            </w:pPr>
            <w:r>
              <w:rPr>
                <w:sz w:val="16"/>
                <w:rFonts w:eastAsia="宋体" w:ascii="Times New Roman" w:hAnsi="Times New Roman"/>
              </w:rPr>
              <w:t>32.0%</w:t>
            </w:r>
          </w:p>
        </w:tc>
        <w:tc>
          <w:tcPr>
            <w:tcW w:type="dxa" w:w="1728"/>
            <w:shd w:val="clear" w:color="auto" w:fill="E9EEF4"/>
          </w:tcPr>
          <w:p>
            <w:pPr>
              <w:jc w:val="center"/>
            </w:pPr>
            <w:r>
              <w:rPr>
                <w:sz w:val="16"/>
                <w:rFonts w:eastAsia="宋体" w:ascii="Times New Roman" w:hAnsi="Times New Roman"/>
              </w:rPr>
              <w:t>32.5%</w:t>
            </w:r>
          </w:p>
        </w:tc>
        <w:tc>
          <w:tcPr>
            <w:tcW w:type="dxa" w:w="1440"/>
            <w:shd w:val="clear" w:color="auto" w:fill="E9EEF4"/>
          </w:tcPr>
          <w:p>
            <w:pPr>
              <w:jc w:val="center"/>
            </w:pPr>
            <w:r>
              <w:rPr>
                <w:sz w:val="16"/>
                <w:rFonts w:eastAsia="宋体" w:ascii="Times New Roman" w:hAnsi="Times New Roman"/>
              </w:rPr>
              <w:t>-50bps</w:t>
            </w:r>
          </w:p>
        </w:tc>
      </w:tr>
      <w:tr>
        <w:tc>
          <w:tcPr>
            <w:tcW w:type="dxa" w:w="2880"/>
          </w:tcPr>
          <w:p>
            <w:pPr>
              <w:jc w:val="left"/>
            </w:pPr>
            <w:r>
              <w:rPr>
                <w:sz w:val="16"/>
                <w:rFonts w:eastAsia="宋体" w:ascii="Times New Roman" w:hAnsi="Times New Roman"/>
              </w:rPr>
              <w:t>EBITDA</w:t>
            </w:r>
          </w:p>
        </w:tc>
        <w:tc>
          <w:tcPr>
            <w:tcW w:type="dxa" w:w="1440"/>
          </w:tcPr>
          <w:p>
            <w:pPr>
              <w:jc w:val="center"/>
            </w:pPr>
            <w:r>
              <w:rPr>
                <w:sz w:val="16"/>
                <w:rFonts w:eastAsia="宋体" w:ascii="Times New Roman" w:hAnsi="Times New Roman"/>
              </w:rPr>
              <w:t>145</w:t>
            </w:r>
          </w:p>
        </w:tc>
        <w:tc>
          <w:tcPr>
            <w:tcW w:type="dxa" w:w="1440"/>
          </w:tcPr>
          <w:p>
            <w:pPr>
              <w:jc w:val="center"/>
            </w:pPr>
            <w:r>
              <w:rPr>
                <w:sz w:val="16"/>
                <w:rFonts w:eastAsia="宋体" w:ascii="Times New Roman" w:hAnsi="Times New Roman"/>
              </w:rPr>
              <w:t>185E</w:t>
            </w:r>
          </w:p>
        </w:tc>
        <w:tc>
          <w:tcPr>
            <w:tcW w:type="dxa" w:w="1728"/>
          </w:tcPr>
          <w:p>
            <w:pPr>
              <w:jc w:val="center"/>
            </w:pPr>
            <w:r>
              <w:rPr>
                <w:sz w:val="16"/>
                <w:rFonts w:eastAsia="宋体" w:ascii="Times New Roman" w:hAnsi="Times New Roman"/>
              </w:rPr>
              <w:t>205</w:t>
            </w:r>
          </w:p>
        </w:tc>
        <w:tc>
          <w:tcPr>
            <w:tcW w:type="dxa" w:w="1728"/>
          </w:tcPr>
          <w:p>
            <w:pPr>
              <w:jc w:val="center"/>
            </w:pPr>
            <w:r>
              <w:rPr>
                <w:sz w:val="16"/>
                <w:rFonts w:eastAsia="宋体" w:ascii="Times New Roman" w:hAnsi="Times New Roman"/>
              </w:rPr>
              <w:t>220</w:t>
            </w:r>
          </w:p>
        </w:tc>
        <w:tc>
          <w:tcPr>
            <w:tcW w:type="dxa" w:w="1440"/>
          </w:tcPr>
          <w:p>
            <w:pPr>
              <w:jc w:val="center"/>
            </w:pPr>
            <w:r>
              <w:rPr>
                <w:sz w:val="16"/>
                <w:rFonts w:eastAsia="宋体" w:ascii="Times New Roman" w:hAnsi="Times New Roman"/>
              </w:rPr>
              <w:t>-6.8%</w:t>
            </w:r>
          </w:p>
        </w:tc>
      </w:tr>
      <w:tr>
        <w:tc>
          <w:tcPr>
            <w:tcW w:type="dxa" w:w="2880"/>
            <w:shd w:val="clear" w:color="auto" w:fill="E9EEF4"/>
          </w:tcPr>
          <w:p>
            <w:pPr>
              <w:jc w:val="left"/>
            </w:pPr>
            <w:r>
              <w:rPr>
                <w:sz w:val="16"/>
                <w:rFonts w:eastAsia="宋体" w:ascii="Times New Roman" w:hAnsi="Times New Roman"/>
              </w:rPr>
              <w:t>EBITDA利润率（%）</w:t>
            </w:r>
          </w:p>
        </w:tc>
        <w:tc>
          <w:tcPr>
            <w:tcW w:type="dxa" w:w="1440"/>
            <w:shd w:val="clear" w:color="auto" w:fill="E9EEF4"/>
          </w:tcPr>
          <w:p>
            <w:pPr>
              <w:jc w:val="center"/>
            </w:pPr>
            <w:r>
              <w:rPr>
                <w:sz w:val="16"/>
                <w:rFonts w:eastAsia="宋体" w:ascii="Times New Roman" w:hAnsi="Times New Roman"/>
              </w:rPr>
              <w:t>18.6%</w:t>
            </w:r>
          </w:p>
        </w:tc>
        <w:tc>
          <w:tcPr>
            <w:tcW w:type="dxa" w:w="1440"/>
            <w:shd w:val="clear" w:color="auto" w:fill="E9EEF4"/>
          </w:tcPr>
          <w:p>
            <w:pPr>
              <w:jc w:val="center"/>
            </w:pPr>
            <w:r>
              <w:rPr>
                <w:sz w:val="16"/>
                <w:rFonts w:eastAsia="宋体" w:ascii="Times New Roman" w:hAnsi="Times New Roman"/>
              </w:rPr>
              <w:t>20.7%E</w:t>
            </w:r>
          </w:p>
        </w:tc>
        <w:tc>
          <w:tcPr>
            <w:tcW w:type="dxa" w:w="1728"/>
            <w:shd w:val="clear" w:color="auto" w:fill="E9EEF4"/>
          </w:tcPr>
          <w:p>
            <w:pPr>
              <w:jc w:val="center"/>
            </w:pPr>
            <w:r>
              <w:rPr>
                <w:sz w:val="16"/>
                <w:rFonts w:eastAsia="宋体" w:ascii="Times New Roman" w:hAnsi="Times New Roman"/>
              </w:rPr>
              <w:t>20.1%</w:t>
            </w:r>
          </w:p>
        </w:tc>
        <w:tc>
          <w:tcPr>
            <w:tcW w:type="dxa" w:w="1728"/>
            <w:shd w:val="clear" w:color="auto" w:fill="E9EEF4"/>
          </w:tcPr>
          <w:p>
            <w:pPr>
              <w:jc w:val="center"/>
            </w:pPr>
            <w:r>
              <w:rPr>
                <w:sz w:val="16"/>
                <w:rFonts w:eastAsia="宋体" w:ascii="Times New Roman" w:hAnsi="Times New Roman"/>
              </w:rPr>
              <w:t>20.4%</w:t>
            </w:r>
          </w:p>
        </w:tc>
        <w:tc>
          <w:tcPr>
            <w:tcW w:type="dxa" w:w="1440"/>
            <w:shd w:val="clear" w:color="auto" w:fill="E9EEF4"/>
          </w:tcPr>
          <w:p>
            <w:pPr>
              <w:jc w:val="center"/>
            </w:pPr>
            <w:r>
              <w:rPr>
                <w:sz w:val="16"/>
                <w:rFonts w:eastAsia="宋体" w:ascii="Times New Roman" w:hAnsi="Times New Roman"/>
              </w:rPr>
              <w:t>-30bps</w:t>
            </w:r>
          </w:p>
        </w:tc>
      </w:tr>
      <w:tr>
        <w:tc>
          <w:tcPr>
            <w:tcW w:type="dxa" w:w="2880"/>
          </w:tcPr>
          <w:p>
            <w:pPr>
              <w:jc w:val="left"/>
            </w:pPr>
            <w:r>
              <w:rPr>
                <w:sz w:val="16"/>
                <w:rFonts w:eastAsia="宋体" w:ascii="Times New Roman" w:hAnsi="Times New Roman"/>
              </w:rPr>
              <w:t>经营利润</w:t>
            </w:r>
          </w:p>
        </w:tc>
        <w:tc>
          <w:tcPr>
            <w:tcW w:type="dxa" w:w="1440"/>
          </w:tcPr>
          <w:p>
            <w:pPr>
              <w:jc w:val="center"/>
            </w:pPr>
            <w:r>
              <w:rPr>
                <w:sz w:val="16"/>
                <w:rFonts w:eastAsia="宋体" w:ascii="Times New Roman" w:hAnsi="Times New Roman"/>
              </w:rPr>
              <w:t>135</w:t>
            </w:r>
          </w:p>
        </w:tc>
        <w:tc>
          <w:tcPr>
            <w:tcW w:type="dxa" w:w="1440"/>
          </w:tcPr>
          <w:p>
            <w:pPr>
              <w:jc w:val="center"/>
            </w:pPr>
            <w:r>
              <w:rPr>
                <w:sz w:val="16"/>
                <w:rFonts w:eastAsia="宋体" w:ascii="Times New Roman" w:hAnsi="Times New Roman"/>
              </w:rPr>
              <w:t>170E</w:t>
            </w:r>
          </w:p>
        </w:tc>
        <w:tc>
          <w:tcPr>
            <w:tcW w:type="dxa" w:w="1728"/>
          </w:tcPr>
          <w:p>
            <w:pPr>
              <w:jc w:val="center"/>
            </w:pPr>
            <w:r>
              <w:rPr>
                <w:sz w:val="16"/>
                <w:rFonts w:eastAsia="宋体" w:ascii="Times New Roman" w:hAnsi="Times New Roman"/>
              </w:rPr>
              <w:t>195</w:t>
            </w:r>
          </w:p>
        </w:tc>
        <w:tc>
          <w:tcPr>
            <w:tcW w:type="dxa" w:w="1728"/>
          </w:tcPr>
          <w:p>
            <w:pPr>
              <w:jc w:val="center"/>
            </w:pPr>
            <w:r>
              <w:rPr>
                <w:sz w:val="16"/>
                <w:rFonts w:eastAsia="宋体" w:ascii="Times New Roman" w:hAnsi="Times New Roman"/>
              </w:rPr>
              <w:t>210</w:t>
            </w:r>
          </w:p>
        </w:tc>
        <w:tc>
          <w:tcPr>
            <w:tcW w:type="dxa" w:w="1440"/>
          </w:tcPr>
          <w:p>
            <w:pPr>
              <w:jc w:val="center"/>
            </w:pPr>
            <w:r>
              <w:rPr>
                <w:sz w:val="16"/>
                <w:rFonts w:eastAsia="宋体" w:ascii="Times New Roman" w:hAnsi="Times New Roman"/>
              </w:rPr>
              <w:t>-7.1%</w:t>
            </w:r>
          </w:p>
        </w:tc>
      </w:tr>
      <w:tr>
        <w:tc>
          <w:tcPr>
            <w:tcW w:type="dxa" w:w="2880"/>
            <w:shd w:val="clear" w:color="auto" w:fill="E9EEF4"/>
          </w:tcPr>
          <w:p>
            <w:pPr>
              <w:jc w:val="left"/>
            </w:pPr>
            <w:r>
              <w:rPr>
                <w:sz w:val="16"/>
                <w:rFonts w:eastAsia="宋体" w:ascii="Times New Roman" w:hAnsi="Times New Roman"/>
              </w:rPr>
              <w:t>经营利润率（%）</w:t>
            </w:r>
          </w:p>
        </w:tc>
        <w:tc>
          <w:tcPr>
            <w:tcW w:type="dxa" w:w="1440"/>
            <w:shd w:val="clear" w:color="auto" w:fill="E9EEF4"/>
          </w:tcPr>
          <w:p>
            <w:pPr>
              <w:jc w:val="center"/>
            </w:pPr>
            <w:r>
              <w:rPr>
                <w:sz w:val="16"/>
                <w:rFonts w:eastAsia="宋体" w:ascii="Times New Roman" w:hAnsi="Times New Roman"/>
              </w:rPr>
              <w:t>17.3%</w:t>
            </w:r>
          </w:p>
        </w:tc>
        <w:tc>
          <w:tcPr>
            <w:tcW w:type="dxa" w:w="1440"/>
            <w:shd w:val="clear" w:color="auto" w:fill="E9EEF4"/>
          </w:tcPr>
          <w:p>
            <w:pPr>
              <w:jc w:val="center"/>
            </w:pPr>
            <w:r>
              <w:rPr>
                <w:sz w:val="16"/>
                <w:rFonts w:eastAsia="宋体" w:ascii="Times New Roman" w:hAnsi="Times New Roman"/>
              </w:rPr>
              <w:t>19.1%E</w:t>
            </w:r>
          </w:p>
        </w:tc>
        <w:tc>
          <w:tcPr>
            <w:tcW w:type="dxa" w:w="1728"/>
            <w:shd w:val="clear" w:color="auto" w:fill="E9EEF4"/>
          </w:tcPr>
          <w:p>
            <w:pPr>
              <w:jc w:val="center"/>
            </w:pPr>
            <w:r>
              <w:rPr>
                <w:sz w:val="16"/>
                <w:rFonts w:eastAsia="宋体" w:ascii="Times New Roman" w:hAnsi="Times New Roman"/>
              </w:rPr>
              <w:t>19.1%</w:t>
            </w:r>
          </w:p>
        </w:tc>
        <w:tc>
          <w:tcPr>
            <w:tcW w:type="dxa" w:w="1728"/>
            <w:shd w:val="clear" w:color="auto" w:fill="E9EEF4"/>
          </w:tcPr>
          <w:p>
            <w:pPr>
              <w:jc w:val="center"/>
            </w:pPr>
            <w:r>
              <w:rPr>
                <w:sz w:val="16"/>
                <w:rFonts w:eastAsia="宋体" w:ascii="Times New Roman" w:hAnsi="Times New Roman"/>
              </w:rPr>
              <w:t>19.4%</w:t>
            </w:r>
          </w:p>
        </w:tc>
        <w:tc>
          <w:tcPr>
            <w:tcW w:type="dxa" w:w="1440"/>
            <w:shd w:val="clear" w:color="auto" w:fill="E9EEF4"/>
          </w:tcPr>
          <w:p>
            <w:pPr>
              <w:jc w:val="center"/>
            </w:pPr>
            <w:r>
              <w:rPr>
                <w:sz w:val="16"/>
                <w:rFonts w:eastAsia="宋体" w:ascii="Times New Roman" w:hAnsi="Times New Roman"/>
              </w:rPr>
              <w:t>-30bps</w:t>
            </w:r>
          </w:p>
        </w:tc>
      </w:tr>
      <w:tr>
        <w:tc>
          <w:tcPr>
            <w:tcW w:type="dxa" w:w="2880"/>
          </w:tcPr>
          <w:p>
            <w:pPr>
              <w:jc w:val="left"/>
            </w:pPr>
            <w:r>
              <w:rPr>
                <w:sz w:val="16"/>
                <w:rFonts w:eastAsia="宋体" w:ascii="Times New Roman" w:hAnsi="Times New Roman"/>
              </w:rPr>
              <w:t>归母净利润</w:t>
            </w:r>
          </w:p>
        </w:tc>
        <w:tc>
          <w:tcPr>
            <w:tcW w:type="dxa" w:w="1440"/>
          </w:tcPr>
          <w:p>
            <w:pPr>
              <w:jc w:val="center"/>
            </w:pPr>
            <w:r>
              <w:rPr>
                <w:sz w:val="16"/>
                <w:rFonts w:eastAsia="宋体" w:ascii="Times New Roman" w:hAnsi="Times New Roman"/>
              </w:rPr>
              <w:t>110.4</w:t>
            </w:r>
          </w:p>
        </w:tc>
        <w:tc>
          <w:tcPr>
            <w:tcW w:type="dxa" w:w="1440"/>
          </w:tcPr>
          <w:p>
            <w:pPr>
              <w:jc w:val="center"/>
            </w:pPr>
            <w:r>
              <w:rPr>
                <w:sz w:val="16"/>
                <w:rFonts w:eastAsia="宋体" w:ascii="Times New Roman" w:hAnsi="Times New Roman"/>
              </w:rPr>
              <w:t>134.61</w:t>
            </w:r>
          </w:p>
        </w:tc>
        <w:tc>
          <w:tcPr>
            <w:tcW w:type="dxa" w:w="1728"/>
          </w:tcPr>
          <w:p>
            <w:pPr>
              <w:jc w:val="center"/>
            </w:pPr>
            <w:r>
              <w:rPr>
                <w:sz w:val="16"/>
                <w:rFonts w:eastAsia="宋体" w:ascii="Times New Roman" w:hAnsi="Times New Roman"/>
              </w:rPr>
              <w:t>167.7</w:t>
            </w:r>
          </w:p>
        </w:tc>
        <w:tc>
          <w:tcPr>
            <w:tcW w:type="dxa" w:w="1728"/>
          </w:tcPr>
          <w:p>
            <w:pPr>
              <w:jc w:val="center"/>
            </w:pPr>
            <w:r>
              <w:rPr>
                <w:sz w:val="16"/>
                <w:rFonts w:eastAsia="宋体" w:ascii="Times New Roman" w:hAnsi="Times New Roman"/>
              </w:rPr>
              <w:t>180.0</w:t>
            </w:r>
          </w:p>
        </w:tc>
        <w:tc>
          <w:tcPr>
            <w:tcW w:type="dxa" w:w="1440"/>
          </w:tcPr>
          <w:p>
            <w:pPr>
              <w:jc w:val="center"/>
            </w:pPr>
            <w:r>
              <w:rPr>
                <w:sz w:val="16"/>
                <w:rFonts w:eastAsia="宋体" w:ascii="Times New Roman" w:hAnsi="Times New Roman"/>
              </w:rPr>
              <w:t>-6.8%</w:t>
            </w:r>
          </w:p>
        </w:tc>
      </w:tr>
      <w:tr>
        <w:tc>
          <w:tcPr>
            <w:tcW w:type="dxa" w:w="2880"/>
            <w:shd w:val="clear" w:color="auto" w:fill="E9EEF4"/>
          </w:tcPr>
          <w:p>
            <w:pPr>
              <w:jc w:val="left"/>
            </w:pPr>
            <w:r>
              <w:rPr>
                <w:sz w:val="16"/>
                <w:rFonts w:eastAsia="宋体" w:ascii="Times New Roman" w:hAnsi="Times New Roman"/>
              </w:rPr>
              <w:t>净利率（%）</w:t>
            </w:r>
          </w:p>
        </w:tc>
        <w:tc>
          <w:tcPr>
            <w:tcW w:type="dxa" w:w="1440"/>
            <w:shd w:val="clear" w:color="auto" w:fill="E9EEF4"/>
          </w:tcPr>
          <w:p>
            <w:pPr>
              <w:jc w:val="center"/>
            </w:pPr>
            <w:r>
              <w:rPr>
                <w:sz w:val="16"/>
                <w:rFonts w:eastAsia="宋体" w:ascii="Times New Roman" w:hAnsi="Times New Roman"/>
              </w:rPr>
              <w:t>14.2%</w:t>
            </w:r>
          </w:p>
        </w:tc>
        <w:tc>
          <w:tcPr>
            <w:tcW w:type="dxa" w:w="1440"/>
            <w:shd w:val="clear" w:color="auto" w:fill="E9EEF4"/>
          </w:tcPr>
          <w:p>
            <w:pPr>
              <w:jc w:val="center"/>
            </w:pPr>
            <w:r>
              <w:rPr>
                <w:sz w:val="16"/>
                <w:rFonts w:eastAsia="宋体" w:ascii="Times New Roman" w:hAnsi="Times New Roman"/>
              </w:rPr>
              <w:t>15.2%</w:t>
            </w:r>
          </w:p>
        </w:tc>
        <w:tc>
          <w:tcPr>
            <w:tcW w:type="dxa" w:w="1728"/>
            <w:shd w:val="clear" w:color="auto" w:fill="E9EEF4"/>
          </w:tcPr>
          <w:p>
            <w:pPr>
              <w:jc w:val="center"/>
            </w:pPr>
            <w:r>
              <w:rPr>
                <w:sz w:val="16"/>
                <w:rFonts w:eastAsia="宋体" w:ascii="Times New Roman" w:hAnsi="Times New Roman"/>
              </w:rPr>
              <w:t>16.4%</w:t>
            </w:r>
          </w:p>
        </w:tc>
        <w:tc>
          <w:tcPr>
            <w:tcW w:type="dxa" w:w="1728"/>
            <w:shd w:val="clear" w:color="auto" w:fill="E9EEF4"/>
          </w:tcPr>
          <w:p>
            <w:pPr>
              <w:jc w:val="center"/>
            </w:pPr>
            <w:r>
              <w:rPr>
                <w:sz w:val="16"/>
                <w:rFonts w:eastAsia="宋体" w:ascii="Times New Roman" w:hAnsi="Times New Roman"/>
              </w:rPr>
              <w:t>16.7%</w:t>
            </w:r>
          </w:p>
        </w:tc>
        <w:tc>
          <w:tcPr>
            <w:tcW w:type="dxa" w:w="1440"/>
            <w:shd w:val="clear" w:color="auto" w:fill="E9EEF4"/>
          </w:tcPr>
          <w:p>
            <w:pPr>
              <w:jc w:val="center"/>
            </w:pPr>
            <w:r>
              <w:rPr>
                <w:sz w:val="16"/>
                <w:rFonts w:eastAsia="宋体" w:ascii="Times New Roman" w:hAnsi="Times New Roman"/>
              </w:rPr>
              <w:t>-30bps</w:t>
            </w:r>
          </w:p>
        </w:tc>
      </w:tr>
      <w:tr>
        <w:tc>
          <w:tcPr>
            <w:tcW w:type="dxa" w:w="2880"/>
          </w:tcPr>
          <w:p>
            <w:pPr>
              <w:jc w:val="left"/>
            </w:pPr>
            <w:r>
              <w:rPr>
                <w:sz w:val="16"/>
                <w:rFonts w:eastAsia="宋体" w:ascii="Times New Roman" w:hAnsi="Times New Roman"/>
              </w:rPr>
              <w:t>基本EPS（元）</w:t>
            </w:r>
          </w:p>
        </w:tc>
        <w:tc>
          <w:tcPr>
            <w:tcW w:type="dxa" w:w="1440"/>
          </w:tcPr>
          <w:p>
            <w:pPr>
              <w:jc w:val="center"/>
            </w:pPr>
            <w:r>
              <w:rPr>
                <w:sz w:val="16"/>
                <w:rFonts w:eastAsia="宋体" w:ascii="Times New Roman" w:hAnsi="Times New Roman"/>
              </w:rPr>
              <w:t>5.32</w:t>
            </w:r>
          </w:p>
        </w:tc>
        <w:tc>
          <w:tcPr>
            <w:tcW w:type="dxa" w:w="1440"/>
          </w:tcPr>
          <w:p>
            <w:pPr>
              <w:jc w:val="center"/>
            </w:pPr>
            <w:r>
              <w:rPr>
                <w:sz w:val="16"/>
                <w:rFonts w:eastAsia="宋体" w:ascii="Times New Roman" w:hAnsi="Times New Roman"/>
              </w:rPr>
              <w:t>6.55</w:t>
            </w:r>
          </w:p>
        </w:tc>
        <w:tc>
          <w:tcPr>
            <w:tcW w:type="dxa" w:w="1728"/>
          </w:tcPr>
          <w:p>
            <w:pPr>
              <w:jc w:val="center"/>
            </w:pPr>
            <w:r>
              <w:rPr>
                <w:sz w:val="16"/>
                <w:rFonts w:eastAsia="宋体" w:ascii="Times New Roman" w:hAnsi="Times New Roman"/>
              </w:rPr>
              <w:t>8.09</w:t>
            </w:r>
          </w:p>
        </w:tc>
        <w:tc>
          <w:tcPr>
            <w:tcW w:type="dxa" w:w="1728"/>
          </w:tcPr>
          <w:p>
            <w:pPr>
              <w:jc w:val="center"/>
            </w:pPr>
            <w:r>
              <w:rPr>
                <w:sz w:val="16"/>
                <w:rFonts w:eastAsia="宋体" w:ascii="Times New Roman" w:hAnsi="Times New Roman"/>
              </w:rPr>
              <w:t>8.70</w:t>
            </w:r>
          </w:p>
        </w:tc>
        <w:tc>
          <w:tcPr>
            <w:tcW w:type="dxa" w:w="1440"/>
          </w:tcPr>
          <w:p>
            <w:pPr>
              <w:jc w:val="center"/>
            </w:pPr>
            <w:r>
              <w:rPr>
                <w:sz w:val="16"/>
                <w:rFonts w:eastAsia="宋体" w:ascii="Times New Roman" w:hAnsi="Times New Roman"/>
              </w:rPr>
              <w:t>-7.0%</w:t>
            </w:r>
          </w:p>
        </w:tc>
      </w:tr>
      <w:tr>
        <w:tc>
          <w:tcPr>
            <w:tcW w:type="dxa" w:w="2880"/>
            <w:shd w:val="clear" w:color="auto" w:fill="E9EEF4"/>
          </w:tcPr>
          <w:p>
            <w:pPr>
              <w:jc w:val="left"/>
            </w:pPr>
            <w:r>
              <w:rPr>
                <w:sz w:val="16"/>
                <w:rFonts w:eastAsia="宋体" w:ascii="Times New Roman" w:hAnsi="Times New Roman"/>
              </w:rPr>
              <w:t>P/E @ 136.91元</w:t>
            </w:r>
          </w:p>
        </w:tc>
        <w:tc>
          <w:tcPr>
            <w:tcW w:type="dxa" w:w="1440"/>
            <w:shd w:val="clear" w:color="auto" w:fill="E9EEF4"/>
          </w:tcPr>
          <w:p>
            <w:pPr>
              <w:jc w:val="center"/>
            </w:pPr>
            <w:r>
              <w:rPr>
                <w:sz w:val="16"/>
                <w:rFonts w:eastAsia="宋体" w:ascii="Times New Roman" w:hAnsi="Times New Roman"/>
              </w:rPr>
              <w:t>25.7x</w:t>
            </w:r>
          </w:p>
        </w:tc>
        <w:tc>
          <w:tcPr>
            <w:tcW w:type="dxa" w:w="1440"/>
            <w:shd w:val="clear" w:color="auto" w:fill="E9EEF4"/>
          </w:tcPr>
          <w:p>
            <w:pPr>
              <w:jc w:val="center"/>
            </w:pPr>
            <w:r>
              <w:rPr>
                <w:sz w:val="16"/>
                <w:rFonts w:eastAsia="宋体" w:ascii="Times New Roman" w:hAnsi="Times New Roman"/>
              </w:rPr>
              <w:t>20.9x</w:t>
            </w:r>
          </w:p>
        </w:tc>
        <w:tc>
          <w:tcPr>
            <w:tcW w:type="dxa" w:w="1728"/>
            <w:shd w:val="clear" w:color="auto" w:fill="E9EEF4"/>
          </w:tcPr>
          <w:p>
            <w:pPr>
              <w:jc w:val="center"/>
            </w:pPr>
            <w:r>
              <w:rPr>
                <w:sz w:val="16"/>
                <w:rFonts w:eastAsia="宋体" w:ascii="Times New Roman" w:hAnsi="Times New Roman"/>
              </w:rPr>
              <w:t>16.9x</w:t>
            </w:r>
          </w:p>
        </w:tc>
        <w:tc>
          <w:tcPr>
            <w:tcW w:type="dxa" w:w="1728"/>
            <w:shd w:val="clear" w:color="auto" w:fill="E9EEF4"/>
          </w:tcPr>
          <w:p>
            <w:pPr>
              <w:jc w:val="center"/>
            </w:pPr>
            <w:r>
              <w:rPr>
                <w:sz w:val="16"/>
                <w:rFonts w:eastAsia="宋体" w:ascii="Times New Roman" w:hAnsi="Times New Roman"/>
              </w:rPr>
              <w:t>15.7x</w:t>
            </w:r>
          </w:p>
        </w:tc>
        <w:tc>
          <w:tcPr>
            <w:tcW w:type="dxa" w:w="1440"/>
            <w:shd w:val="clear" w:color="auto" w:fill="E9EEF4"/>
          </w:tcPr>
          <w:p>
            <w:pPr>
              <w:jc w:val="center"/>
            </w:pPr>
            <w:r>
              <w:rPr>
                <w:sz w:val="16"/>
                <w:rFonts w:eastAsia="宋体" w:ascii="Times New Roman" w:hAnsi="Times New Roman"/>
              </w:rPr>
              <w:t>—</w:t>
            </w:r>
          </w:p>
        </w:tc>
      </w:tr>
      <w:tr>
        <w:tc>
          <w:tcPr>
            <w:tcW w:type="dxa" w:w="2880"/>
          </w:tcPr>
          <w:p>
            <w:pPr>
              <w:jc w:val="left"/>
            </w:pPr>
            <w:r>
              <w:rPr>
                <w:sz w:val="16"/>
                <w:rFonts w:eastAsia="宋体" w:ascii="Times New Roman" w:hAnsi="Times New Roman"/>
              </w:rPr>
              <w:t>EV/EBITDA（估算）</w:t>
            </w:r>
          </w:p>
        </w:tc>
        <w:tc>
          <w:tcPr>
            <w:tcW w:type="dxa" w:w="1440"/>
          </w:tcPr>
          <w:p>
            <w:pPr>
              <w:jc w:val="center"/>
            </w:pPr>
            <w:r>
              <w:rPr>
                <w:sz w:val="16"/>
                <w:rFonts w:eastAsia="宋体" w:ascii="Times New Roman" w:hAnsi="Times New Roman"/>
              </w:rPr>
              <w:t>约19x</w:t>
            </w:r>
          </w:p>
        </w:tc>
        <w:tc>
          <w:tcPr>
            <w:tcW w:type="dxa" w:w="1440"/>
          </w:tcPr>
          <w:p>
            <w:pPr>
              <w:jc w:val="center"/>
            </w:pPr>
            <w:r>
              <w:rPr>
                <w:sz w:val="16"/>
                <w:rFonts w:eastAsia="宋体" w:ascii="Times New Roman" w:hAnsi="Times New Roman"/>
              </w:rPr>
              <w:t>约15x</w:t>
            </w:r>
          </w:p>
        </w:tc>
        <w:tc>
          <w:tcPr>
            <w:tcW w:type="dxa" w:w="1728"/>
          </w:tcPr>
          <w:p>
            <w:pPr>
              <w:jc w:val="center"/>
            </w:pPr>
            <w:r>
              <w:rPr>
                <w:sz w:val="16"/>
                <w:rFonts w:eastAsia="宋体" w:ascii="Times New Roman" w:hAnsi="Times New Roman"/>
              </w:rPr>
              <w:t>约14x</w:t>
            </w:r>
          </w:p>
        </w:tc>
        <w:tc>
          <w:tcPr>
            <w:tcW w:type="dxa" w:w="1728"/>
          </w:tcPr>
          <w:p>
            <w:pPr>
              <w:jc w:val="center"/>
            </w:pPr>
            <w:r>
              <w:rPr>
                <w:sz w:val="16"/>
                <w:rFonts w:eastAsia="宋体" w:ascii="Times New Roman" w:hAnsi="Times New Roman"/>
              </w:rPr>
              <w:t>约13x</w:t>
            </w:r>
          </w:p>
        </w:tc>
        <w:tc>
          <w:tcPr>
            <w:tcW w:type="dxa" w:w="1440"/>
          </w:tcPr>
          <w:p>
            <w:pPr>
              <w:jc w:val="center"/>
            </w:pPr>
            <w:r>
              <w:rPr>
                <w:sz w:val="16"/>
                <w:rFonts w:eastAsia="宋体" w:ascii="Times New Roman" w:hAnsi="Times New Roman"/>
              </w:rPr>
              <w:t>—</w:t>
            </w:r>
          </w:p>
        </w:tc>
      </w:tr>
    </w:tbl>
    <w:p>
      <w:pPr>
        <w:spacing w:before="20" w:after="120"/>
        <w:ind w:left="0"/>
      </w:pPr>
      <w:r>
        <w:rPr>
          <w:i/>
          <w:color w:val="808080"/>
          <w:sz w:val="15"/>
        </w:rPr>
        <w:t>注：A=实际值，E=预测值；2025年EBITDA及经营利润为分析师测算（年报中未单独列示）。资料来源：阳光电源2025年年度报告；分析师预测</w:t>
      </w:r>
    </w:p>
    <w:p>
      <w:pPr>
        <w:spacing w:before="80" w:after="40"/>
        <w:ind w:left="0"/>
        <w:jc w:val="center"/>
      </w:pPr>
      <w:r>
        <w:drawing>
          <wp:inline xmlns:a="http://schemas.openxmlformats.org/drawingml/2006/main" xmlns:pic="http://schemas.openxmlformats.org/drawingml/2006/picture">
            <wp:extent cx="5669280" cy="2888385"/>
            <wp:docPr id="10" name="Picture 10"/>
            <wp:cNvGraphicFramePr>
              <a:graphicFrameLocks noChangeAspect="1"/>
            </wp:cNvGraphicFramePr>
            <a:graphic>
              <a:graphicData uri="http://schemas.openxmlformats.org/drawingml/2006/picture">
                <pic:pic>
                  <pic:nvPicPr>
                    <pic:cNvPr id="0" name="300274_chart9_estimates.png"/>
                    <pic:cNvPicPr/>
                  </pic:nvPicPr>
                  <pic:blipFill>
                    <a:blip r:embed="rId18"/>
                    <a:stretch>
                      <a:fillRect/>
                    </a:stretch>
                  </pic:blipFill>
                  <pic:spPr>
                    <a:xfrm>
                      <a:off x="0" y="0"/>
                      <a:ext cx="5669280" cy="2888385"/>
                    </a:xfrm>
                    <a:prstGeom prst="rect"/>
                  </pic:spPr>
                </pic:pic>
              </a:graphicData>
            </a:graphic>
          </wp:inline>
        </w:drawing>
      </w:r>
    </w:p>
    <w:p>
      <w:pPr>
        <w:spacing w:before="0" w:after="120"/>
        <w:ind w:left="0"/>
        <w:jc w:val="center"/>
      </w:pPr>
      <w:r>
        <w:rPr>
          <w:b w:val="0"/>
          <w:i/>
          <w:color w:val="808080"/>
          <w:sz w:val="16"/>
          <w:rFonts w:eastAsia="宋体" w:ascii="Times New Roman" w:hAnsi="Times New Roman"/>
        </w:rPr>
        <w:t>图9 — 盈利预测修正对比 | 资料来源：阳光电源2025年年度报告；分析师预测</w:t>
      </w:r>
    </w:p>
    <w:p>
      <w:r>
        <w:br w:type="page"/>
      </w:r>
    </w:p>
    <w:p>
      <w:pPr>
        <w:spacing w:before="160" w:after="80"/>
        <w:ind w:left="0"/>
      </w:pPr>
      <w:r>
        <w:rPr>
          <w:b/>
          <w:color w:val="1F4E79"/>
          <w:sz w:val="24"/>
          <w:rFonts w:eastAsia="黑体" w:ascii="Times New Roman" w:hAnsi="Times New Roman"/>
        </w:rPr>
        <w:t>资料来源与参考文献</w:t>
      </w:r>
    </w:p>
    <w:p>
      <w:pPr>
        <w:spacing w:before="40" w:after="40"/>
        <w:pBdr>
          <w:bottom w:val="single" w:sz="6" w:space="1" w:color="1F4E79"/>
        </w:pBdr>
      </w:pPr>
    </w:p>
    <w:p>
      <w:pPr>
        <w:spacing w:before="80" w:after="120"/>
        <w:ind w:left="0"/>
      </w:pPr>
      <w:r>
        <w:rPr>
          <w:b w:val="0"/>
          <w:i w:val="0"/>
          <w:sz w:val="19"/>
          <w:rFonts w:eastAsia="宋体" w:ascii="Times New Roman" w:hAnsi="Times New Roman"/>
        </w:rPr>
        <w:t>本报告所有财务数据均来自公司官方公告及知名金融数据提供商，以下为各核心来源的可点击链接：</w:t>
      </w:r>
    </w:p>
    <w:p>
      <w:pPr>
        <w:spacing w:before="160" w:after="60"/>
        <w:ind w:left="0"/>
      </w:pPr>
      <w:r>
        <w:rPr>
          <w:b/>
          <w:color w:val="1F4E79"/>
          <w:sz w:val="20"/>
          <w:rFonts w:eastAsia="黑体" w:ascii="Times New Roman" w:hAnsi="Times New Roman"/>
        </w:rPr>
        <w:t>公司官方文件：</w:t>
      </w:r>
    </w:p>
    <w:p>
      <w:pPr>
        <w:spacing w:before="60" w:after="60"/>
        <w:ind w:left="360"/>
      </w:pPr>
      <w:r>
        <w:rPr>
          <w:b w:val="0"/>
          <w:i w:val="0"/>
          <w:sz w:val="19"/>
          <w:rFonts w:eastAsia="宋体" w:ascii="Times New Roman" w:hAnsi="Times New Roman"/>
        </w:rPr>
        <w:t xml:space="preserve">• </w:t>
      </w:r>
      <w:hyperlink r:id="rId19">
        <w:r>
          <w:rPr>
            <w:rStyle w:val="Hyperlink"/>
          </w:rPr>
          <w:t>阳光电源2025年年度报告摘要（CNINFO）</w:t>
        </w:r>
      </w:hyperlink>
      <w:r>
        <w:rPr>
          <w:b w:val="0"/>
          <w:i/>
          <w:color w:val="646464"/>
          <w:sz w:val="18"/>
          <w:rFonts w:eastAsia="宋体" w:ascii="Times New Roman" w:hAnsi="Times New Roman"/>
        </w:rPr>
        <w:t xml:space="preserve">  —  2026年4月1日发布，所有FY2025财务数据的主要来源</w:t>
      </w:r>
    </w:p>
    <w:p>
      <w:pPr>
        <w:spacing w:before="60" w:after="60"/>
        <w:ind w:left="360"/>
      </w:pPr>
      <w:r>
        <w:rPr>
          <w:b w:val="0"/>
          <w:i w:val="0"/>
          <w:sz w:val="19"/>
          <w:rFonts w:eastAsia="宋体" w:ascii="Times New Roman" w:hAnsi="Times New Roman"/>
        </w:rPr>
        <w:t xml:space="preserve">• </w:t>
      </w:r>
      <w:hyperlink r:id="rId20">
        <w:r>
          <w:rPr>
            <w:rStyle w:val="Hyperlink"/>
          </w:rPr>
          <w:t>投资者电话会议纪要（新浪财经）</w:t>
        </w:r>
      </w:hyperlink>
      <w:r>
        <w:rPr>
          <w:b w:val="0"/>
          <w:i/>
          <w:color w:val="646464"/>
          <w:sz w:val="18"/>
          <w:rFonts w:eastAsia="宋体" w:ascii="Times New Roman" w:hAnsi="Times New Roman"/>
        </w:rPr>
        <w:t xml:space="preserve">  —  2026年3月31日，Q4毛利率解释、2026年业绩指引</w:t>
      </w:r>
    </w:p>
    <w:p>
      <w:pPr>
        <w:spacing w:before="60" w:after="60"/>
        <w:ind w:left="360"/>
      </w:pPr>
      <w:r>
        <w:rPr>
          <w:b w:val="0"/>
          <w:i w:val="0"/>
          <w:sz w:val="19"/>
          <w:rFonts w:eastAsia="宋体" w:ascii="Times New Roman" w:hAnsi="Times New Roman"/>
        </w:rPr>
        <w:t xml:space="preserve">• </w:t>
      </w:r>
      <w:hyperlink r:id="rId21">
        <w:r>
          <w:rPr>
            <w:rStyle w:val="Hyperlink"/>
          </w:rPr>
          <w:t>阳光电源2025年年报分析（东方财富财富号）</w:t>
        </w:r>
      </w:hyperlink>
      <w:r>
        <w:rPr>
          <w:b w:val="0"/>
          <w:i/>
          <w:color w:val="646464"/>
          <w:sz w:val="18"/>
          <w:rFonts w:eastAsia="宋体" w:ascii="Times New Roman" w:hAnsi="Times New Roman"/>
        </w:rPr>
        <w:t xml:space="preserve">  —  2026年4月2日，业务板块详细分析与盈利拆分</w:t>
      </w:r>
    </w:p>
    <w:p>
      <w:pPr>
        <w:spacing w:before="160" w:after="60"/>
        <w:ind w:left="0"/>
      </w:pPr>
      <w:r>
        <w:rPr>
          <w:b/>
          <w:color w:val="1F4E79"/>
          <w:sz w:val="20"/>
          <w:rFonts w:eastAsia="黑体" w:ascii="Times New Roman" w:hAnsi="Times New Roman"/>
        </w:rPr>
        <w:t>财务数据来源：</w:t>
      </w:r>
    </w:p>
    <w:p>
      <w:pPr>
        <w:spacing w:before="60" w:after="60"/>
        <w:ind w:left="360"/>
      </w:pPr>
      <w:r>
        <w:rPr>
          <w:b w:val="0"/>
          <w:i w:val="0"/>
          <w:sz w:val="19"/>
          <w:rFonts w:eastAsia="宋体" w:ascii="Times New Roman" w:hAnsi="Times New Roman"/>
        </w:rPr>
        <w:t xml:space="preserve">• </w:t>
      </w:r>
      <w:hyperlink r:id="rId22">
        <w:r>
          <w:rPr>
            <w:rStyle w:val="Hyperlink"/>
          </w:rPr>
          <w:t>StockAnalysis.com — 季度营收历史</w:t>
        </w:r>
      </w:hyperlink>
      <w:r>
        <w:rPr>
          <w:b w:val="0"/>
          <w:i/>
          <w:color w:val="646464"/>
          <w:sz w:val="18"/>
          <w:rFonts w:eastAsia="宋体" w:ascii="Times New Roman" w:hAnsi="Times New Roman"/>
        </w:rPr>
        <w:t xml:space="preserve">  —  Q1 2024至Q4 2025季度营收数据</w:t>
      </w:r>
    </w:p>
    <w:p>
      <w:pPr>
        <w:spacing w:before="60" w:after="60"/>
        <w:ind w:left="360"/>
      </w:pPr>
      <w:r>
        <w:rPr>
          <w:b w:val="0"/>
          <w:i w:val="0"/>
          <w:sz w:val="19"/>
          <w:rFonts w:eastAsia="宋体" w:ascii="Times New Roman" w:hAnsi="Times New Roman"/>
        </w:rPr>
        <w:t xml:space="preserve">• </w:t>
      </w:r>
      <w:hyperlink r:id="rId23">
        <w:r>
          <w:rPr>
            <w:rStyle w:val="Hyperlink"/>
          </w:rPr>
          <w:t>StockAnalysis.com — 概况与估值</w:t>
        </w:r>
      </w:hyperlink>
      <w:r>
        <w:rPr>
          <w:b w:val="0"/>
          <w:i/>
          <w:color w:val="646464"/>
          <w:sz w:val="18"/>
          <w:rFonts w:eastAsia="宋体" w:ascii="Times New Roman" w:hAnsi="Times New Roman"/>
        </w:rPr>
        <w:t xml:space="preserve">  —  市值、市盈率、52周区间、流通股数</w:t>
      </w:r>
    </w:p>
    <w:p>
      <w:pPr>
        <w:spacing w:before="60" w:after="60"/>
        <w:ind w:left="360"/>
      </w:pPr>
      <w:r>
        <w:rPr>
          <w:b w:val="0"/>
          <w:i w:val="0"/>
          <w:sz w:val="19"/>
          <w:rFonts w:eastAsia="宋体" w:ascii="Times New Roman" w:hAnsi="Times New Roman"/>
        </w:rPr>
        <w:t xml:space="preserve">• </w:t>
      </w:r>
      <w:hyperlink r:id="rId24">
        <w:r>
          <w:rPr>
            <w:rStyle w:val="Hyperlink"/>
          </w:rPr>
          <w:t>富途牛牛 — 阳光电源2025年报储能评论</w:t>
        </w:r>
      </w:hyperlink>
      <w:r>
        <w:rPr>
          <w:b w:val="0"/>
          <w:i/>
          <w:color w:val="646464"/>
          <w:sz w:val="18"/>
          <w:rFonts w:eastAsia="宋体" w:ascii="Times New Roman" w:hAnsi="Times New Roman"/>
        </w:rPr>
        <w:t xml:space="preserve">  —  储能板块评论及市场一致预期</w:t>
      </w:r>
    </w:p>
    <w:p>
      <w:pPr>
        <w:spacing w:before="60" w:after="60"/>
        <w:ind w:left="360"/>
      </w:pPr>
      <w:r>
        <w:rPr>
          <w:b w:val="0"/>
          <w:i w:val="0"/>
          <w:sz w:val="19"/>
          <w:rFonts w:eastAsia="宋体" w:ascii="Times New Roman" w:hAnsi="Times New Roman"/>
        </w:rPr>
        <w:t xml:space="preserve">• </w:t>
      </w:r>
      <w:hyperlink r:id="rId25">
        <w:r>
          <w:rPr>
            <w:rStyle w:val="Hyperlink"/>
          </w:rPr>
          <w:t>华尔街见闻 — 阳光电源2025年年报</w:t>
        </w:r>
      </w:hyperlink>
      <w:r>
        <w:rPr>
          <w:b w:val="0"/>
          <w:i/>
          <w:color w:val="646464"/>
          <w:sz w:val="18"/>
          <w:rFonts w:eastAsia="宋体" w:ascii="Times New Roman" w:hAnsi="Times New Roman"/>
        </w:rPr>
        <w:t xml:space="preserve">  —  营收近900亿，净利135亿，储能构网技术分析</w:t>
      </w:r>
    </w:p>
    <w:p>
      <w:pPr>
        <w:spacing w:before="160" w:after="60"/>
        <w:ind w:left="0"/>
      </w:pPr>
      <w:r>
        <w:rPr>
          <w:b/>
          <w:color w:val="1F4E79"/>
          <w:sz w:val="20"/>
          <w:rFonts w:eastAsia="黑体" w:ascii="Times New Roman" w:hAnsi="Times New Roman"/>
        </w:rPr>
        <w:t>卖方研究及市场评论：</w:t>
      </w:r>
    </w:p>
    <w:p>
      <w:pPr>
        <w:spacing w:before="60" w:after="60"/>
        <w:ind w:left="360"/>
      </w:pPr>
      <w:r>
        <w:rPr>
          <w:b w:val="0"/>
          <w:i w:val="0"/>
          <w:sz w:val="19"/>
          <w:rFonts w:eastAsia="宋体" w:ascii="Times New Roman" w:hAnsi="Times New Roman"/>
        </w:rPr>
        <w:t xml:space="preserve">• </w:t>
      </w:r>
      <w:hyperlink r:id="rId26">
        <w:r>
          <w:rPr>
            <w:rStyle w:val="Hyperlink"/>
          </w:rPr>
          <w:t>华润证券 — Q3 2025季报点评</w:t>
        </w:r>
      </w:hyperlink>
      <w:r>
        <w:rPr>
          <w:b w:val="0"/>
          <w:i/>
          <w:color w:val="646464"/>
          <w:sz w:val="18"/>
          <w:rFonts w:eastAsia="宋体" w:ascii="Times New Roman" w:hAnsi="Times New Roman"/>
        </w:rPr>
        <w:t xml:space="preserve">  —  2025年11月，AIDC产品布局，盈利能力趋势</w:t>
      </w:r>
    </w:p>
    <w:p>
      <w:pPr>
        <w:spacing w:before="60" w:after="60"/>
        <w:ind w:left="360"/>
      </w:pPr>
      <w:r>
        <w:rPr>
          <w:b w:val="0"/>
          <w:i w:val="0"/>
          <w:sz w:val="19"/>
          <w:rFonts w:eastAsia="宋体" w:ascii="Times New Roman" w:hAnsi="Times New Roman"/>
        </w:rPr>
        <w:t xml:space="preserve">• </w:t>
      </w:r>
      <w:hyperlink r:id="rId20">
        <w:r>
          <w:rPr>
            <w:rStyle w:val="Hyperlink"/>
          </w:rPr>
          <w:t>新浪财经 — Q4归母净利润骤降分析</w:t>
        </w:r>
      </w:hyperlink>
      <w:r>
        <w:rPr>
          <w:b w:val="0"/>
          <w:i/>
          <w:color w:val="646464"/>
          <w:sz w:val="18"/>
          <w:rFonts w:eastAsia="宋体" w:ascii="Times New Roman" w:hAnsi="Times New Roman"/>
        </w:rPr>
        <w:t xml:space="preserve">  —  2026年4月，Q4 2025季度归母净利润深度解读</w:t>
      </w:r>
    </w:p>
    <w:p/>
    <w:p>
      <w:pPr>
        <w:spacing w:before="40" w:after="40"/>
        <w:pBdr>
          <w:bottom w:val="single" w:sz="6" w:space="1" w:color="1F4E79"/>
        </w:pBdr>
      </w:pPr>
    </w:p>
    <w:p>
      <w:pPr>
        <w:spacing w:before="120" w:after="80"/>
        <w:ind w:left="0"/>
      </w:pPr>
      <w:r>
        <w:rPr>
          <w:b w:val="0"/>
          <w:i/>
          <w:color w:val="808080"/>
          <w:sz w:val="16"/>
          <w:rFonts w:eastAsia="宋体" w:ascii="Times New Roman" w:hAnsi="Times New Roman"/>
        </w:rPr>
        <w:t>重要声明：本报告仅供参考，不构成投资建议。所有财务预测均为分析师测算，存在不确定性。超预期/低于预期分析基于发布前市场一致预期（来源：Bloomberg、富途）。市场数据截至2026年4月21日。阳光电源股份有限公司（300274.SZ）在深圳证券交易所上市。历史业绩不代表未来表现。</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static.cninfo.com.cn/finalpage/2026-04-01/1225066677.PDF" TargetMode="External"/><Relationship Id="rId20" Type="http://schemas.openxmlformats.org/officeDocument/2006/relationships/hyperlink" Target="https://finance.sina.com.cn/roll/2026-04-01/doc-inhsziht8333473.shtml" TargetMode="External"/><Relationship Id="rId21" Type="http://schemas.openxmlformats.org/officeDocument/2006/relationships/hyperlink" Target="https://caifuhao.eastmoney.com/news/20260402060936774616180" TargetMode="External"/><Relationship Id="rId22" Type="http://schemas.openxmlformats.org/officeDocument/2006/relationships/hyperlink" Target="https://stockanalysis.com/quote/she/300274/revenue/" TargetMode="External"/><Relationship Id="rId23" Type="http://schemas.openxmlformats.org/officeDocument/2006/relationships/hyperlink" Target="https://stockanalysis.com/quote/she/300274/" TargetMode="External"/><Relationship Id="rId24" Type="http://schemas.openxmlformats.org/officeDocument/2006/relationships/hyperlink" Target="https://news.futunn.com/en/post/71013862/sungrow-power-300274-2025-annual-report-commentary-energy-storage-systems" TargetMode="External"/><Relationship Id="rId25" Type="http://schemas.openxmlformats.org/officeDocument/2006/relationships/hyperlink" Target="https://wallstreetcn.com/articles/3768898" TargetMode="External"/><Relationship Id="rId26" Type="http://schemas.openxmlformats.org/officeDocument/2006/relationships/hyperlink" Target="https://finance.sina.com.cn/roll/2025-11-10/doc-infwxhkx3003604.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