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ind w:left="0"/>
      </w:pPr>
      <w:r>
        <w:rPr>
          <w:rFonts w:ascii="Times New Roman" w:hAnsi="Times New Roman"/>
          <w:b/>
          <w:i w:val="0"/>
          <w:color w:val="1F4E79"/>
          <w:sz w:val="28"/>
        </w:rPr>
        <w:t>SUNGROW POWER SUPPLY CO., LTD. (阳光电源)</w:t>
      </w:r>
    </w:p>
    <w:p>
      <w:pPr>
        <w:spacing w:before="0" w:after="40"/>
        <w:ind w:left="0"/>
      </w:pPr>
      <w:r>
        <w:rPr>
          <w:rFonts w:ascii="Times New Roman" w:hAnsi="Times New Roman"/>
          <w:b/>
          <w:i w:val="0"/>
          <w:color w:val="2E75B6"/>
          <w:sz w:val="22"/>
        </w:rPr>
        <w:t>300274.SZ  |  Q4 2025 / FY2025 EARNINGS UPDATE</w:t>
      </w:r>
    </w:p>
    <w:p>
      <w:pPr>
        <w:spacing w:before="0" w:after="160"/>
        <w:ind w:left="0"/>
      </w:pPr>
      <w:r>
        <w:rPr>
          <w:rFonts w:ascii="Times New Roman" w:hAnsi="Times New Roman"/>
          <w:b w:val="0"/>
          <w:i/>
          <w:color w:val="808080"/>
          <w:sz w:val="18"/>
        </w:rPr>
        <w:t>April 22, 2026  ·  Equity Research  ·  China Clean Energy / New Energy Equipment</w:t>
      </w:r>
    </w:p>
    <w:p>
      <w:pPr>
        <w:spacing w:before="40" w:after="40"/>
        <w:pBdr>
          <w:bottom w:val="single" w:sz="6" w:space="1" w:color="1F4E79"/>
        </w:pBdr>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Pr>
                <w:rFonts w:ascii="Times New Roman" w:hAnsi="Times New Roman"/>
                <w:b w:val="0"/>
                <w:color w:val="C8DCF0"/>
                <w:sz w:val="16"/>
              </w:rPr>
              <w:t>Rating</w:t>
              <w:br/>
            </w:r>
            <w:r>
              <w:rPr>
                <w:rFonts w:ascii="Times New Roman" w:hAnsi="Times New Roman"/>
                <w:b/>
                <w:color w:val="FFFFFF"/>
                <w:sz w:val="20"/>
              </w:rPr>
              <w:t>OUTPERFORM ★</w:t>
            </w:r>
          </w:p>
        </w:tc>
        <w:tc>
          <w:tcPr>
            <w:tcW w:type="dxa" w:w="2436"/>
            <w:shd w:val="clear" w:color="auto" w:fill="2E75B6"/>
          </w:tcPr>
          <w:p>
            <w:pPr>
              <w:jc w:val="center"/>
            </w:pPr>
            <w:r>
              <w:rPr>
                <w:rFonts w:ascii="Times New Roman" w:hAnsi="Times New Roman"/>
                <w:b w:val="0"/>
                <w:color w:val="C8DCF0"/>
                <w:sz w:val="16"/>
              </w:rPr>
              <w:t>Price (Apr 21, 2026)</w:t>
              <w:br/>
            </w:r>
            <w:r>
              <w:rPr>
                <w:rFonts w:ascii="Times New Roman" w:hAnsi="Times New Roman"/>
                <w:b/>
                <w:color w:val="FFFFFF"/>
                <w:sz w:val="20"/>
              </w:rPr>
              <w:t>CNY 136.91</w:t>
            </w:r>
          </w:p>
        </w:tc>
        <w:tc>
          <w:tcPr>
            <w:tcW w:type="dxa" w:w="2436"/>
            <w:shd w:val="clear" w:color="auto" w:fill="375623"/>
          </w:tcPr>
          <w:p>
            <w:pPr>
              <w:jc w:val="center"/>
            </w:pPr>
            <w:r>
              <w:rPr>
                <w:rFonts w:ascii="Times New Roman" w:hAnsi="Times New Roman"/>
                <w:b w:val="0"/>
                <w:color w:val="C8DCF0"/>
                <w:sz w:val="16"/>
              </w:rPr>
              <w:t>Price Target</w:t>
              <w:br/>
            </w:r>
            <w:r>
              <w:rPr>
                <w:rFonts w:ascii="Times New Roman" w:hAnsi="Times New Roman"/>
                <w:b/>
                <w:color w:val="FFFFFF"/>
                <w:sz w:val="20"/>
              </w:rPr>
              <w:t>CNY 158.00</w:t>
            </w:r>
          </w:p>
        </w:tc>
        <w:tc>
          <w:tcPr>
            <w:tcW w:type="dxa" w:w="2436"/>
            <w:shd w:val="clear" w:color="auto" w:fill="375623"/>
          </w:tcPr>
          <w:p>
            <w:pPr>
              <w:jc w:val="center"/>
            </w:pPr>
            <w:r>
              <w:rPr>
                <w:rFonts w:ascii="Times New Roman" w:hAnsi="Times New Roman"/>
                <w:b w:val="0"/>
                <w:color w:val="C8DCF0"/>
                <w:sz w:val="16"/>
              </w:rPr>
              <w:t>Implied Upside</w:t>
              <w:br/>
            </w:r>
            <w:r>
              <w:rPr>
                <w:rFonts w:ascii="Times New Roman" w:hAnsi="Times New Roman"/>
                <w:b/>
                <w:color w:val="FFFFFF"/>
                <w:sz w:val="20"/>
              </w:rPr>
              <w:t>+15.4%</w:t>
            </w:r>
          </w:p>
        </w:tc>
      </w:tr>
    </w:tbl>
    <w:p/>
    <w:p>
      <w:pPr>
        <w:spacing w:before="80" w:after="80"/>
        <w:ind w:left="0"/>
      </w:pPr>
      <w:r>
        <w:rPr>
          <w:rFonts w:ascii="Times New Roman" w:hAnsi="Times New Roman"/>
          <w:b/>
          <w:i w:val="0"/>
          <w:color w:val="1F4E79"/>
          <w:sz w:val="21"/>
        </w:rPr>
        <w:t>Q4 2025 / FY2025 EARNINGS SNAPSHOT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80"/>
            <w:shd w:val="clear" w:color="auto" w:fill="1F4E79"/>
          </w:tcPr>
          <w:p>
            <w:pPr>
              <w:jc w:val="center"/>
            </w:pPr>
            <w:r>
              <w:rPr>
                <w:rFonts w:ascii="Times New Roman" w:hAnsi="Times New Roman"/>
                <w:b/>
                <w:color w:val="FFFFFF"/>
                <w:sz w:val="17"/>
              </w:rPr>
              <w:t>Metric</w:t>
            </w:r>
          </w:p>
        </w:tc>
        <w:tc>
          <w:tcPr>
            <w:tcW w:type="dxa" w:w="1872"/>
            <w:shd w:val="clear" w:color="auto" w:fill="1F4E79"/>
          </w:tcPr>
          <w:p>
            <w:pPr>
              <w:jc w:val="center"/>
            </w:pPr>
            <w:r>
              <w:rPr>
                <w:rFonts w:ascii="Times New Roman" w:hAnsi="Times New Roman"/>
                <w:b/>
                <w:color w:val="FFFFFF"/>
                <w:sz w:val="17"/>
              </w:rPr>
              <w:t>FY2025 Actual</w:t>
            </w:r>
          </w:p>
        </w:tc>
        <w:tc>
          <w:tcPr>
            <w:tcW w:type="dxa" w:w="1872"/>
            <w:shd w:val="clear" w:color="auto" w:fill="1F4E79"/>
          </w:tcPr>
          <w:p>
            <w:pPr>
              <w:jc w:val="center"/>
            </w:pPr>
            <w:r>
              <w:rPr>
                <w:rFonts w:ascii="Times New Roman" w:hAnsi="Times New Roman"/>
                <w:b/>
                <w:color w:val="FFFFFF"/>
                <w:sz w:val="17"/>
              </w:rPr>
              <w:t>FY2025 Consensus</w:t>
            </w:r>
          </w:p>
        </w:tc>
        <w:tc>
          <w:tcPr>
            <w:tcW w:type="dxa" w:w="2304"/>
            <w:shd w:val="clear" w:color="auto" w:fill="1F4E79"/>
          </w:tcPr>
          <w:p>
            <w:pPr>
              <w:jc w:val="center"/>
            </w:pPr>
            <w:r>
              <w:rPr>
                <w:rFonts w:ascii="Times New Roman" w:hAnsi="Times New Roman"/>
                <w:b/>
                <w:color w:val="FFFFFF"/>
                <w:sz w:val="17"/>
              </w:rPr>
              <w:t>Beat / (Miss)</w:t>
            </w:r>
          </w:p>
        </w:tc>
        <w:tc>
          <w:tcPr>
            <w:tcW w:type="dxa" w:w="1872"/>
            <w:shd w:val="clear" w:color="auto" w:fill="1F4E79"/>
          </w:tcPr>
          <w:p>
            <w:pPr>
              <w:jc w:val="center"/>
            </w:pPr>
            <w:r>
              <w:rPr>
                <w:rFonts w:ascii="Times New Roman" w:hAnsi="Times New Roman"/>
                <w:b/>
                <w:color w:val="FFFFFF"/>
                <w:sz w:val="17"/>
              </w:rPr>
              <w:t>YoY Change</w:t>
            </w:r>
          </w:p>
        </w:tc>
      </w:tr>
      <w:tr>
        <w:tc>
          <w:tcPr>
            <w:tcW w:type="dxa" w:w="2880"/>
          </w:tcPr>
          <w:p>
            <w:pPr>
              <w:jc w:val="left"/>
            </w:pPr>
            <w:r>
              <w:rPr>
                <w:rFonts w:ascii="Times New Roman" w:hAnsi="Times New Roman"/>
                <w:sz w:val="17"/>
              </w:rPr>
              <w:t>Revenue (CNY B)</w:t>
            </w:r>
          </w:p>
        </w:tc>
        <w:tc>
          <w:tcPr>
            <w:tcW w:type="dxa" w:w="1872"/>
          </w:tcPr>
          <w:p>
            <w:pPr>
              <w:jc w:val="center"/>
            </w:pPr>
            <w:r>
              <w:rPr>
                <w:rFonts w:ascii="Times New Roman" w:hAnsi="Times New Roman"/>
                <w:sz w:val="17"/>
              </w:rPr>
              <w:t>¥89.18B</w:t>
            </w:r>
          </w:p>
        </w:tc>
        <w:tc>
          <w:tcPr>
            <w:tcW w:type="dxa" w:w="1872"/>
          </w:tcPr>
          <w:p>
            <w:pPr>
              <w:jc w:val="center"/>
            </w:pPr>
            <w:r>
              <w:rPr>
                <w:rFonts w:ascii="Times New Roman" w:hAnsi="Times New Roman"/>
                <w:sz w:val="17"/>
              </w:rPr>
              <w:t>¥90.0B</w:t>
            </w:r>
          </w:p>
        </w:tc>
        <w:tc>
          <w:tcPr>
            <w:tcW w:type="dxa" w:w="2304"/>
          </w:tcPr>
          <w:p>
            <w:pPr>
              <w:jc w:val="center"/>
            </w:pPr>
            <w:r>
              <w:rPr>
                <w:rFonts w:ascii="Times New Roman" w:hAnsi="Times New Roman"/>
                <w:sz w:val="17"/>
              </w:rPr>
              <w:t>(¥0.82B / -0.9%)</w:t>
            </w:r>
          </w:p>
        </w:tc>
        <w:tc>
          <w:tcPr>
            <w:tcW w:type="dxa" w:w="1872"/>
          </w:tcPr>
          <w:p>
            <w:pPr>
              <w:jc w:val="center"/>
            </w:pPr>
            <w:r>
              <w:rPr>
                <w:rFonts w:ascii="Times New Roman" w:hAnsi="Times New Roman"/>
                <w:sz w:val="17"/>
              </w:rPr>
              <w:t>+14.6%</w:t>
            </w:r>
          </w:p>
        </w:tc>
      </w:tr>
      <w:tr>
        <w:tc>
          <w:tcPr>
            <w:tcW w:type="dxa" w:w="2880"/>
            <w:shd w:val="clear" w:color="auto" w:fill="E9EEF4"/>
          </w:tcPr>
          <w:p>
            <w:pPr>
              <w:jc w:val="left"/>
            </w:pPr>
            <w:r>
              <w:rPr>
                <w:rFonts w:ascii="Times New Roman" w:hAnsi="Times New Roman"/>
                <w:sz w:val="17"/>
              </w:rPr>
              <w:t>Net Profit Attr. (CNY B)</w:t>
            </w:r>
          </w:p>
        </w:tc>
        <w:tc>
          <w:tcPr>
            <w:tcW w:type="dxa" w:w="1872"/>
            <w:shd w:val="clear" w:color="auto" w:fill="E9EEF4"/>
          </w:tcPr>
          <w:p>
            <w:pPr>
              <w:jc w:val="center"/>
            </w:pPr>
            <w:r>
              <w:rPr>
                <w:rFonts w:ascii="Times New Roman" w:hAnsi="Times New Roman"/>
                <w:sz w:val="17"/>
              </w:rPr>
              <w:t>¥13.46B</w:t>
            </w:r>
          </w:p>
        </w:tc>
        <w:tc>
          <w:tcPr>
            <w:tcW w:type="dxa" w:w="1872"/>
            <w:shd w:val="clear" w:color="auto" w:fill="E9EEF4"/>
          </w:tcPr>
          <w:p>
            <w:pPr>
              <w:jc w:val="center"/>
            </w:pPr>
            <w:r>
              <w:rPr>
                <w:rFonts w:ascii="Times New Roman" w:hAnsi="Times New Roman"/>
                <w:sz w:val="17"/>
              </w:rPr>
              <w:t>¥15.45B</w:t>
            </w:r>
          </w:p>
        </w:tc>
        <w:tc>
          <w:tcPr>
            <w:tcW w:type="dxa" w:w="2304"/>
            <w:shd w:val="clear" w:color="auto" w:fill="E9EEF4"/>
          </w:tcPr>
          <w:p>
            <w:pPr>
              <w:jc w:val="center"/>
            </w:pPr>
            <w:r>
              <w:rPr>
                <w:rFonts w:ascii="Times New Roman" w:hAnsi="Times New Roman"/>
                <w:sz w:val="17"/>
              </w:rPr>
              <w:t>(¥1.99B / -12.9%)</w:t>
            </w:r>
          </w:p>
        </w:tc>
        <w:tc>
          <w:tcPr>
            <w:tcW w:type="dxa" w:w="1872"/>
            <w:shd w:val="clear" w:color="auto" w:fill="E9EEF4"/>
          </w:tcPr>
          <w:p>
            <w:pPr>
              <w:jc w:val="center"/>
            </w:pPr>
            <w:r>
              <w:rPr>
                <w:rFonts w:ascii="Times New Roman" w:hAnsi="Times New Roman"/>
                <w:sz w:val="17"/>
              </w:rPr>
              <w:t>+22.0%</w:t>
            </w:r>
          </w:p>
        </w:tc>
      </w:tr>
      <w:tr>
        <w:tc>
          <w:tcPr>
            <w:tcW w:type="dxa" w:w="2880"/>
          </w:tcPr>
          <w:p>
            <w:pPr>
              <w:jc w:val="left"/>
            </w:pPr>
            <w:r>
              <w:rPr>
                <w:rFonts w:ascii="Times New Roman" w:hAnsi="Times New Roman"/>
                <w:sz w:val="17"/>
              </w:rPr>
              <w:t>EPS (CNY/share)</w:t>
            </w:r>
          </w:p>
        </w:tc>
        <w:tc>
          <w:tcPr>
            <w:tcW w:type="dxa" w:w="1872"/>
          </w:tcPr>
          <w:p>
            <w:pPr>
              <w:jc w:val="center"/>
            </w:pPr>
            <w:r>
              <w:rPr>
                <w:rFonts w:ascii="Times New Roman" w:hAnsi="Times New Roman"/>
                <w:sz w:val="17"/>
              </w:rPr>
              <w:t>¥6.55</w:t>
            </w:r>
          </w:p>
        </w:tc>
        <w:tc>
          <w:tcPr>
            <w:tcW w:type="dxa" w:w="1872"/>
          </w:tcPr>
          <w:p>
            <w:pPr>
              <w:jc w:val="center"/>
            </w:pPr>
            <w:r>
              <w:rPr>
                <w:rFonts w:ascii="Times New Roman" w:hAnsi="Times New Roman"/>
                <w:sz w:val="17"/>
              </w:rPr>
              <w:t>¥7.50E</w:t>
            </w:r>
          </w:p>
        </w:tc>
        <w:tc>
          <w:tcPr>
            <w:tcW w:type="dxa" w:w="2304"/>
          </w:tcPr>
          <w:p>
            <w:pPr>
              <w:jc w:val="center"/>
            </w:pPr>
            <w:r>
              <w:rPr>
                <w:rFonts w:ascii="Times New Roman" w:hAnsi="Times New Roman"/>
                <w:sz w:val="17"/>
              </w:rPr>
              <w:t>(¥0.95 / -12.7%)</w:t>
            </w:r>
          </w:p>
        </w:tc>
        <w:tc>
          <w:tcPr>
            <w:tcW w:type="dxa" w:w="1872"/>
          </w:tcPr>
          <w:p>
            <w:pPr>
              <w:jc w:val="center"/>
            </w:pPr>
            <w:r>
              <w:rPr>
                <w:rFonts w:ascii="Times New Roman" w:hAnsi="Times New Roman"/>
                <w:sz w:val="17"/>
              </w:rPr>
              <w:t>+23.1%</w:t>
            </w:r>
          </w:p>
        </w:tc>
      </w:tr>
      <w:tr>
        <w:tc>
          <w:tcPr>
            <w:tcW w:type="dxa" w:w="2880"/>
            <w:shd w:val="clear" w:color="auto" w:fill="E9EEF4"/>
          </w:tcPr>
          <w:p>
            <w:pPr>
              <w:jc w:val="left"/>
            </w:pPr>
            <w:r>
              <w:rPr>
                <w:rFonts w:ascii="Times New Roman" w:hAnsi="Times New Roman"/>
                <w:sz w:val="17"/>
              </w:rPr>
              <w:t>Gross Margin (%)</w:t>
            </w:r>
          </w:p>
        </w:tc>
        <w:tc>
          <w:tcPr>
            <w:tcW w:type="dxa" w:w="1872"/>
            <w:shd w:val="clear" w:color="auto" w:fill="E9EEF4"/>
          </w:tcPr>
          <w:p>
            <w:pPr>
              <w:jc w:val="center"/>
            </w:pPr>
            <w:r>
              <w:rPr>
                <w:rFonts w:ascii="Times New Roman" w:hAnsi="Times New Roman"/>
                <w:sz w:val="17"/>
              </w:rPr>
              <w:t>31.83%</w:t>
            </w:r>
          </w:p>
        </w:tc>
        <w:tc>
          <w:tcPr>
            <w:tcW w:type="dxa" w:w="1872"/>
            <w:shd w:val="clear" w:color="auto" w:fill="E9EEF4"/>
          </w:tcPr>
          <w:p>
            <w:pPr>
              <w:jc w:val="center"/>
            </w:pPr>
            <w:r>
              <w:rPr>
                <w:rFonts w:ascii="Times New Roman" w:hAnsi="Times New Roman"/>
                <w:sz w:val="17"/>
              </w:rPr>
              <w:t>~30.0%</w:t>
            </w:r>
          </w:p>
        </w:tc>
        <w:tc>
          <w:tcPr>
            <w:tcW w:type="dxa" w:w="2304"/>
            <w:shd w:val="clear" w:color="auto" w:fill="E9EEF4"/>
          </w:tcPr>
          <w:p>
            <w:pPr>
              <w:jc w:val="center"/>
            </w:pPr>
            <w:r>
              <w:rPr>
                <w:rFonts w:ascii="Times New Roman" w:hAnsi="Times New Roman"/>
                <w:sz w:val="17"/>
              </w:rPr>
              <w:t>+183 bps</w:t>
            </w:r>
          </w:p>
        </w:tc>
        <w:tc>
          <w:tcPr>
            <w:tcW w:type="dxa" w:w="1872"/>
            <w:shd w:val="clear" w:color="auto" w:fill="E9EEF4"/>
          </w:tcPr>
          <w:p>
            <w:pPr>
              <w:jc w:val="center"/>
            </w:pPr>
            <w:r>
              <w:rPr>
                <w:rFonts w:ascii="Times New Roman" w:hAnsi="Times New Roman"/>
                <w:sz w:val="17"/>
              </w:rPr>
              <w:t>+631 bps YoY</w:t>
            </w:r>
          </w:p>
        </w:tc>
      </w:tr>
      <w:tr>
        <w:tc>
          <w:tcPr>
            <w:tcW w:type="dxa" w:w="2880"/>
          </w:tcPr>
          <w:p>
            <w:pPr>
              <w:jc w:val="left"/>
            </w:pPr>
            <w:r>
              <w:rPr>
                <w:rFonts w:ascii="Times New Roman" w:hAnsi="Times New Roman"/>
                <w:sz w:val="17"/>
              </w:rPr>
              <w:t>Net Margin (%)</w:t>
            </w:r>
          </w:p>
        </w:tc>
        <w:tc>
          <w:tcPr>
            <w:tcW w:type="dxa" w:w="1872"/>
          </w:tcPr>
          <w:p>
            <w:pPr>
              <w:jc w:val="center"/>
            </w:pPr>
            <w:r>
              <w:rPr>
                <w:rFonts w:ascii="Times New Roman" w:hAnsi="Times New Roman"/>
                <w:sz w:val="17"/>
              </w:rPr>
              <w:t>15.17%</w:t>
            </w:r>
          </w:p>
        </w:tc>
        <w:tc>
          <w:tcPr>
            <w:tcW w:type="dxa" w:w="1872"/>
          </w:tcPr>
          <w:p>
            <w:pPr>
              <w:jc w:val="center"/>
            </w:pPr>
            <w:r>
              <w:rPr>
                <w:rFonts w:ascii="Times New Roman" w:hAnsi="Times New Roman"/>
                <w:sz w:val="17"/>
              </w:rPr>
              <w:t>~17.0%</w:t>
            </w:r>
          </w:p>
        </w:tc>
        <w:tc>
          <w:tcPr>
            <w:tcW w:type="dxa" w:w="2304"/>
          </w:tcPr>
          <w:p>
            <w:pPr>
              <w:jc w:val="center"/>
            </w:pPr>
            <w:r>
              <w:rPr>
                <w:rFonts w:ascii="Times New Roman" w:hAnsi="Times New Roman"/>
                <w:sz w:val="17"/>
              </w:rPr>
              <w:t>-183 bps</w:t>
            </w:r>
          </w:p>
        </w:tc>
        <w:tc>
          <w:tcPr>
            <w:tcW w:type="dxa" w:w="1872"/>
          </w:tcPr>
          <w:p>
            <w:pPr>
              <w:jc w:val="center"/>
            </w:pPr>
            <w:r>
              <w:rPr>
                <w:rFonts w:ascii="Times New Roman" w:hAnsi="Times New Roman"/>
                <w:sz w:val="17"/>
              </w:rPr>
              <w:t>+488 bps YoY</w:t>
            </w:r>
          </w:p>
        </w:tc>
      </w:tr>
      <w:tr>
        <w:tc>
          <w:tcPr>
            <w:tcW w:type="dxa" w:w="2880"/>
            <w:shd w:val="clear" w:color="auto" w:fill="E9EEF4"/>
          </w:tcPr>
          <w:p>
            <w:pPr>
              <w:jc w:val="left"/>
            </w:pPr>
            <w:r>
              <w:rPr>
                <w:rFonts w:ascii="Times New Roman" w:hAnsi="Times New Roman"/>
                <w:sz w:val="17"/>
              </w:rPr>
              <w:t>Q4 Revenue (CNY B)</w:t>
            </w:r>
          </w:p>
        </w:tc>
        <w:tc>
          <w:tcPr>
            <w:tcW w:type="dxa" w:w="1872"/>
            <w:shd w:val="clear" w:color="auto" w:fill="E9EEF4"/>
          </w:tcPr>
          <w:p>
            <w:pPr>
              <w:jc w:val="center"/>
            </w:pPr>
            <w:r>
              <w:rPr>
                <w:rFonts w:ascii="Times New Roman" w:hAnsi="Times New Roman"/>
                <w:sz w:val="17"/>
              </w:rPr>
              <w:t>¥22.78B</w:t>
            </w:r>
          </w:p>
        </w:tc>
        <w:tc>
          <w:tcPr>
            <w:tcW w:type="dxa" w:w="1872"/>
            <w:shd w:val="clear" w:color="auto" w:fill="E9EEF4"/>
          </w:tcPr>
          <w:p>
            <w:pPr>
              <w:jc w:val="center"/>
            </w:pPr>
            <w:r>
              <w:rPr>
                <w:rFonts w:ascii="Times New Roman" w:hAnsi="Times New Roman"/>
                <w:sz w:val="17"/>
              </w:rPr>
              <w:t>~¥24.0B</w:t>
            </w:r>
          </w:p>
        </w:tc>
        <w:tc>
          <w:tcPr>
            <w:tcW w:type="dxa" w:w="2304"/>
            <w:shd w:val="clear" w:color="auto" w:fill="E9EEF4"/>
          </w:tcPr>
          <w:p>
            <w:pPr>
              <w:jc w:val="center"/>
            </w:pPr>
            <w:r>
              <w:rPr>
                <w:rFonts w:ascii="Times New Roman" w:hAnsi="Times New Roman"/>
                <w:sz w:val="17"/>
              </w:rPr>
              <w:t>(¥1.22B / -5.1%)</w:t>
            </w:r>
          </w:p>
        </w:tc>
        <w:tc>
          <w:tcPr>
            <w:tcW w:type="dxa" w:w="1872"/>
            <w:shd w:val="clear" w:color="auto" w:fill="E9EEF4"/>
          </w:tcPr>
          <w:p>
            <w:pPr>
              <w:jc w:val="center"/>
            </w:pPr>
            <w:r>
              <w:rPr>
                <w:rFonts w:ascii="Times New Roman" w:hAnsi="Times New Roman"/>
                <w:sz w:val="17"/>
              </w:rPr>
              <w:t>-18.4% YoY</w:t>
            </w:r>
          </w:p>
        </w:tc>
      </w:tr>
      <w:tr>
        <w:tc>
          <w:tcPr>
            <w:tcW w:type="dxa" w:w="2880"/>
          </w:tcPr>
          <w:p>
            <w:pPr>
              <w:jc w:val="left"/>
            </w:pPr>
            <w:r>
              <w:rPr>
                <w:rFonts w:ascii="Times New Roman" w:hAnsi="Times New Roman"/>
                <w:sz w:val="17"/>
              </w:rPr>
              <w:t>Q4 Net Profit (CNY B)</w:t>
            </w:r>
          </w:p>
        </w:tc>
        <w:tc>
          <w:tcPr>
            <w:tcW w:type="dxa" w:w="1872"/>
          </w:tcPr>
          <w:p>
            <w:pPr>
              <w:jc w:val="center"/>
            </w:pPr>
            <w:r>
              <w:rPr>
                <w:rFonts w:ascii="Times New Roman" w:hAnsi="Times New Roman"/>
                <w:sz w:val="17"/>
              </w:rPr>
              <w:t>¥1.58B</w:t>
            </w:r>
          </w:p>
        </w:tc>
        <w:tc>
          <w:tcPr>
            <w:tcW w:type="dxa" w:w="1872"/>
          </w:tcPr>
          <w:p>
            <w:pPr>
              <w:jc w:val="center"/>
            </w:pPr>
            <w:r>
              <w:rPr>
                <w:rFonts w:ascii="Times New Roman" w:hAnsi="Times New Roman"/>
                <w:sz w:val="17"/>
              </w:rPr>
              <w:t>~¥3.5B</w:t>
            </w:r>
          </w:p>
        </w:tc>
        <w:tc>
          <w:tcPr>
            <w:tcW w:type="dxa" w:w="2304"/>
          </w:tcPr>
          <w:p>
            <w:pPr>
              <w:jc w:val="center"/>
            </w:pPr>
            <w:r>
              <w:rPr>
                <w:rFonts w:ascii="Times New Roman" w:hAnsi="Times New Roman"/>
                <w:sz w:val="17"/>
              </w:rPr>
              <w:t>(¥1.92B / -54.9%)</w:t>
            </w:r>
          </w:p>
        </w:tc>
        <w:tc>
          <w:tcPr>
            <w:tcW w:type="dxa" w:w="1872"/>
          </w:tcPr>
          <w:p>
            <w:pPr>
              <w:jc w:val="center"/>
            </w:pPr>
            <w:r>
              <w:rPr>
                <w:rFonts w:ascii="Times New Roman" w:hAnsi="Times New Roman"/>
                <w:sz w:val="17"/>
              </w:rPr>
              <w:t>-54.0% YoY</w:t>
            </w:r>
          </w:p>
        </w:tc>
      </w:tr>
    </w:tbl>
    <w:p>
      <w:pPr>
        <w:spacing w:before="20" w:after="160"/>
        <w:ind w:left="0"/>
      </w:pPr>
      <w:r>
        <w:rPr>
          <w:i/>
          <w:color w:val="808080"/>
          <w:sz w:val="15"/>
        </w:rPr>
        <w:t>Source: Sungrow 2025 Annual Report (2026-04-01); Consensus estimates from Bloomberg/Futunn (pre-announcement)</w:t>
      </w:r>
      <w:r>
        <w:rPr>
          <w:rFonts w:ascii="Times New Roman" w:hAnsi="Times New Roman"/>
          <w:b w:val="0"/>
          <w:i/>
          <w:color w:val="808080"/>
          <w:sz w:val="15"/>
        </w:rPr>
      </w:r>
    </w:p>
    <w:p/>
    <w:p>
      <w:pPr>
        <w:spacing w:before="80" w:after="80"/>
        <w:ind w:left="0"/>
      </w:pPr>
      <w:r>
        <w:rPr>
          <w:rFonts w:ascii="Times New Roman" w:hAnsi="Times New Roman"/>
          <w:b/>
          <w:i w:val="0"/>
          <w:color w:val="1F4E79"/>
          <w:sz w:val="21"/>
        </w:rPr>
        <w:t>KEY TAKEAWAYS</w:t>
      </w:r>
    </w:p>
    <w:p>
      <w:pPr>
        <w:spacing w:before="80" w:after="40"/>
        <w:ind w:left="0"/>
      </w:pPr>
      <w:r>
        <w:rPr>
          <w:rFonts w:ascii="Times New Roman" w:hAnsi="Times New Roman"/>
          <w:b/>
          <w:i w:val="0"/>
          <w:color w:val="1F4E79"/>
          <w:sz w:val="19"/>
        </w:rPr>
        <w:t>■ MISS — FY2025 net profit missed consensus by 12.9%; Q4 earnings collapsed -54% YoY on margin compression</w:t>
      </w:r>
    </w:p>
    <w:p>
      <w:pPr>
        <w:spacing w:before="0" w:after="160"/>
        <w:ind w:left="240"/>
      </w:pPr>
      <w:r>
        <w:rPr>
          <w:rFonts w:ascii="Times New Roman" w:hAnsi="Times New Roman"/>
          <w:b w:val="0"/>
          <w:i w:val="0"/>
          <w:sz w:val="19"/>
        </w:rPr>
        <w:t>FY2025 revenue of ¥89.18B came in broadly in line with consensus (miss of only ¥0.82B, -0.9%), but net profit attributable to shareholders of ¥13.46B was materially below the ¥15.45B consensus — a ¥1.99B shortfall driven entirely by Q4's dramatic margin implosion. Q4 net profit fell -54% YoY and -62% QoQ to just ¥1.58B as storage gross margins compressed ~17 percentage points QoQ (to ~24%) due to: (1) revenue mix shift toward lower-margin new energy investment &amp; development projects concentrated in Q4; (2) elevated lithium carbonate prices that could not be passed through on legacy fixed-price contracts; and (3) the unwinding of Q3's unusually high-margin overseas storage project base.</w:t>
      </w:r>
    </w:p>
    <w:p>
      <w:pPr>
        <w:spacing w:before="80" w:after="40"/>
        <w:ind w:left="0"/>
      </w:pPr>
      <w:r>
        <w:rPr>
          <w:rFonts w:ascii="Times New Roman" w:hAnsi="Times New Roman"/>
          <w:b/>
          <w:i w:val="0"/>
          <w:color w:val="1F4E79"/>
          <w:sz w:val="19"/>
        </w:rPr>
        <w:t>■ FY2025 full-year results solid — revenue +15%, net profit +22%, gross margins at multi-year highs</w:t>
      </w:r>
    </w:p>
    <w:p>
      <w:pPr>
        <w:spacing w:before="0" w:after="160"/>
        <w:ind w:left="240"/>
      </w:pPr>
      <w:r>
        <w:rPr>
          <w:rFonts w:ascii="Times New Roman" w:hAnsi="Times New Roman"/>
          <w:b w:val="0"/>
          <w:i w:val="0"/>
          <w:sz w:val="19"/>
        </w:rPr>
        <w:t>Full-year 2025 results were respectable: revenue grew 14.6% YoY to ¥89.18B, net profit grew 22.0% to ¥13.46B, and gross margin expanded significantly to 31.83% (+631bps YoY), reflecting a favorable product mix driven by high-margin overseas energy storage shipments. Operating cash flow per share grew 40.2% YoY to ¥8.16, demonstrating strong cash generation. ROIC improved to 25.01%, highlighting capital efficiency.</w:t>
      </w:r>
    </w:p>
    <w:p>
      <w:pPr>
        <w:spacing w:before="80" w:after="40"/>
        <w:ind w:left="0"/>
      </w:pPr>
      <w:r>
        <w:rPr>
          <w:rFonts w:ascii="Times New Roman" w:hAnsi="Times New Roman"/>
          <w:b/>
          <w:i w:val="0"/>
          <w:color w:val="1F4E79"/>
          <w:sz w:val="19"/>
        </w:rPr>
        <w:t>■ Energy storage remains the engine — 43 GWh shipped (+54% YoY), overseas +89% YoY; 2026 target: &gt;60 GWh</w:t>
      </w:r>
    </w:p>
    <w:p>
      <w:pPr>
        <w:spacing w:before="0" w:after="160"/>
        <w:ind w:left="240"/>
      </w:pPr>
      <w:r>
        <w:rPr>
          <w:rFonts w:ascii="Times New Roman" w:hAnsi="Times New Roman"/>
          <w:b w:val="0"/>
          <w:i w:val="0"/>
          <w:sz w:val="19"/>
        </w:rPr>
        <w:t>Energy storage system shipments surged 53.6% YoY to 43 GWh in FY2025, driven by explosive overseas growth (+89% YoY to 36 GWh). Domestic storage declined 22% YoY (7 GWh), but this was offset by international demand diversification. The 43 GWh positions Sungrow as a global leader. For 2026, management guided energy storage shipments of &gt;60 GWh (+40% YoY), supported by continued global market growth expected at 30-50%.</w:t>
      </w:r>
    </w:p>
    <w:p>
      <w:pPr>
        <w:spacing w:before="80" w:after="40"/>
        <w:ind w:left="0"/>
      </w:pPr>
      <w:r>
        <w:rPr>
          <w:rFonts w:ascii="Times New Roman" w:hAnsi="Times New Roman"/>
          <w:b/>
          <w:i w:val="0"/>
          <w:color w:val="1F4E79"/>
          <w:sz w:val="19"/>
        </w:rPr>
        <w:t>■ Maintaining OUTPERFORM with revised CNY 158 price target (from CNY 175); Q4 weakness does not impair long-term thesis</w:t>
      </w:r>
    </w:p>
    <w:p>
      <w:pPr>
        <w:spacing w:before="0" w:after="160"/>
        <w:ind w:left="240"/>
      </w:pPr>
      <w:r>
        <w:rPr>
          <w:rFonts w:ascii="Times New Roman" w:hAnsi="Times New Roman"/>
          <w:b w:val="0"/>
          <w:i w:val="0"/>
          <w:sz w:val="19"/>
        </w:rPr>
        <w:t>While Q4's margin disappointment is sharp, we view it as a one-time mix and raw material timing issue rather than a structural deterioration. The Q4 sequential margin decline is unlikely to persist given: (i) overseas storage demand trajectory is intact; (ii) lithium prices have since stabilized; (iii) Sungrow's dominant market position in global storage. We reduce our FY2026E net profit to ¥16.8B (from ¥18.0B) but retain our OUTPERFORM rating. Our revised ¥158 price target implies 20x FY2026E P/E, a slight discount to the historical average of ~25x to account for near-term margin uncertainty.</w:t>
      </w:r>
    </w:p>
    <w:p>
      <w:pPr>
        <w:spacing w:before="40" w:after="40"/>
        <w:pBdr>
          <w:bottom w:val="single" w:sz="6" w:space="1" w:color="1F4E79"/>
        </w:pBdr>
      </w:pPr>
    </w:p>
    <w:p>
      <w:pPr>
        <w:spacing w:before="120" w:after="80"/>
        <w:ind w:left="0"/>
      </w:pPr>
      <w:r>
        <w:rPr>
          <w:rFonts w:ascii="Times New Roman" w:hAnsi="Times New Roman"/>
          <w:b/>
          <w:i w:val="0"/>
          <w:color w:val="1F4E79"/>
          <w:sz w:val="21"/>
        </w:rPr>
        <w:t>UPDATED FINANCIAL ESTIMATES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4E79"/>
          </w:tcPr>
          <w:p>
            <w:pPr>
              <w:jc w:val="center"/>
            </w:pPr>
            <w:r>
              <w:rPr>
                <w:rFonts w:ascii="Times New Roman" w:hAnsi="Times New Roman"/>
                <w:b/>
                <w:color w:val="FFFFFF"/>
                <w:sz w:val="17"/>
              </w:rPr>
              <w:t>Metric</w:t>
            </w:r>
          </w:p>
        </w:tc>
        <w:tc>
          <w:tcPr>
            <w:tcW w:type="dxa" w:w="1584"/>
            <w:shd w:val="clear" w:color="auto" w:fill="1F4E79"/>
          </w:tcPr>
          <w:p>
            <w:pPr>
              <w:jc w:val="center"/>
            </w:pPr>
            <w:r>
              <w:rPr>
                <w:rFonts w:ascii="Times New Roman" w:hAnsi="Times New Roman"/>
                <w:b/>
                <w:color w:val="FFFFFF"/>
                <w:sz w:val="17"/>
              </w:rPr>
              <w:t>FY2024A</w:t>
            </w:r>
          </w:p>
        </w:tc>
        <w:tc>
          <w:tcPr>
            <w:tcW w:type="dxa" w:w="1584"/>
            <w:shd w:val="clear" w:color="auto" w:fill="1F4E79"/>
          </w:tcPr>
          <w:p>
            <w:pPr>
              <w:jc w:val="center"/>
            </w:pPr>
            <w:r>
              <w:rPr>
                <w:rFonts w:ascii="Times New Roman" w:hAnsi="Times New Roman"/>
                <w:b/>
                <w:color w:val="FFFFFF"/>
                <w:sz w:val="17"/>
              </w:rPr>
              <w:t>FY2025A</w:t>
            </w:r>
          </w:p>
        </w:tc>
        <w:tc>
          <w:tcPr>
            <w:tcW w:type="dxa" w:w="1872"/>
            <w:shd w:val="clear" w:color="auto" w:fill="1F4E79"/>
          </w:tcPr>
          <w:p>
            <w:pPr>
              <w:jc w:val="center"/>
            </w:pPr>
            <w:r>
              <w:rPr>
                <w:rFonts w:ascii="Times New Roman" w:hAnsi="Times New Roman"/>
                <w:b/>
                <w:color w:val="FFFFFF"/>
                <w:sz w:val="17"/>
              </w:rPr>
              <w:t>FY2025E (Prior)</w:t>
            </w:r>
          </w:p>
        </w:tc>
        <w:tc>
          <w:tcPr>
            <w:tcW w:type="dxa" w:w="1872"/>
            <w:shd w:val="clear" w:color="auto" w:fill="1F4E79"/>
          </w:tcPr>
          <w:p>
            <w:pPr>
              <w:jc w:val="center"/>
            </w:pPr>
            <w:r>
              <w:rPr>
                <w:rFonts w:ascii="Times New Roman" w:hAnsi="Times New Roman"/>
                <w:b/>
                <w:color w:val="FFFFFF"/>
                <w:sz w:val="17"/>
              </w:rPr>
              <w:t>FY2026E (New)</w:t>
            </w:r>
          </w:p>
        </w:tc>
        <w:tc>
          <w:tcPr>
            <w:tcW w:type="dxa" w:w="1872"/>
            <w:shd w:val="clear" w:color="auto" w:fill="1F4E79"/>
          </w:tcPr>
          <w:p>
            <w:pPr>
              <w:jc w:val="center"/>
            </w:pPr>
            <w:r>
              <w:rPr>
                <w:rFonts w:ascii="Times New Roman" w:hAnsi="Times New Roman"/>
                <w:b/>
                <w:color w:val="FFFFFF"/>
                <w:sz w:val="17"/>
              </w:rPr>
              <w:t>FY2026E (Prior)</w:t>
            </w:r>
          </w:p>
        </w:tc>
      </w:tr>
      <w:tr>
        <w:tc>
          <w:tcPr>
            <w:tcW w:type="dxa" w:w="2880"/>
          </w:tcPr>
          <w:p>
            <w:pPr>
              <w:jc w:val="left"/>
            </w:pPr>
            <w:r>
              <w:rPr>
                <w:rFonts w:ascii="Times New Roman" w:hAnsi="Times New Roman"/>
                <w:sz w:val="17"/>
              </w:rPr>
              <w:t>Revenue (CNY B)</w:t>
            </w:r>
          </w:p>
        </w:tc>
        <w:tc>
          <w:tcPr>
            <w:tcW w:type="dxa" w:w="1584"/>
          </w:tcPr>
          <w:p>
            <w:pPr>
              <w:jc w:val="center"/>
            </w:pPr>
            <w:r>
              <w:rPr>
                <w:rFonts w:ascii="Times New Roman" w:hAnsi="Times New Roman"/>
                <w:sz w:val="17"/>
              </w:rPr>
              <w:t>¥77.86</w:t>
            </w:r>
          </w:p>
        </w:tc>
        <w:tc>
          <w:tcPr>
            <w:tcW w:type="dxa" w:w="1584"/>
          </w:tcPr>
          <w:p>
            <w:pPr>
              <w:jc w:val="center"/>
            </w:pPr>
            <w:r>
              <w:rPr>
                <w:rFonts w:ascii="Times New Roman" w:hAnsi="Times New Roman"/>
                <w:sz w:val="17"/>
              </w:rPr>
              <w:t>¥89.18</w:t>
            </w:r>
          </w:p>
        </w:tc>
        <w:tc>
          <w:tcPr>
            <w:tcW w:type="dxa" w:w="1872"/>
          </w:tcPr>
          <w:p>
            <w:pPr>
              <w:jc w:val="center"/>
            </w:pPr>
            <w:r>
              <w:rPr>
                <w:rFonts w:ascii="Times New Roman" w:hAnsi="Times New Roman"/>
                <w:sz w:val="17"/>
              </w:rPr>
              <w:t>¥90.0</w:t>
            </w:r>
          </w:p>
        </w:tc>
        <w:tc>
          <w:tcPr>
            <w:tcW w:type="dxa" w:w="1872"/>
          </w:tcPr>
          <w:p>
            <w:pPr>
              <w:jc w:val="center"/>
            </w:pPr>
            <w:r>
              <w:rPr>
                <w:rFonts w:ascii="Times New Roman" w:hAnsi="Times New Roman"/>
                <w:sz w:val="17"/>
              </w:rPr>
              <w:t>¥102.0</w:t>
            </w:r>
          </w:p>
        </w:tc>
        <w:tc>
          <w:tcPr>
            <w:tcW w:type="dxa" w:w="1872"/>
          </w:tcPr>
          <w:p>
            <w:pPr>
              <w:jc w:val="center"/>
            </w:pPr>
            <w:r>
              <w:rPr>
                <w:rFonts w:ascii="Times New Roman" w:hAnsi="Times New Roman"/>
                <w:sz w:val="17"/>
              </w:rPr>
              <w:t>¥108.0</w:t>
            </w:r>
          </w:p>
        </w:tc>
      </w:tr>
      <w:tr>
        <w:tc>
          <w:tcPr>
            <w:tcW w:type="dxa" w:w="2880"/>
            <w:shd w:val="clear" w:color="auto" w:fill="E9EEF4"/>
          </w:tcPr>
          <w:p>
            <w:pPr>
              <w:jc w:val="left"/>
            </w:pPr>
            <w:r>
              <w:rPr>
                <w:rFonts w:ascii="Times New Roman" w:hAnsi="Times New Roman"/>
                <w:sz w:val="17"/>
              </w:rPr>
              <w:t>Revenue Growth (%)</w:t>
            </w:r>
          </w:p>
        </w:tc>
        <w:tc>
          <w:tcPr>
            <w:tcW w:type="dxa" w:w="1584"/>
            <w:shd w:val="clear" w:color="auto" w:fill="E9EEF4"/>
          </w:tcPr>
          <w:p>
            <w:pPr>
              <w:jc w:val="center"/>
            </w:pPr>
            <w:r>
              <w:rPr>
                <w:rFonts w:ascii="Times New Roman" w:hAnsi="Times New Roman"/>
                <w:sz w:val="17"/>
              </w:rPr>
              <w:t>+7.8%</w:t>
            </w:r>
          </w:p>
        </w:tc>
        <w:tc>
          <w:tcPr>
            <w:tcW w:type="dxa" w:w="1584"/>
            <w:shd w:val="clear" w:color="auto" w:fill="E9EEF4"/>
          </w:tcPr>
          <w:p>
            <w:pPr>
              <w:jc w:val="center"/>
            </w:pPr>
            <w:r>
              <w:rPr>
                <w:rFonts w:ascii="Times New Roman" w:hAnsi="Times New Roman"/>
                <w:sz w:val="17"/>
              </w:rPr>
              <w:t>+14.6%</w:t>
            </w:r>
          </w:p>
        </w:tc>
        <w:tc>
          <w:tcPr>
            <w:tcW w:type="dxa" w:w="1872"/>
            <w:shd w:val="clear" w:color="auto" w:fill="E9EEF4"/>
          </w:tcPr>
          <w:p>
            <w:pPr>
              <w:jc w:val="center"/>
            </w:pPr>
            <w:r>
              <w:rPr>
                <w:rFonts w:ascii="Times New Roman" w:hAnsi="Times New Roman"/>
                <w:sz w:val="17"/>
              </w:rPr>
              <w:t>+15.6%</w:t>
            </w:r>
          </w:p>
        </w:tc>
        <w:tc>
          <w:tcPr>
            <w:tcW w:type="dxa" w:w="1872"/>
            <w:shd w:val="clear" w:color="auto" w:fill="E9EEF4"/>
          </w:tcPr>
          <w:p>
            <w:pPr>
              <w:jc w:val="center"/>
            </w:pPr>
            <w:r>
              <w:rPr>
                <w:rFonts w:ascii="Times New Roman" w:hAnsi="Times New Roman"/>
                <w:sz w:val="17"/>
              </w:rPr>
              <w:t>+14.4%</w:t>
            </w:r>
          </w:p>
        </w:tc>
        <w:tc>
          <w:tcPr>
            <w:tcW w:type="dxa" w:w="1872"/>
            <w:shd w:val="clear" w:color="auto" w:fill="E9EEF4"/>
          </w:tcPr>
          <w:p>
            <w:pPr>
              <w:jc w:val="center"/>
            </w:pPr>
            <w:r>
              <w:rPr>
                <w:rFonts w:ascii="Times New Roman" w:hAnsi="Times New Roman"/>
                <w:sz w:val="17"/>
              </w:rPr>
              <w:t>+20.0%</w:t>
            </w:r>
          </w:p>
        </w:tc>
      </w:tr>
      <w:tr>
        <w:tc>
          <w:tcPr>
            <w:tcW w:type="dxa" w:w="2880"/>
          </w:tcPr>
          <w:p>
            <w:pPr>
              <w:jc w:val="left"/>
            </w:pPr>
            <w:r>
              <w:rPr>
                <w:rFonts w:ascii="Times New Roman" w:hAnsi="Times New Roman"/>
                <w:sz w:val="17"/>
              </w:rPr>
              <w:t>Gross Margin (%)</w:t>
            </w:r>
          </w:p>
        </w:tc>
        <w:tc>
          <w:tcPr>
            <w:tcW w:type="dxa" w:w="1584"/>
          </w:tcPr>
          <w:p>
            <w:pPr>
              <w:jc w:val="center"/>
            </w:pPr>
            <w:r>
              <w:rPr>
                <w:rFonts w:ascii="Times New Roman" w:hAnsi="Times New Roman"/>
                <w:sz w:val="17"/>
              </w:rPr>
              <w:t>25.5%</w:t>
            </w:r>
          </w:p>
        </w:tc>
        <w:tc>
          <w:tcPr>
            <w:tcW w:type="dxa" w:w="1584"/>
          </w:tcPr>
          <w:p>
            <w:pPr>
              <w:jc w:val="center"/>
            </w:pPr>
            <w:r>
              <w:rPr>
                <w:rFonts w:ascii="Times New Roman" w:hAnsi="Times New Roman"/>
                <w:sz w:val="17"/>
              </w:rPr>
              <w:t>31.83%</w:t>
            </w:r>
          </w:p>
        </w:tc>
        <w:tc>
          <w:tcPr>
            <w:tcW w:type="dxa" w:w="1872"/>
          </w:tcPr>
          <w:p>
            <w:pPr>
              <w:jc w:val="center"/>
            </w:pPr>
            <w:r>
              <w:rPr>
                <w:rFonts w:ascii="Times New Roman" w:hAnsi="Times New Roman"/>
                <w:sz w:val="17"/>
              </w:rPr>
              <w:t>~30.0%</w:t>
            </w:r>
          </w:p>
        </w:tc>
        <w:tc>
          <w:tcPr>
            <w:tcW w:type="dxa" w:w="1872"/>
          </w:tcPr>
          <w:p>
            <w:pPr>
              <w:jc w:val="center"/>
            </w:pPr>
            <w:r>
              <w:rPr>
                <w:rFonts w:ascii="Times New Roman" w:hAnsi="Times New Roman"/>
                <w:sz w:val="17"/>
              </w:rPr>
              <w:t>32.0%</w:t>
            </w:r>
          </w:p>
        </w:tc>
        <w:tc>
          <w:tcPr>
            <w:tcW w:type="dxa" w:w="1872"/>
          </w:tcPr>
          <w:p>
            <w:pPr>
              <w:jc w:val="center"/>
            </w:pPr>
            <w:r>
              <w:rPr>
                <w:rFonts w:ascii="Times New Roman" w:hAnsi="Times New Roman"/>
                <w:sz w:val="17"/>
              </w:rPr>
              <w:t>32.5%</w:t>
            </w:r>
          </w:p>
        </w:tc>
      </w:tr>
      <w:tr>
        <w:tc>
          <w:tcPr>
            <w:tcW w:type="dxa" w:w="2880"/>
            <w:shd w:val="clear" w:color="auto" w:fill="E9EEF4"/>
          </w:tcPr>
          <w:p>
            <w:pPr>
              <w:jc w:val="left"/>
            </w:pPr>
            <w:r>
              <w:rPr>
                <w:rFonts w:ascii="Times New Roman" w:hAnsi="Times New Roman"/>
                <w:sz w:val="17"/>
              </w:rPr>
              <w:t>Net Profit Attr. (CNY B)</w:t>
            </w:r>
          </w:p>
        </w:tc>
        <w:tc>
          <w:tcPr>
            <w:tcW w:type="dxa" w:w="1584"/>
            <w:shd w:val="clear" w:color="auto" w:fill="E9EEF4"/>
          </w:tcPr>
          <w:p>
            <w:pPr>
              <w:jc w:val="center"/>
            </w:pPr>
            <w:r>
              <w:rPr>
                <w:rFonts w:ascii="Times New Roman" w:hAnsi="Times New Roman"/>
                <w:sz w:val="17"/>
              </w:rPr>
              <w:t>¥11.04</w:t>
            </w:r>
          </w:p>
        </w:tc>
        <w:tc>
          <w:tcPr>
            <w:tcW w:type="dxa" w:w="1584"/>
            <w:shd w:val="clear" w:color="auto" w:fill="E9EEF4"/>
          </w:tcPr>
          <w:p>
            <w:pPr>
              <w:jc w:val="center"/>
            </w:pPr>
            <w:r>
              <w:rPr>
                <w:rFonts w:ascii="Times New Roman" w:hAnsi="Times New Roman"/>
                <w:sz w:val="17"/>
              </w:rPr>
              <w:t>¥13.46</w:t>
            </w:r>
          </w:p>
        </w:tc>
        <w:tc>
          <w:tcPr>
            <w:tcW w:type="dxa" w:w="1872"/>
            <w:shd w:val="clear" w:color="auto" w:fill="E9EEF4"/>
          </w:tcPr>
          <w:p>
            <w:pPr>
              <w:jc w:val="center"/>
            </w:pPr>
            <w:r>
              <w:rPr>
                <w:rFonts w:ascii="Times New Roman" w:hAnsi="Times New Roman"/>
                <w:sz w:val="17"/>
              </w:rPr>
              <w:t>¥15.45</w:t>
            </w:r>
          </w:p>
        </w:tc>
        <w:tc>
          <w:tcPr>
            <w:tcW w:type="dxa" w:w="1872"/>
            <w:shd w:val="clear" w:color="auto" w:fill="E9EEF4"/>
          </w:tcPr>
          <w:p>
            <w:pPr>
              <w:jc w:val="center"/>
            </w:pPr>
            <w:r>
              <w:rPr>
                <w:rFonts w:ascii="Times New Roman" w:hAnsi="Times New Roman"/>
                <w:sz w:val="17"/>
              </w:rPr>
              <w:t>¥16.77</w:t>
            </w:r>
          </w:p>
        </w:tc>
        <w:tc>
          <w:tcPr>
            <w:tcW w:type="dxa" w:w="1872"/>
            <w:shd w:val="clear" w:color="auto" w:fill="E9EEF4"/>
          </w:tcPr>
          <w:p>
            <w:pPr>
              <w:jc w:val="center"/>
            </w:pPr>
            <w:r>
              <w:rPr>
                <w:rFonts w:ascii="Times New Roman" w:hAnsi="Times New Roman"/>
                <w:sz w:val="17"/>
              </w:rPr>
              <w:t>¥18.0</w:t>
            </w:r>
          </w:p>
        </w:tc>
      </w:tr>
      <w:tr>
        <w:tc>
          <w:tcPr>
            <w:tcW w:type="dxa" w:w="2880"/>
          </w:tcPr>
          <w:p>
            <w:pPr>
              <w:jc w:val="left"/>
            </w:pPr>
            <w:r>
              <w:rPr>
                <w:rFonts w:ascii="Times New Roman" w:hAnsi="Times New Roman"/>
                <w:sz w:val="17"/>
              </w:rPr>
              <w:t>Net Profit Growth (%)</w:t>
            </w:r>
          </w:p>
        </w:tc>
        <w:tc>
          <w:tcPr>
            <w:tcW w:type="dxa" w:w="1584"/>
          </w:tcPr>
          <w:p>
            <w:pPr>
              <w:jc w:val="center"/>
            </w:pPr>
            <w:r>
              <w:rPr>
                <w:rFonts w:ascii="Times New Roman" w:hAnsi="Times New Roman"/>
                <w:sz w:val="17"/>
              </w:rPr>
              <w:t>+16.9%</w:t>
            </w:r>
          </w:p>
        </w:tc>
        <w:tc>
          <w:tcPr>
            <w:tcW w:type="dxa" w:w="1584"/>
          </w:tcPr>
          <w:p>
            <w:pPr>
              <w:jc w:val="center"/>
            </w:pPr>
            <w:r>
              <w:rPr>
                <w:rFonts w:ascii="Times New Roman" w:hAnsi="Times New Roman"/>
                <w:sz w:val="17"/>
              </w:rPr>
              <w:t>+22.0%</w:t>
            </w:r>
          </w:p>
        </w:tc>
        <w:tc>
          <w:tcPr>
            <w:tcW w:type="dxa" w:w="1872"/>
          </w:tcPr>
          <w:p>
            <w:pPr>
              <w:jc w:val="center"/>
            </w:pPr>
            <w:r>
              <w:rPr>
                <w:rFonts w:ascii="Times New Roman" w:hAnsi="Times New Roman"/>
                <w:sz w:val="17"/>
              </w:rPr>
              <w:t>+40.0%</w:t>
            </w:r>
          </w:p>
        </w:tc>
        <w:tc>
          <w:tcPr>
            <w:tcW w:type="dxa" w:w="1872"/>
          </w:tcPr>
          <w:p>
            <w:pPr>
              <w:jc w:val="center"/>
            </w:pPr>
            <w:r>
              <w:rPr>
                <w:rFonts w:ascii="Times New Roman" w:hAnsi="Times New Roman"/>
                <w:sz w:val="17"/>
              </w:rPr>
              <w:t>+24.6%</w:t>
            </w:r>
          </w:p>
        </w:tc>
        <w:tc>
          <w:tcPr>
            <w:tcW w:type="dxa" w:w="1872"/>
          </w:tcPr>
          <w:p>
            <w:pPr>
              <w:jc w:val="center"/>
            </w:pPr>
            <w:r>
              <w:rPr>
                <w:rFonts w:ascii="Times New Roman" w:hAnsi="Times New Roman"/>
                <w:sz w:val="17"/>
              </w:rPr>
              <w:t>+33.6%</w:t>
            </w:r>
          </w:p>
        </w:tc>
      </w:tr>
      <w:tr>
        <w:tc>
          <w:tcPr>
            <w:tcW w:type="dxa" w:w="2880"/>
            <w:shd w:val="clear" w:color="auto" w:fill="E9EEF4"/>
          </w:tcPr>
          <w:p>
            <w:pPr>
              <w:jc w:val="left"/>
            </w:pPr>
            <w:r>
              <w:rPr>
                <w:rFonts w:ascii="Times New Roman" w:hAnsi="Times New Roman"/>
                <w:sz w:val="17"/>
              </w:rPr>
              <w:t>EPS (CNY)</w:t>
            </w:r>
          </w:p>
        </w:tc>
        <w:tc>
          <w:tcPr>
            <w:tcW w:type="dxa" w:w="1584"/>
            <w:shd w:val="clear" w:color="auto" w:fill="E9EEF4"/>
          </w:tcPr>
          <w:p>
            <w:pPr>
              <w:jc w:val="center"/>
            </w:pPr>
            <w:r>
              <w:rPr>
                <w:rFonts w:ascii="Times New Roman" w:hAnsi="Times New Roman"/>
                <w:sz w:val="17"/>
              </w:rPr>
              <w:t>¥5.32</w:t>
            </w:r>
          </w:p>
        </w:tc>
        <w:tc>
          <w:tcPr>
            <w:tcW w:type="dxa" w:w="1584"/>
            <w:shd w:val="clear" w:color="auto" w:fill="E9EEF4"/>
          </w:tcPr>
          <w:p>
            <w:pPr>
              <w:jc w:val="center"/>
            </w:pPr>
            <w:r>
              <w:rPr>
                <w:rFonts w:ascii="Times New Roman" w:hAnsi="Times New Roman"/>
                <w:sz w:val="17"/>
              </w:rPr>
              <w:t>¥6.55</w:t>
            </w:r>
          </w:p>
        </w:tc>
        <w:tc>
          <w:tcPr>
            <w:tcW w:type="dxa" w:w="1872"/>
            <w:shd w:val="clear" w:color="auto" w:fill="E9EEF4"/>
          </w:tcPr>
          <w:p>
            <w:pPr>
              <w:jc w:val="center"/>
            </w:pPr>
            <w:r>
              <w:rPr>
                <w:rFonts w:ascii="Times New Roman" w:hAnsi="Times New Roman"/>
                <w:sz w:val="17"/>
              </w:rPr>
              <w:t>¥7.50</w:t>
            </w:r>
          </w:p>
        </w:tc>
        <w:tc>
          <w:tcPr>
            <w:tcW w:type="dxa" w:w="1872"/>
            <w:shd w:val="clear" w:color="auto" w:fill="E9EEF4"/>
          </w:tcPr>
          <w:p>
            <w:pPr>
              <w:jc w:val="center"/>
            </w:pPr>
            <w:r>
              <w:rPr>
                <w:rFonts w:ascii="Times New Roman" w:hAnsi="Times New Roman"/>
                <w:sz w:val="17"/>
              </w:rPr>
              <w:t>¥8.09</w:t>
            </w:r>
          </w:p>
        </w:tc>
        <w:tc>
          <w:tcPr>
            <w:tcW w:type="dxa" w:w="1872"/>
            <w:shd w:val="clear" w:color="auto" w:fill="E9EEF4"/>
          </w:tcPr>
          <w:p>
            <w:pPr>
              <w:jc w:val="center"/>
            </w:pPr>
            <w:r>
              <w:rPr>
                <w:rFonts w:ascii="Times New Roman" w:hAnsi="Times New Roman"/>
                <w:sz w:val="17"/>
              </w:rPr>
              <w:t>¥8.70</w:t>
            </w:r>
          </w:p>
        </w:tc>
      </w:tr>
      <w:tr>
        <w:tc>
          <w:tcPr>
            <w:tcW w:type="dxa" w:w="2880"/>
          </w:tcPr>
          <w:p>
            <w:pPr>
              <w:jc w:val="left"/>
            </w:pPr>
            <w:r>
              <w:rPr>
                <w:rFonts w:ascii="Times New Roman" w:hAnsi="Times New Roman"/>
                <w:sz w:val="17"/>
              </w:rPr>
              <w:t>P/E (x) @ CNY 136.91</w:t>
            </w:r>
          </w:p>
        </w:tc>
        <w:tc>
          <w:tcPr>
            <w:tcW w:type="dxa" w:w="1584"/>
          </w:tcPr>
          <w:p>
            <w:pPr>
              <w:jc w:val="center"/>
            </w:pPr>
            <w:r>
              <w:rPr>
                <w:rFonts w:ascii="Times New Roman" w:hAnsi="Times New Roman"/>
                <w:sz w:val="17"/>
              </w:rPr>
              <w:t>25.7x</w:t>
            </w:r>
          </w:p>
        </w:tc>
        <w:tc>
          <w:tcPr>
            <w:tcW w:type="dxa" w:w="1584"/>
          </w:tcPr>
          <w:p>
            <w:pPr>
              <w:jc w:val="center"/>
            </w:pPr>
            <w:r>
              <w:rPr>
                <w:rFonts w:ascii="Times New Roman" w:hAnsi="Times New Roman"/>
                <w:sz w:val="17"/>
              </w:rPr>
              <w:t>20.9x</w:t>
            </w:r>
          </w:p>
        </w:tc>
        <w:tc>
          <w:tcPr>
            <w:tcW w:type="dxa" w:w="1872"/>
          </w:tcPr>
          <w:p>
            <w:pPr>
              <w:jc w:val="center"/>
            </w:pPr>
            <w:r>
              <w:rPr>
                <w:rFonts w:ascii="Times New Roman" w:hAnsi="Times New Roman"/>
                <w:sz w:val="17"/>
              </w:rPr>
              <w:t>—</w:t>
            </w:r>
          </w:p>
        </w:tc>
        <w:tc>
          <w:tcPr>
            <w:tcW w:type="dxa" w:w="1872"/>
          </w:tcPr>
          <w:p>
            <w:pPr>
              <w:jc w:val="center"/>
            </w:pPr>
            <w:r>
              <w:rPr>
                <w:rFonts w:ascii="Times New Roman" w:hAnsi="Times New Roman"/>
                <w:sz w:val="17"/>
              </w:rPr>
              <w:t>16.9x</w:t>
            </w:r>
          </w:p>
        </w:tc>
        <w:tc>
          <w:tcPr>
            <w:tcW w:type="dxa" w:w="1872"/>
          </w:tcPr>
          <w:p>
            <w:pPr>
              <w:jc w:val="center"/>
            </w:pPr>
            <w:r>
              <w:rPr>
                <w:rFonts w:ascii="Times New Roman" w:hAnsi="Times New Roman"/>
                <w:sz w:val="17"/>
              </w:rPr>
              <w:t>—</w:t>
            </w:r>
          </w:p>
        </w:tc>
      </w:tr>
    </w:tbl>
    <w:p>
      <w:pPr>
        <w:spacing w:before="20" w:after="40"/>
        <w:ind w:left="0"/>
      </w:pPr>
      <w:r>
        <w:rPr>
          <w:i/>
          <w:color w:val="808080"/>
          <w:sz w:val="15"/>
        </w:rPr>
        <w:t>Note: Prior estimates = internal estimates before FY2025 annual report. A = Actual, E = Estimate.</w:t>
      </w:r>
    </w:p>
    <w:p>
      <w:pPr>
        <w:spacing w:before="0" w:after="160"/>
        <w:ind w:left="0"/>
      </w:pPr>
      <w:r>
        <w:rPr>
          <w:i/>
          <w:color w:val="808080"/>
          <w:sz w:val="15"/>
        </w:rPr>
        <w:t>Source: Sungrow 2025 Annual Report; Analyst estimates</w:t>
      </w:r>
    </w:p>
    <w:p>
      <w:r>
        <w:br w:type="page"/>
      </w:r>
    </w:p>
    <w:p>
      <w:pPr>
        <w:spacing w:before="160" w:after="80"/>
        <w:ind w:left="0"/>
      </w:pPr>
      <w:r>
        <w:rPr>
          <w:rFonts w:ascii="Times New Roman" w:hAnsi="Times New Roman"/>
          <w:b/>
          <w:i w:val="0"/>
          <w:color w:val="1F4E79"/>
          <w:sz w:val="24"/>
        </w:rPr>
        <w:t>SECTION 1: DETAILED RESULTS ANALYSIS</w:t>
      </w:r>
    </w:p>
    <w:p>
      <w:pPr>
        <w:spacing w:before="40" w:after="40"/>
        <w:pBdr>
          <w:bottom w:val="single" w:sz="6" w:space="1" w:color="1F4E79"/>
        </w:pBdr>
      </w:pPr>
    </w:p>
    <w:p>
      <w:pPr>
        <w:spacing w:before="80" w:after="40"/>
        <w:ind w:left="0"/>
        <w:jc w:val="center"/>
      </w:pPr>
      <w:r>
        <w:drawing>
          <wp:inline xmlns:a="http://schemas.openxmlformats.org/drawingml/2006/main" xmlns:pic="http://schemas.openxmlformats.org/drawingml/2006/picture">
            <wp:extent cx="5669280" cy="3157235"/>
            <wp:docPr id="1" name="Picture 1"/>
            <wp:cNvGraphicFramePr>
              <a:graphicFrameLocks noChangeAspect="1"/>
            </wp:cNvGraphicFramePr>
            <a:graphic>
              <a:graphicData uri="http://schemas.openxmlformats.org/drawingml/2006/picture">
                <pic:pic>
                  <pic:nvPicPr>
                    <pic:cNvPr id="0" name="300274_chart1_revenue.png"/>
                    <pic:cNvPicPr/>
                  </pic:nvPicPr>
                  <pic:blipFill>
                    <a:blip r:embed="rId9"/>
                    <a:stretch>
                      <a:fillRect/>
                    </a:stretch>
                  </pic:blipFill>
                  <pic:spPr>
                    <a:xfrm>
                      <a:off x="0" y="0"/>
                      <a:ext cx="5669280" cy="3157235"/>
                    </a:xfrm>
                    <a:prstGeom prst="rect"/>
                  </pic:spPr>
                </pic:pic>
              </a:graphicData>
            </a:graphic>
          </wp:inline>
        </w:drawing>
      </w:r>
    </w:p>
    <w:p>
      <w:pPr>
        <w:spacing w:before="0" w:after="120"/>
        <w:ind w:left="0"/>
        <w:jc w:val="center"/>
      </w:pPr>
      <w:r>
        <w:t>Figure 1 — Quarterly Revenue Progression | Source: Sungrow 2025 Annual Report; StockAnalysis.com</w:t>
      </w:r>
      <w:r>
        <w:rPr>
          <w:rFonts w:ascii="Times New Roman" w:hAnsi="Times New Roman"/>
          <w:b w:val="0"/>
          <w:i/>
          <w:color w:val="808080"/>
          <w:sz w:val="16"/>
        </w:rPr>
      </w:r>
    </w:p>
    <w:p>
      <w:pPr>
        <w:spacing w:before="160" w:after="80"/>
        <w:ind w:left="0"/>
      </w:pPr>
      <w:r>
        <w:rPr>
          <w:rFonts w:ascii="Times New Roman" w:hAnsi="Times New Roman"/>
          <w:b/>
          <w:i w:val="0"/>
          <w:color w:val="2E75B6"/>
          <w:sz w:val="22"/>
        </w:rPr>
        <w:t>1.1  Revenue Performance</w:t>
      </w:r>
    </w:p>
    <w:p>
      <w:pPr>
        <w:spacing w:before="80" w:after="120"/>
        <w:ind w:left="0"/>
      </w:pPr>
      <w:r>
        <w:rPr>
          <w:rFonts w:ascii="Times New Roman" w:hAnsi="Times New Roman"/>
          <w:b/>
          <w:i w:val="0"/>
          <w:sz w:val="19"/>
        </w:rPr>
        <w:t xml:space="preserve">FY2025 Revenue: ¥89.18B (+14.6% YoY) — In Line With Consensus. </w:t>
      </w:r>
      <w:r>
        <w:rPr>
          <w:rFonts w:ascii="Times New Roman" w:hAnsi="Times New Roman"/>
          <w:b w:val="0"/>
          <w:i w:val="0"/>
          <w:sz w:val="19"/>
        </w:rPr>
        <w:t>Full-year 2025 revenue reached ¥89.18 billion, growing 14.6% year-over-year from ¥77.86B in FY2024. This growth, while solid in absolute terms, marks a meaningful deceleration from the exceptional 79.5% growth seen in FY2023. Consensus had anticipated ¥90.0B, resulting in a marginal miss of ¥0.82B (-0.9%). The revenue mix shifted materially toward energy storage (now 41.8% of total vs. ~32% in FY2024), while PV inverter share declined.</w:t>
      </w:r>
    </w:p>
    <w:p>
      <w:pPr>
        <w:spacing w:before="80" w:after="120"/>
        <w:ind w:left="0"/>
      </w:pPr>
      <w:r>
        <w:rPr>
          <w:rFonts w:ascii="Times New Roman" w:hAnsi="Times New Roman"/>
          <w:b/>
          <w:i w:val="0"/>
          <w:sz w:val="19"/>
        </w:rPr>
        <w:t xml:space="preserve">Q4 2025 Revenue: ¥22.78B (-18.4% YoY, -0.4% QoQ) — Significant YoY Shortfall. </w:t>
      </w:r>
      <w:r>
        <w:rPr>
          <w:rFonts w:ascii="Times New Roman" w:hAnsi="Times New Roman"/>
          <w:b w:val="0"/>
          <w:i w:val="0"/>
          <w:sz w:val="19"/>
        </w:rPr>
        <w:t>Q4 2025 revenue of ¥22.78B was substantially below the prior year's Q4 2024 of ¥27.91B — a decline of 18.4% YoY. This was the weakest quarterly revenue since Q1 2025 (¥19.04B). The YoY decline reflects a very tough Q4 2024 base (which itself had grown 8.0% YoY), as well as weaker domestic inverter demand (-19% YoY shipments for FY2025 domestic). Sequentially, revenue was essentially flat (-0.4% QoQ vs. Q3's ¥22.87B), suggesting Q4 weakness was primarily YoY normalization rather than a sequential deterioration in demand.</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312"/>
            <w:shd w:val="clear" w:color="auto" w:fill="1F4E79"/>
          </w:tcPr>
          <w:p>
            <w:pPr>
              <w:jc w:val="center"/>
            </w:pPr>
            <w:r>
              <w:rPr>
                <w:rFonts w:ascii="Times New Roman" w:hAnsi="Times New Roman"/>
                <w:b/>
                <w:color w:val="FFFFFF"/>
                <w:sz w:val="17"/>
              </w:rPr>
              <w:t>Segment</w:t>
            </w:r>
          </w:p>
        </w:tc>
        <w:tc>
          <w:tcPr>
            <w:tcW w:type="dxa" w:w="1872"/>
            <w:shd w:val="clear" w:color="auto" w:fill="1F4E79"/>
          </w:tcPr>
          <w:p>
            <w:pPr>
              <w:jc w:val="center"/>
            </w:pPr>
            <w:r>
              <w:rPr>
                <w:rFonts w:ascii="Times New Roman" w:hAnsi="Times New Roman"/>
                <w:b/>
                <w:color w:val="FFFFFF"/>
                <w:sz w:val="17"/>
              </w:rPr>
              <w:t>FY2024A (CNY B)</w:t>
            </w:r>
          </w:p>
        </w:tc>
        <w:tc>
          <w:tcPr>
            <w:tcW w:type="dxa" w:w="1440"/>
            <w:shd w:val="clear" w:color="auto" w:fill="1F4E79"/>
          </w:tcPr>
          <w:p>
            <w:pPr>
              <w:jc w:val="center"/>
            </w:pPr>
            <w:r>
              <w:rPr>
                <w:rFonts w:ascii="Times New Roman" w:hAnsi="Times New Roman"/>
                <w:b/>
                <w:color w:val="FFFFFF"/>
                <w:sz w:val="17"/>
              </w:rPr>
              <w:t>FY2024A (%)</w:t>
            </w:r>
          </w:p>
        </w:tc>
        <w:tc>
          <w:tcPr>
            <w:tcW w:type="dxa" w:w="1872"/>
            <w:shd w:val="clear" w:color="auto" w:fill="1F4E79"/>
          </w:tcPr>
          <w:p>
            <w:pPr>
              <w:jc w:val="center"/>
            </w:pPr>
            <w:r>
              <w:rPr>
                <w:rFonts w:ascii="Times New Roman" w:hAnsi="Times New Roman"/>
                <w:b/>
                <w:color w:val="FFFFFF"/>
                <w:sz w:val="17"/>
              </w:rPr>
              <w:t>FY2025A (CNY B)</w:t>
            </w:r>
          </w:p>
        </w:tc>
        <w:tc>
          <w:tcPr>
            <w:tcW w:type="dxa" w:w="1440"/>
            <w:shd w:val="clear" w:color="auto" w:fill="1F4E79"/>
          </w:tcPr>
          <w:p>
            <w:pPr>
              <w:jc w:val="center"/>
            </w:pPr>
            <w:r>
              <w:rPr>
                <w:rFonts w:ascii="Times New Roman" w:hAnsi="Times New Roman"/>
                <w:b/>
                <w:color w:val="FFFFFF"/>
                <w:sz w:val="17"/>
              </w:rPr>
              <w:t>FY2025A (%)</w:t>
            </w:r>
          </w:p>
        </w:tc>
        <w:tc>
          <w:tcPr>
            <w:tcW w:type="dxa" w:w="1440"/>
            <w:shd w:val="clear" w:color="auto" w:fill="1F4E79"/>
          </w:tcPr>
          <w:p>
            <w:pPr>
              <w:jc w:val="center"/>
            </w:pPr>
            <w:r>
              <w:rPr>
                <w:rFonts w:ascii="Times New Roman" w:hAnsi="Times New Roman"/>
                <w:b/>
                <w:color w:val="FFFFFF"/>
                <w:sz w:val="17"/>
              </w:rPr>
              <w:t>YoY Growth</w:t>
            </w:r>
          </w:p>
        </w:tc>
      </w:tr>
      <w:tr>
        <w:tc>
          <w:tcPr>
            <w:tcW w:type="dxa" w:w="3312"/>
          </w:tcPr>
          <w:p>
            <w:pPr>
              <w:jc w:val="left"/>
            </w:pPr>
            <w:r>
              <w:rPr>
                <w:rFonts w:ascii="Times New Roman" w:hAnsi="Times New Roman"/>
                <w:sz w:val="17"/>
              </w:rPr>
              <w:t>Energy Storage Systems</w:t>
            </w:r>
          </w:p>
        </w:tc>
        <w:tc>
          <w:tcPr>
            <w:tcW w:type="dxa" w:w="1872"/>
          </w:tcPr>
          <w:p>
            <w:pPr>
              <w:jc w:val="center"/>
            </w:pPr>
            <w:r>
              <w:rPr>
                <w:rFonts w:ascii="Times New Roman" w:hAnsi="Times New Roman"/>
                <w:sz w:val="17"/>
              </w:rPr>
              <w:t>¥24.9</w:t>
            </w:r>
          </w:p>
        </w:tc>
        <w:tc>
          <w:tcPr>
            <w:tcW w:type="dxa" w:w="1440"/>
          </w:tcPr>
          <w:p>
            <w:pPr>
              <w:jc w:val="center"/>
            </w:pPr>
            <w:r>
              <w:rPr>
                <w:rFonts w:ascii="Times New Roman" w:hAnsi="Times New Roman"/>
                <w:sz w:val="17"/>
              </w:rPr>
              <w:t>32.0%</w:t>
            </w:r>
          </w:p>
        </w:tc>
        <w:tc>
          <w:tcPr>
            <w:tcW w:type="dxa" w:w="1872"/>
          </w:tcPr>
          <w:p>
            <w:pPr>
              <w:jc w:val="center"/>
            </w:pPr>
            <w:r>
              <w:rPr>
                <w:rFonts w:ascii="Times New Roman" w:hAnsi="Times New Roman"/>
                <w:sz w:val="17"/>
              </w:rPr>
              <w:t>¥37.29</w:t>
            </w:r>
          </w:p>
        </w:tc>
        <w:tc>
          <w:tcPr>
            <w:tcW w:type="dxa" w:w="1440"/>
          </w:tcPr>
          <w:p>
            <w:pPr>
              <w:jc w:val="center"/>
            </w:pPr>
            <w:r>
              <w:rPr>
                <w:rFonts w:ascii="Times New Roman" w:hAnsi="Times New Roman"/>
                <w:sz w:val="17"/>
              </w:rPr>
              <w:t>41.8%</w:t>
            </w:r>
          </w:p>
        </w:tc>
        <w:tc>
          <w:tcPr>
            <w:tcW w:type="dxa" w:w="1440"/>
          </w:tcPr>
          <w:p>
            <w:pPr>
              <w:jc w:val="center"/>
            </w:pPr>
            <w:r>
              <w:rPr>
                <w:rFonts w:ascii="Times New Roman" w:hAnsi="Times New Roman"/>
                <w:sz w:val="17"/>
              </w:rPr>
              <w:t>+49.7%</w:t>
            </w:r>
          </w:p>
        </w:tc>
      </w:tr>
      <w:tr>
        <w:tc>
          <w:tcPr>
            <w:tcW w:type="dxa" w:w="3312"/>
            <w:shd w:val="clear" w:color="auto" w:fill="E9EEF4"/>
          </w:tcPr>
          <w:p>
            <w:pPr>
              <w:jc w:val="left"/>
            </w:pPr>
            <w:r>
              <w:rPr>
                <w:rFonts w:ascii="Times New Roman" w:hAnsi="Times New Roman"/>
                <w:sz w:val="17"/>
              </w:rPr>
              <w:t>PV Inverters &amp; Power Electronics</w:t>
            </w:r>
          </w:p>
        </w:tc>
        <w:tc>
          <w:tcPr>
            <w:tcW w:type="dxa" w:w="1872"/>
            <w:shd w:val="clear" w:color="auto" w:fill="E9EEF4"/>
          </w:tcPr>
          <w:p>
            <w:pPr>
              <w:jc w:val="center"/>
            </w:pPr>
            <w:r>
              <w:rPr>
                <w:rFonts w:ascii="Times New Roman" w:hAnsi="Times New Roman"/>
                <w:sz w:val="17"/>
              </w:rPr>
              <w:t>¥28.8</w:t>
            </w:r>
          </w:p>
        </w:tc>
        <w:tc>
          <w:tcPr>
            <w:tcW w:type="dxa" w:w="1440"/>
            <w:shd w:val="clear" w:color="auto" w:fill="E9EEF4"/>
          </w:tcPr>
          <w:p>
            <w:pPr>
              <w:jc w:val="center"/>
            </w:pPr>
            <w:r>
              <w:rPr>
                <w:rFonts w:ascii="Times New Roman" w:hAnsi="Times New Roman"/>
                <w:sz w:val="17"/>
              </w:rPr>
              <w:t>37.0%</w:t>
            </w:r>
          </w:p>
        </w:tc>
        <w:tc>
          <w:tcPr>
            <w:tcW w:type="dxa" w:w="1872"/>
            <w:shd w:val="clear" w:color="auto" w:fill="E9EEF4"/>
          </w:tcPr>
          <w:p>
            <w:pPr>
              <w:jc w:val="center"/>
            </w:pPr>
            <w:r>
              <w:rPr>
                <w:rFonts w:ascii="Times New Roman" w:hAnsi="Times New Roman"/>
                <w:sz w:val="17"/>
              </w:rPr>
              <w:t>¥31.14</w:t>
            </w:r>
          </w:p>
        </w:tc>
        <w:tc>
          <w:tcPr>
            <w:tcW w:type="dxa" w:w="1440"/>
            <w:shd w:val="clear" w:color="auto" w:fill="E9EEF4"/>
          </w:tcPr>
          <w:p>
            <w:pPr>
              <w:jc w:val="center"/>
            </w:pPr>
            <w:r>
              <w:rPr>
                <w:rFonts w:ascii="Times New Roman" w:hAnsi="Times New Roman"/>
                <w:sz w:val="17"/>
              </w:rPr>
              <w:t>34.9%</w:t>
            </w:r>
          </w:p>
        </w:tc>
        <w:tc>
          <w:tcPr>
            <w:tcW w:type="dxa" w:w="1440"/>
            <w:shd w:val="clear" w:color="auto" w:fill="E9EEF4"/>
          </w:tcPr>
          <w:p>
            <w:pPr>
              <w:jc w:val="center"/>
            </w:pPr>
            <w:r>
              <w:rPr>
                <w:rFonts w:ascii="Times New Roman" w:hAnsi="Times New Roman"/>
                <w:sz w:val="17"/>
              </w:rPr>
              <w:t>+8.1%</w:t>
            </w:r>
          </w:p>
        </w:tc>
      </w:tr>
      <w:tr>
        <w:tc>
          <w:tcPr>
            <w:tcW w:type="dxa" w:w="3312"/>
          </w:tcPr>
          <w:p>
            <w:pPr>
              <w:jc w:val="left"/>
            </w:pPr>
            <w:r>
              <w:rPr>
                <w:rFonts w:ascii="Times New Roman" w:hAnsi="Times New Roman"/>
                <w:sz w:val="17"/>
              </w:rPr>
              <w:t>New Energy Investment &amp; Dev.</w:t>
            </w:r>
          </w:p>
        </w:tc>
        <w:tc>
          <w:tcPr>
            <w:tcW w:type="dxa" w:w="1872"/>
          </w:tcPr>
          <w:p>
            <w:pPr>
              <w:jc w:val="center"/>
            </w:pPr>
            <w:r>
              <w:rPr>
                <w:rFonts w:ascii="Times New Roman" w:hAnsi="Times New Roman"/>
                <w:sz w:val="17"/>
              </w:rPr>
              <w:t>¥21.0</w:t>
            </w:r>
          </w:p>
        </w:tc>
        <w:tc>
          <w:tcPr>
            <w:tcW w:type="dxa" w:w="1440"/>
          </w:tcPr>
          <w:p>
            <w:pPr>
              <w:jc w:val="center"/>
            </w:pPr>
            <w:r>
              <w:rPr>
                <w:rFonts w:ascii="Times New Roman" w:hAnsi="Times New Roman"/>
                <w:sz w:val="17"/>
              </w:rPr>
              <w:t>27.0%</w:t>
            </w:r>
          </w:p>
        </w:tc>
        <w:tc>
          <w:tcPr>
            <w:tcW w:type="dxa" w:w="1872"/>
          </w:tcPr>
          <w:p>
            <w:pPr>
              <w:jc w:val="center"/>
            </w:pPr>
            <w:r>
              <w:rPr>
                <w:rFonts w:ascii="Times New Roman" w:hAnsi="Times New Roman"/>
                <w:sz w:val="17"/>
              </w:rPr>
              <w:t>¥16.56</w:t>
            </w:r>
          </w:p>
        </w:tc>
        <w:tc>
          <w:tcPr>
            <w:tcW w:type="dxa" w:w="1440"/>
          </w:tcPr>
          <w:p>
            <w:pPr>
              <w:jc w:val="center"/>
            </w:pPr>
            <w:r>
              <w:rPr>
                <w:rFonts w:ascii="Times New Roman" w:hAnsi="Times New Roman"/>
                <w:sz w:val="17"/>
              </w:rPr>
              <w:t>18.6%</w:t>
            </w:r>
          </w:p>
        </w:tc>
        <w:tc>
          <w:tcPr>
            <w:tcW w:type="dxa" w:w="1440"/>
          </w:tcPr>
          <w:p>
            <w:pPr>
              <w:jc w:val="center"/>
            </w:pPr>
            <w:r>
              <w:rPr>
                <w:rFonts w:ascii="Times New Roman" w:hAnsi="Times New Roman"/>
                <w:sz w:val="17"/>
              </w:rPr>
              <w:t>-21.1%</w:t>
            </w:r>
          </w:p>
        </w:tc>
      </w:tr>
      <w:tr>
        <w:tc>
          <w:tcPr>
            <w:tcW w:type="dxa" w:w="3312"/>
            <w:shd w:val="clear" w:color="auto" w:fill="E9EEF4"/>
          </w:tcPr>
          <w:p>
            <w:pPr>
              <w:jc w:val="left"/>
            </w:pPr>
            <w:r>
              <w:rPr>
                <w:rFonts w:ascii="Times New Roman" w:hAnsi="Times New Roman"/>
                <w:sz w:val="17"/>
              </w:rPr>
              <w:t>Other</w:t>
            </w:r>
          </w:p>
        </w:tc>
        <w:tc>
          <w:tcPr>
            <w:tcW w:type="dxa" w:w="1872"/>
            <w:shd w:val="clear" w:color="auto" w:fill="E9EEF4"/>
          </w:tcPr>
          <w:p>
            <w:pPr>
              <w:jc w:val="center"/>
            </w:pPr>
            <w:r>
              <w:rPr>
                <w:rFonts w:ascii="Times New Roman" w:hAnsi="Times New Roman"/>
                <w:sz w:val="17"/>
              </w:rPr>
              <w:t>¥3.2</w:t>
            </w:r>
          </w:p>
        </w:tc>
        <w:tc>
          <w:tcPr>
            <w:tcW w:type="dxa" w:w="1440"/>
            <w:shd w:val="clear" w:color="auto" w:fill="E9EEF4"/>
          </w:tcPr>
          <w:p>
            <w:pPr>
              <w:jc w:val="center"/>
            </w:pPr>
            <w:r>
              <w:rPr>
                <w:rFonts w:ascii="Times New Roman" w:hAnsi="Times New Roman"/>
                <w:sz w:val="17"/>
              </w:rPr>
              <w:t>4.0%</w:t>
            </w:r>
          </w:p>
        </w:tc>
        <w:tc>
          <w:tcPr>
            <w:tcW w:type="dxa" w:w="1872"/>
            <w:shd w:val="clear" w:color="auto" w:fill="E9EEF4"/>
          </w:tcPr>
          <w:p>
            <w:pPr>
              <w:jc w:val="center"/>
            </w:pPr>
            <w:r>
              <w:rPr>
                <w:rFonts w:ascii="Times New Roman" w:hAnsi="Times New Roman"/>
                <w:sz w:val="17"/>
              </w:rPr>
              <w:t>¥4.20</w:t>
            </w:r>
          </w:p>
        </w:tc>
        <w:tc>
          <w:tcPr>
            <w:tcW w:type="dxa" w:w="1440"/>
            <w:shd w:val="clear" w:color="auto" w:fill="E9EEF4"/>
          </w:tcPr>
          <w:p>
            <w:pPr>
              <w:jc w:val="center"/>
            </w:pPr>
            <w:r>
              <w:rPr>
                <w:rFonts w:ascii="Times New Roman" w:hAnsi="Times New Roman"/>
                <w:sz w:val="17"/>
              </w:rPr>
              <w:t>4.7%</w:t>
            </w:r>
          </w:p>
        </w:tc>
        <w:tc>
          <w:tcPr>
            <w:tcW w:type="dxa" w:w="1440"/>
            <w:shd w:val="clear" w:color="auto" w:fill="E9EEF4"/>
          </w:tcPr>
          <w:p>
            <w:pPr>
              <w:jc w:val="center"/>
            </w:pPr>
            <w:r>
              <w:rPr>
                <w:rFonts w:ascii="Times New Roman" w:hAnsi="Times New Roman"/>
                <w:sz w:val="17"/>
              </w:rPr>
              <w:t>+31.3%</w:t>
            </w:r>
          </w:p>
        </w:tc>
      </w:tr>
      <w:tr>
        <w:tc>
          <w:tcPr>
            <w:tcW w:type="dxa" w:w="3312"/>
          </w:tcPr>
          <w:p>
            <w:pPr>
              <w:jc w:val="left"/>
            </w:pPr>
            <w:r>
              <w:rPr>
                <w:rFonts w:ascii="Times New Roman" w:hAnsi="Times New Roman"/>
                <w:sz w:val="17"/>
              </w:rPr>
              <w:t>Total Revenue</w:t>
            </w:r>
          </w:p>
        </w:tc>
        <w:tc>
          <w:tcPr>
            <w:tcW w:type="dxa" w:w="1872"/>
          </w:tcPr>
          <w:p>
            <w:pPr>
              <w:jc w:val="center"/>
            </w:pPr>
            <w:r>
              <w:rPr>
                <w:rFonts w:ascii="Times New Roman" w:hAnsi="Times New Roman"/>
                <w:sz w:val="17"/>
              </w:rPr>
              <w:t>¥77.86</w:t>
            </w:r>
          </w:p>
        </w:tc>
        <w:tc>
          <w:tcPr>
            <w:tcW w:type="dxa" w:w="1440"/>
          </w:tcPr>
          <w:p>
            <w:pPr>
              <w:jc w:val="center"/>
            </w:pPr>
            <w:r>
              <w:rPr>
                <w:rFonts w:ascii="Times New Roman" w:hAnsi="Times New Roman"/>
                <w:sz w:val="17"/>
              </w:rPr>
              <w:t>100%</w:t>
            </w:r>
          </w:p>
        </w:tc>
        <w:tc>
          <w:tcPr>
            <w:tcW w:type="dxa" w:w="1872"/>
          </w:tcPr>
          <w:p>
            <w:pPr>
              <w:jc w:val="center"/>
            </w:pPr>
            <w:r>
              <w:rPr>
                <w:rFonts w:ascii="Times New Roman" w:hAnsi="Times New Roman"/>
                <w:sz w:val="17"/>
              </w:rPr>
              <w:t>¥89.18</w:t>
            </w:r>
          </w:p>
        </w:tc>
        <w:tc>
          <w:tcPr>
            <w:tcW w:type="dxa" w:w="1440"/>
          </w:tcPr>
          <w:p>
            <w:pPr>
              <w:jc w:val="center"/>
            </w:pPr>
            <w:r>
              <w:rPr>
                <w:rFonts w:ascii="Times New Roman" w:hAnsi="Times New Roman"/>
                <w:sz w:val="17"/>
              </w:rPr>
              <w:t>100%</w:t>
            </w:r>
          </w:p>
        </w:tc>
        <w:tc>
          <w:tcPr>
            <w:tcW w:type="dxa" w:w="1440"/>
          </w:tcPr>
          <w:p>
            <w:pPr>
              <w:jc w:val="center"/>
            </w:pPr>
            <w:r>
              <w:rPr>
                <w:rFonts w:ascii="Times New Roman" w:hAnsi="Times New Roman"/>
                <w:sz w:val="17"/>
              </w:rPr>
              <w:t>+14.6%</w:t>
            </w:r>
          </w:p>
        </w:tc>
      </w:tr>
    </w:tbl>
    <w:p>
      <w:pPr>
        <w:spacing w:before="20" w:after="160"/>
        <w:ind w:left="0"/>
      </w:pPr>
      <w:r>
        <w:rPr>
          <w:i/>
          <w:color w:val="808080"/>
          <w:sz w:val="15"/>
        </w:rPr>
        <w:t>Source: Sungrow 2025 Annual Report (2026-04-01); FY2024 segment estimates from company disclosures</w:t>
      </w:r>
    </w:p>
    <w:p>
      <w:pPr>
        <w:spacing w:before="80" w:after="40"/>
        <w:ind w:left="0"/>
        <w:jc w:val="center"/>
      </w:pPr>
      <w:r>
        <w:drawing>
          <wp:inline xmlns:a="http://schemas.openxmlformats.org/drawingml/2006/main" xmlns:pic="http://schemas.openxmlformats.org/drawingml/2006/picture">
            <wp:extent cx="5669280" cy="3138351"/>
            <wp:docPr id="2" name="Picture 2"/>
            <wp:cNvGraphicFramePr>
              <a:graphicFrameLocks noChangeAspect="1"/>
            </wp:cNvGraphicFramePr>
            <a:graphic>
              <a:graphicData uri="http://schemas.openxmlformats.org/drawingml/2006/picture">
                <pic:pic>
                  <pic:nvPicPr>
                    <pic:cNvPr id="0" name="300274_chart4_segments.png"/>
                    <pic:cNvPicPr/>
                  </pic:nvPicPr>
                  <pic:blipFill>
                    <a:blip r:embed="rId10"/>
                    <a:stretch>
                      <a:fillRect/>
                    </a:stretch>
                  </pic:blipFill>
                  <pic:spPr>
                    <a:xfrm>
                      <a:off x="0" y="0"/>
                      <a:ext cx="5669280" cy="3138351"/>
                    </a:xfrm>
                    <a:prstGeom prst="rect"/>
                  </pic:spPr>
                </pic:pic>
              </a:graphicData>
            </a:graphic>
          </wp:inline>
        </w:drawing>
      </w:r>
    </w:p>
    <w:p>
      <w:pPr>
        <w:spacing w:before="0" w:after="120"/>
        <w:ind w:left="0"/>
        <w:jc w:val="center"/>
      </w:pPr>
      <w:r>
        <w:t>Figure 4 — Revenue by Segment FY2024A vs. FY2025A | Source: Sungrow 2025 Annual Report</w:t>
      </w:r>
      <w:r>
        <w:rPr>
          <w:rFonts w:ascii="Times New Roman" w:hAnsi="Times New Roman"/>
          <w:b w:val="0"/>
          <w:i/>
          <w:color w:val="808080"/>
          <w:sz w:val="16"/>
        </w:rPr>
      </w:r>
    </w:p>
    <w:p>
      <w:pPr>
        <w:spacing w:before="80" w:after="40"/>
        <w:ind w:left="0"/>
        <w:jc w:val="center"/>
      </w:pPr>
      <w:r>
        <w:drawing>
          <wp:inline xmlns:a="http://schemas.openxmlformats.org/drawingml/2006/main" xmlns:pic="http://schemas.openxmlformats.org/drawingml/2006/picture">
            <wp:extent cx="5669280" cy="3157235"/>
            <wp:docPr id="3" name="Picture 3"/>
            <wp:cNvGraphicFramePr>
              <a:graphicFrameLocks noChangeAspect="1"/>
            </wp:cNvGraphicFramePr>
            <a:graphic>
              <a:graphicData uri="http://schemas.openxmlformats.org/drawingml/2006/picture">
                <pic:pic>
                  <pic:nvPicPr>
                    <pic:cNvPr id="0" name="300274_chart2_net_profit.png"/>
                    <pic:cNvPicPr/>
                  </pic:nvPicPr>
                  <pic:blipFill>
                    <a:blip r:embed="rId11"/>
                    <a:stretch>
                      <a:fillRect/>
                    </a:stretch>
                  </pic:blipFill>
                  <pic:spPr>
                    <a:xfrm>
                      <a:off x="0" y="0"/>
                      <a:ext cx="5669280" cy="3157235"/>
                    </a:xfrm>
                    <a:prstGeom prst="rect"/>
                  </pic:spPr>
                </pic:pic>
              </a:graphicData>
            </a:graphic>
          </wp:inline>
        </w:drawing>
      </w:r>
    </w:p>
    <w:p>
      <w:pPr>
        <w:spacing w:before="0" w:after="120"/>
        <w:ind w:left="0"/>
        <w:jc w:val="center"/>
      </w:pPr>
      <w:r>
        <w:t>Figure 2 — Quarterly Net Profit | Source: Sungrow 2025 Annual Report; Analyst quarterly estimates</w:t>
      </w:r>
      <w:r>
        <w:rPr>
          <w:rFonts w:ascii="Times New Roman" w:hAnsi="Times New Roman"/>
          <w:b w:val="0"/>
          <w:i/>
          <w:color w:val="808080"/>
          <w:sz w:val="16"/>
        </w:rPr>
      </w:r>
    </w:p>
    <w:p>
      <w:pPr>
        <w:spacing w:before="160" w:after="80"/>
        <w:ind w:left="0"/>
      </w:pPr>
      <w:r>
        <w:rPr>
          <w:rFonts w:ascii="Times New Roman" w:hAnsi="Times New Roman"/>
          <w:b/>
          <w:i w:val="0"/>
          <w:color w:val="2E75B6"/>
          <w:sz w:val="22"/>
        </w:rPr>
        <w:t>1.2  Profitability Analysis</w:t>
      </w:r>
    </w:p>
    <w:p>
      <w:pPr>
        <w:spacing w:before="80" w:after="120"/>
        <w:ind w:left="0"/>
      </w:pPr>
      <w:r>
        <w:rPr>
          <w:rFonts w:ascii="Times New Roman" w:hAnsi="Times New Roman"/>
          <w:b/>
          <w:i w:val="0"/>
          <w:sz w:val="19"/>
        </w:rPr>
        <w:t xml:space="preserve">FY2025 Gross Margin: 31.83% (+631bps YoY) — Significant Structural Improvement. </w:t>
      </w:r>
      <w:r>
        <w:rPr>
          <w:rFonts w:ascii="Times New Roman" w:hAnsi="Times New Roman"/>
          <w:b w:val="0"/>
          <w:i w:val="0"/>
          <w:sz w:val="19"/>
        </w:rPr>
        <w:t>The full-year gross margin of 31.83% represents a 6.31 percentage point improvement versus the 25.52% reported in FY2024. This expansion was driven by: (1) the growing share of high-margin overseas energy storage projects, where Sungrow commands premium pricing; (2) a favorable product mix shift away from commoditized domestic inverters toward value-added storage systems; and (3) operational leverage as fixed costs are spread over a larger revenue base. FY2025 full-year results validate Sungrow's strategy of international expansion.</w:t>
      </w:r>
    </w:p>
    <w:p>
      <w:pPr>
        <w:spacing w:before="80" w:after="120"/>
        <w:ind w:left="0"/>
      </w:pPr>
      <w:r>
        <w:rPr>
          <w:rFonts w:ascii="Times New Roman" w:hAnsi="Times New Roman"/>
          <w:b/>
          <w:i w:val="0"/>
          <w:sz w:val="19"/>
        </w:rPr>
        <w:t xml:space="preserve">Q4 2025 Net Profit Miss: ¥1.58B (-54% YoY) — Three Converging Headwinds. </w:t>
      </w:r>
      <w:r>
        <w:rPr>
          <w:rFonts w:ascii="Times New Roman" w:hAnsi="Times New Roman"/>
          <w:b w:val="0"/>
          <w:i w:val="0"/>
          <w:sz w:val="19"/>
        </w:rPr>
        <w:t>Q4 2025 net profit of ¥1.58B was dramatically below Q4 2024's ¥3.44B, resulting in a -54% YoY decline and -62% sequential drop. Management attributed this to three concurrent factors: (1) Revenue mix degradation: New energy investment &amp; development (NEI) projects — which have lower margins than storage products — were disproportionately weighted in Q4, pulling blended margins lower; (2) Storage margin compression: Energy storage gross margin fell approximately 17 percentage points QoQ to ~24% in Q4 2025, compared to an elevated ~41% in Q3 2025 when high-margin overseas contracts were being recognized; (3) Lithium carbonate price spike: Spot lithium carbonate prices rose in Q4 2025, squeezing margins on legacy fixed-price contracts where cost increases could not be immediately passed through.</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592"/>
            <w:shd w:val="clear" w:color="auto" w:fill="1F4E79"/>
          </w:tcPr>
          <w:p>
            <w:pPr>
              <w:jc w:val="center"/>
            </w:pPr>
            <w:r>
              <w:rPr>
                <w:rFonts w:ascii="Times New Roman" w:hAnsi="Times New Roman"/>
                <w:b/>
                <w:color w:val="FFFFFF"/>
                <w:sz w:val="17"/>
              </w:rPr>
              <w:t>Metric</w:t>
            </w:r>
          </w:p>
        </w:tc>
        <w:tc>
          <w:tcPr>
            <w:tcW w:type="dxa" w:w="1152"/>
            <w:shd w:val="clear" w:color="auto" w:fill="1F4E79"/>
          </w:tcPr>
          <w:p>
            <w:pPr>
              <w:jc w:val="center"/>
            </w:pPr>
            <w:r>
              <w:rPr>
                <w:rFonts w:ascii="Times New Roman" w:hAnsi="Times New Roman"/>
                <w:b/>
                <w:color w:val="FFFFFF"/>
                <w:sz w:val="17"/>
              </w:rPr>
              <w:t>Q1'25A</w:t>
            </w:r>
          </w:p>
        </w:tc>
        <w:tc>
          <w:tcPr>
            <w:tcW w:type="dxa" w:w="1152"/>
            <w:shd w:val="clear" w:color="auto" w:fill="1F4E79"/>
          </w:tcPr>
          <w:p>
            <w:pPr>
              <w:jc w:val="center"/>
            </w:pPr>
            <w:r>
              <w:rPr>
                <w:rFonts w:ascii="Times New Roman" w:hAnsi="Times New Roman"/>
                <w:b/>
                <w:color w:val="FFFFFF"/>
                <w:sz w:val="17"/>
              </w:rPr>
              <w:t>Q2'25A</w:t>
            </w:r>
          </w:p>
        </w:tc>
        <w:tc>
          <w:tcPr>
            <w:tcW w:type="dxa" w:w="1152"/>
            <w:shd w:val="clear" w:color="auto" w:fill="1F4E79"/>
          </w:tcPr>
          <w:p>
            <w:pPr>
              <w:jc w:val="center"/>
            </w:pPr>
            <w:r>
              <w:rPr>
                <w:rFonts w:ascii="Times New Roman" w:hAnsi="Times New Roman"/>
                <w:b/>
                <w:color w:val="FFFFFF"/>
                <w:sz w:val="17"/>
              </w:rPr>
              <w:t>Q3'25A</w:t>
            </w:r>
          </w:p>
        </w:tc>
        <w:tc>
          <w:tcPr>
            <w:tcW w:type="dxa" w:w="1152"/>
            <w:shd w:val="clear" w:color="auto" w:fill="1F4E79"/>
          </w:tcPr>
          <w:p>
            <w:pPr>
              <w:jc w:val="center"/>
            </w:pPr>
            <w:r>
              <w:rPr>
                <w:rFonts w:ascii="Times New Roman" w:hAnsi="Times New Roman"/>
                <w:b/>
                <w:color w:val="FFFFFF"/>
                <w:sz w:val="17"/>
              </w:rPr>
              <w:t>Q4'25A</w:t>
            </w:r>
          </w:p>
        </w:tc>
        <w:tc>
          <w:tcPr>
            <w:tcW w:type="dxa" w:w="1296"/>
            <w:shd w:val="clear" w:color="auto" w:fill="1F4E79"/>
          </w:tcPr>
          <w:p>
            <w:pPr>
              <w:jc w:val="center"/>
            </w:pPr>
            <w:r>
              <w:rPr>
                <w:rFonts w:ascii="Times New Roman" w:hAnsi="Times New Roman"/>
                <w:b/>
                <w:color w:val="FFFFFF"/>
                <w:sz w:val="17"/>
              </w:rPr>
              <w:t>FY2025A</w:t>
            </w:r>
          </w:p>
        </w:tc>
        <w:tc>
          <w:tcPr>
            <w:tcW w:type="dxa" w:w="1296"/>
            <w:shd w:val="clear" w:color="auto" w:fill="1F4E79"/>
          </w:tcPr>
          <w:p>
            <w:pPr>
              <w:jc w:val="center"/>
            </w:pPr>
            <w:r>
              <w:rPr>
                <w:rFonts w:ascii="Times New Roman" w:hAnsi="Times New Roman"/>
                <w:b/>
                <w:color w:val="FFFFFF"/>
                <w:sz w:val="17"/>
              </w:rPr>
              <w:t>FY2024A</w:t>
            </w:r>
          </w:p>
        </w:tc>
        <w:tc>
          <w:tcPr>
            <w:tcW w:type="dxa" w:w="1296"/>
            <w:shd w:val="clear" w:color="auto" w:fill="1F4E79"/>
          </w:tcPr>
          <w:p>
            <w:pPr>
              <w:jc w:val="center"/>
            </w:pPr>
            <w:r>
              <w:rPr>
                <w:rFonts w:ascii="Times New Roman" w:hAnsi="Times New Roman"/>
                <w:b/>
                <w:color w:val="FFFFFF"/>
                <w:sz w:val="17"/>
              </w:rPr>
              <w:t>YoY Chg</w:t>
            </w:r>
          </w:p>
        </w:tc>
      </w:tr>
      <w:tr>
        <w:tc>
          <w:tcPr>
            <w:tcW w:type="dxa" w:w="2592"/>
          </w:tcPr>
          <w:p>
            <w:pPr>
              <w:jc w:val="left"/>
            </w:pPr>
            <w:r>
              <w:rPr>
                <w:rFonts w:ascii="Times New Roman" w:hAnsi="Times New Roman"/>
                <w:sz w:val="17"/>
              </w:rPr>
              <w:t>Gross Margin (%)</w:t>
            </w:r>
          </w:p>
        </w:tc>
        <w:tc>
          <w:tcPr>
            <w:tcW w:type="dxa" w:w="1152"/>
          </w:tcPr>
          <w:p>
            <w:pPr>
              <w:jc w:val="center"/>
            </w:pPr>
            <w:r>
              <w:rPr>
                <w:rFonts w:ascii="Times New Roman" w:hAnsi="Times New Roman"/>
                <w:sz w:val="17"/>
              </w:rPr>
              <w:t>29.4%</w:t>
            </w:r>
          </w:p>
        </w:tc>
        <w:tc>
          <w:tcPr>
            <w:tcW w:type="dxa" w:w="1152"/>
          </w:tcPr>
          <w:p>
            <w:pPr>
              <w:jc w:val="center"/>
            </w:pPr>
            <w:r>
              <w:rPr>
                <w:rFonts w:ascii="Times New Roman" w:hAnsi="Times New Roman"/>
                <w:sz w:val="17"/>
              </w:rPr>
              <w:t>32.1%</w:t>
            </w:r>
          </w:p>
        </w:tc>
        <w:tc>
          <w:tcPr>
            <w:tcW w:type="dxa" w:w="1152"/>
          </w:tcPr>
          <w:p>
            <w:pPr>
              <w:jc w:val="center"/>
            </w:pPr>
            <w:r>
              <w:rPr>
                <w:rFonts w:ascii="Times New Roman" w:hAnsi="Times New Roman"/>
                <w:sz w:val="17"/>
              </w:rPr>
              <w:t>35.9%</w:t>
            </w:r>
          </w:p>
        </w:tc>
        <w:tc>
          <w:tcPr>
            <w:tcW w:type="dxa" w:w="1152"/>
          </w:tcPr>
          <w:p>
            <w:pPr>
              <w:jc w:val="center"/>
            </w:pPr>
            <w:r>
              <w:rPr>
                <w:rFonts w:ascii="Times New Roman" w:hAnsi="Times New Roman"/>
                <w:sz w:val="17"/>
              </w:rPr>
              <w:t>24.2%</w:t>
            </w:r>
          </w:p>
        </w:tc>
        <w:tc>
          <w:tcPr>
            <w:tcW w:type="dxa" w:w="1296"/>
          </w:tcPr>
          <w:p>
            <w:pPr>
              <w:jc w:val="center"/>
            </w:pPr>
            <w:r>
              <w:rPr>
                <w:rFonts w:ascii="Times New Roman" w:hAnsi="Times New Roman"/>
                <w:sz w:val="17"/>
              </w:rPr>
              <w:t>31.83%</w:t>
            </w:r>
          </w:p>
        </w:tc>
        <w:tc>
          <w:tcPr>
            <w:tcW w:type="dxa" w:w="1296"/>
          </w:tcPr>
          <w:p>
            <w:pPr>
              <w:jc w:val="center"/>
            </w:pPr>
            <w:r>
              <w:rPr>
                <w:rFonts w:ascii="Times New Roman" w:hAnsi="Times New Roman"/>
                <w:sz w:val="17"/>
              </w:rPr>
              <w:t>25.52%</w:t>
            </w:r>
          </w:p>
        </w:tc>
        <w:tc>
          <w:tcPr>
            <w:tcW w:type="dxa" w:w="1296"/>
          </w:tcPr>
          <w:p>
            <w:pPr>
              <w:jc w:val="center"/>
            </w:pPr>
            <w:r>
              <w:rPr>
                <w:rFonts w:ascii="Times New Roman" w:hAnsi="Times New Roman"/>
                <w:sz w:val="17"/>
              </w:rPr>
              <w:t>+631 bps</w:t>
            </w:r>
          </w:p>
        </w:tc>
      </w:tr>
      <w:tr>
        <w:tc>
          <w:tcPr>
            <w:tcW w:type="dxa" w:w="2592"/>
            <w:shd w:val="clear" w:color="auto" w:fill="E9EEF4"/>
          </w:tcPr>
          <w:p>
            <w:pPr>
              <w:jc w:val="left"/>
            </w:pPr>
            <w:r>
              <w:rPr>
                <w:rFonts w:ascii="Times New Roman" w:hAnsi="Times New Roman"/>
                <w:sz w:val="17"/>
              </w:rPr>
              <w:t>Net Margin (%)</w:t>
            </w:r>
          </w:p>
        </w:tc>
        <w:tc>
          <w:tcPr>
            <w:tcW w:type="dxa" w:w="1152"/>
            <w:shd w:val="clear" w:color="auto" w:fill="E9EEF4"/>
          </w:tcPr>
          <w:p>
            <w:pPr>
              <w:jc w:val="center"/>
            </w:pPr>
            <w:r>
              <w:rPr>
                <w:rFonts w:ascii="Times New Roman" w:hAnsi="Times New Roman"/>
                <w:sz w:val="17"/>
              </w:rPr>
              <w:t>17.9%</w:t>
            </w:r>
          </w:p>
        </w:tc>
        <w:tc>
          <w:tcPr>
            <w:tcW w:type="dxa" w:w="1152"/>
            <w:shd w:val="clear" w:color="auto" w:fill="E9EEF4"/>
          </w:tcPr>
          <w:p>
            <w:pPr>
              <w:jc w:val="center"/>
            </w:pPr>
            <w:r>
              <w:rPr>
                <w:rFonts w:ascii="Times New Roman" w:hAnsi="Times New Roman"/>
                <w:sz w:val="17"/>
              </w:rPr>
              <w:t>17.7%</w:t>
            </w:r>
          </w:p>
        </w:tc>
        <w:tc>
          <w:tcPr>
            <w:tcW w:type="dxa" w:w="1152"/>
            <w:shd w:val="clear" w:color="auto" w:fill="E9EEF4"/>
          </w:tcPr>
          <w:p>
            <w:pPr>
              <w:jc w:val="center"/>
            </w:pPr>
            <w:r>
              <w:rPr>
                <w:rFonts w:ascii="Times New Roman" w:hAnsi="Times New Roman"/>
                <w:sz w:val="17"/>
              </w:rPr>
              <w:t>18.1%</w:t>
            </w:r>
          </w:p>
        </w:tc>
        <w:tc>
          <w:tcPr>
            <w:tcW w:type="dxa" w:w="1152"/>
            <w:shd w:val="clear" w:color="auto" w:fill="E9EEF4"/>
          </w:tcPr>
          <w:p>
            <w:pPr>
              <w:jc w:val="center"/>
            </w:pPr>
            <w:r>
              <w:rPr>
                <w:rFonts w:ascii="Times New Roman" w:hAnsi="Times New Roman"/>
                <w:sz w:val="17"/>
              </w:rPr>
              <w:t>6.9%</w:t>
            </w:r>
          </w:p>
        </w:tc>
        <w:tc>
          <w:tcPr>
            <w:tcW w:type="dxa" w:w="1296"/>
            <w:shd w:val="clear" w:color="auto" w:fill="E9EEF4"/>
          </w:tcPr>
          <w:p>
            <w:pPr>
              <w:jc w:val="center"/>
            </w:pPr>
            <w:r>
              <w:rPr>
                <w:rFonts w:ascii="Times New Roman" w:hAnsi="Times New Roman"/>
                <w:sz w:val="17"/>
              </w:rPr>
              <w:t>15.17%</w:t>
            </w:r>
          </w:p>
        </w:tc>
        <w:tc>
          <w:tcPr>
            <w:tcW w:type="dxa" w:w="1296"/>
            <w:shd w:val="clear" w:color="auto" w:fill="E9EEF4"/>
          </w:tcPr>
          <w:p>
            <w:pPr>
              <w:jc w:val="center"/>
            </w:pPr>
            <w:r>
              <w:rPr>
                <w:rFonts w:ascii="Times New Roman" w:hAnsi="Times New Roman"/>
                <w:sz w:val="17"/>
              </w:rPr>
              <w:t>10.29%</w:t>
            </w:r>
          </w:p>
        </w:tc>
        <w:tc>
          <w:tcPr>
            <w:tcW w:type="dxa" w:w="1296"/>
            <w:shd w:val="clear" w:color="auto" w:fill="E9EEF4"/>
          </w:tcPr>
          <w:p>
            <w:pPr>
              <w:jc w:val="center"/>
            </w:pPr>
            <w:r>
              <w:rPr>
                <w:rFonts w:ascii="Times New Roman" w:hAnsi="Times New Roman"/>
                <w:sz w:val="17"/>
              </w:rPr>
              <w:t>+488 bps</w:t>
            </w:r>
          </w:p>
        </w:tc>
      </w:tr>
      <w:tr>
        <w:tc>
          <w:tcPr>
            <w:tcW w:type="dxa" w:w="2592"/>
          </w:tcPr>
          <w:p>
            <w:pPr>
              <w:jc w:val="left"/>
            </w:pPr>
            <w:r>
              <w:rPr>
                <w:rFonts w:ascii="Times New Roman" w:hAnsi="Times New Roman"/>
                <w:sz w:val="17"/>
              </w:rPr>
              <w:t>ROIC (%)</w:t>
            </w:r>
          </w:p>
        </w:tc>
        <w:tc>
          <w:tcPr>
            <w:tcW w:type="dxa" w:w="1152"/>
          </w:tcPr>
          <w:p>
            <w:pPr>
              <w:jc w:val="center"/>
            </w:pPr>
            <w:r>
              <w:rPr>
                <w:rFonts w:ascii="Times New Roman" w:hAnsi="Times New Roman"/>
                <w:sz w:val="17"/>
              </w:rPr>
              <w:t>—</w:t>
            </w:r>
          </w:p>
        </w:tc>
        <w:tc>
          <w:tcPr>
            <w:tcW w:type="dxa" w:w="1152"/>
          </w:tcPr>
          <w:p>
            <w:pPr>
              <w:jc w:val="center"/>
            </w:pPr>
            <w:r>
              <w:rPr>
                <w:rFonts w:ascii="Times New Roman" w:hAnsi="Times New Roman"/>
                <w:sz w:val="17"/>
              </w:rPr>
              <w:t>—</w:t>
            </w:r>
          </w:p>
        </w:tc>
        <w:tc>
          <w:tcPr>
            <w:tcW w:type="dxa" w:w="1152"/>
          </w:tcPr>
          <w:p>
            <w:pPr>
              <w:jc w:val="center"/>
            </w:pPr>
            <w:r>
              <w:rPr>
                <w:rFonts w:ascii="Times New Roman" w:hAnsi="Times New Roman"/>
                <w:sz w:val="17"/>
              </w:rPr>
              <w:t>—</w:t>
            </w:r>
          </w:p>
        </w:tc>
        <w:tc>
          <w:tcPr>
            <w:tcW w:type="dxa" w:w="1152"/>
          </w:tcPr>
          <w:p>
            <w:pPr>
              <w:jc w:val="center"/>
            </w:pPr>
            <w:r>
              <w:rPr>
                <w:rFonts w:ascii="Times New Roman" w:hAnsi="Times New Roman"/>
                <w:sz w:val="17"/>
              </w:rPr>
              <w:t>—</w:t>
            </w:r>
          </w:p>
        </w:tc>
        <w:tc>
          <w:tcPr>
            <w:tcW w:type="dxa" w:w="1296"/>
          </w:tcPr>
          <w:p>
            <w:pPr>
              <w:jc w:val="center"/>
            </w:pPr>
            <w:r>
              <w:rPr>
                <w:rFonts w:ascii="Times New Roman" w:hAnsi="Times New Roman"/>
                <w:sz w:val="17"/>
              </w:rPr>
              <w:t>25.01%</w:t>
            </w:r>
          </w:p>
        </w:tc>
        <w:tc>
          <w:tcPr>
            <w:tcW w:type="dxa" w:w="1296"/>
          </w:tcPr>
          <w:p>
            <w:pPr>
              <w:jc w:val="center"/>
            </w:pPr>
            <w:r>
              <w:rPr>
                <w:rFonts w:ascii="Times New Roman" w:hAnsi="Times New Roman"/>
                <w:sz w:val="17"/>
              </w:rPr>
              <w:t>~20.0%</w:t>
            </w:r>
          </w:p>
        </w:tc>
        <w:tc>
          <w:tcPr>
            <w:tcW w:type="dxa" w:w="1296"/>
          </w:tcPr>
          <w:p>
            <w:pPr>
              <w:jc w:val="center"/>
            </w:pPr>
            <w:r>
              <w:rPr>
                <w:rFonts w:ascii="Times New Roman" w:hAnsi="Times New Roman"/>
                <w:sz w:val="17"/>
              </w:rPr>
              <w:t>+~500 bps</w:t>
            </w:r>
          </w:p>
        </w:tc>
      </w:tr>
      <w:tr>
        <w:tc>
          <w:tcPr>
            <w:tcW w:type="dxa" w:w="2592"/>
            <w:shd w:val="clear" w:color="auto" w:fill="E9EEF4"/>
          </w:tcPr>
          <w:p>
            <w:pPr>
              <w:jc w:val="left"/>
            </w:pPr>
            <w:r>
              <w:rPr>
                <w:rFonts w:ascii="Times New Roman" w:hAnsi="Times New Roman"/>
                <w:sz w:val="17"/>
              </w:rPr>
              <w:t>Op. CF/Share (CNY)</w:t>
            </w:r>
          </w:p>
        </w:tc>
        <w:tc>
          <w:tcPr>
            <w:tcW w:type="dxa" w:w="1152"/>
            <w:shd w:val="clear" w:color="auto" w:fill="E9EEF4"/>
          </w:tcPr>
          <w:p>
            <w:pPr>
              <w:jc w:val="center"/>
            </w:pPr>
            <w:r>
              <w:rPr>
                <w:rFonts w:ascii="Times New Roman" w:hAnsi="Times New Roman"/>
                <w:sz w:val="17"/>
              </w:rPr>
              <w:t>—</w:t>
            </w:r>
          </w:p>
        </w:tc>
        <w:tc>
          <w:tcPr>
            <w:tcW w:type="dxa" w:w="1152"/>
            <w:shd w:val="clear" w:color="auto" w:fill="E9EEF4"/>
          </w:tcPr>
          <w:p>
            <w:pPr>
              <w:jc w:val="center"/>
            </w:pPr>
            <w:r>
              <w:rPr>
                <w:rFonts w:ascii="Times New Roman" w:hAnsi="Times New Roman"/>
                <w:sz w:val="17"/>
              </w:rPr>
              <w:t>—</w:t>
            </w:r>
          </w:p>
        </w:tc>
        <w:tc>
          <w:tcPr>
            <w:tcW w:type="dxa" w:w="1152"/>
            <w:shd w:val="clear" w:color="auto" w:fill="E9EEF4"/>
          </w:tcPr>
          <w:p>
            <w:pPr>
              <w:jc w:val="center"/>
            </w:pPr>
            <w:r>
              <w:rPr>
                <w:rFonts w:ascii="Times New Roman" w:hAnsi="Times New Roman"/>
                <w:sz w:val="17"/>
              </w:rPr>
              <w:t>—</w:t>
            </w:r>
          </w:p>
        </w:tc>
        <w:tc>
          <w:tcPr>
            <w:tcW w:type="dxa" w:w="1152"/>
            <w:shd w:val="clear" w:color="auto" w:fill="E9EEF4"/>
          </w:tcPr>
          <w:p>
            <w:pPr>
              <w:jc w:val="center"/>
            </w:pPr>
            <w:r>
              <w:rPr>
                <w:rFonts w:ascii="Times New Roman" w:hAnsi="Times New Roman"/>
                <w:sz w:val="17"/>
              </w:rPr>
              <w:t>—</w:t>
            </w:r>
          </w:p>
        </w:tc>
        <w:tc>
          <w:tcPr>
            <w:tcW w:type="dxa" w:w="1296"/>
            <w:shd w:val="clear" w:color="auto" w:fill="E9EEF4"/>
          </w:tcPr>
          <w:p>
            <w:pPr>
              <w:jc w:val="center"/>
            </w:pPr>
            <w:r>
              <w:rPr>
                <w:rFonts w:ascii="Times New Roman" w:hAnsi="Times New Roman"/>
                <w:sz w:val="17"/>
              </w:rPr>
              <w:t>¥8.16</w:t>
            </w:r>
          </w:p>
        </w:tc>
        <w:tc>
          <w:tcPr>
            <w:tcW w:type="dxa" w:w="1296"/>
            <w:shd w:val="clear" w:color="auto" w:fill="E9EEF4"/>
          </w:tcPr>
          <w:p>
            <w:pPr>
              <w:jc w:val="center"/>
            </w:pPr>
            <w:r>
              <w:rPr>
                <w:rFonts w:ascii="Times New Roman" w:hAnsi="Times New Roman"/>
                <w:sz w:val="17"/>
              </w:rPr>
              <w:t>¥5.82</w:t>
            </w:r>
          </w:p>
        </w:tc>
        <w:tc>
          <w:tcPr>
            <w:tcW w:type="dxa" w:w="1296"/>
            <w:shd w:val="clear" w:color="auto" w:fill="E9EEF4"/>
          </w:tcPr>
          <w:p>
            <w:pPr>
              <w:jc w:val="center"/>
            </w:pPr>
            <w:r>
              <w:rPr>
                <w:rFonts w:ascii="Times New Roman" w:hAnsi="Times New Roman"/>
                <w:sz w:val="17"/>
              </w:rPr>
              <w:t>+40.2%</w:t>
            </w:r>
          </w:p>
        </w:tc>
      </w:tr>
    </w:tbl>
    <w:p>
      <w:pPr>
        <w:spacing w:before="20" w:after="80"/>
        <w:ind w:left="0"/>
      </w:pPr>
      <w:r>
        <w:rPr>
          <w:i/>
          <w:color w:val="808080"/>
          <w:sz w:val="15"/>
        </w:rPr>
        <w:t>Source: Sungrow 2025 Annual Report; Company investor call (2026-03-31)</w:t>
      </w:r>
    </w:p>
    <w:p>
      <w:pPr>
        <w:spacing w:before="80" w:after="40"/>
        <w:ind w:left="0"/>
        <w:jc w:val="center"/>
      </w:pPr>
      <w:r>
        <w:drawing>
          <wp:inline xmlns:a="http://schemas.openxmlformats.org/drawingml/2006/main" xmlns:pic="http://schemas.openxmlformats.org/drawingml/2006/picture">
            <wp:extent cx="5669280" cy="3157235"/>
            <wp:docPr id="4" name="Picture 4"/>
            <wp:cNvGraphicFramePr>
              <a:graphicFrameLocks noChangeAspect="1"/>
            </wp:cNvGraphicFramePr>
            <a:graphic>
              <a:graphicData uri="http://schemas.openxmlformats.org/drawingml/2006/picture">
                <pic:pic>
                  <pic:nvPicPr>
                    <pic:cNvPr id="0" name="300274_chart3_margins.png"/>
                    <pic:cNvPicPr/>
                  </pic:nvPicPr>
                  <pic:blipFill>
                    <a:blip r:embed="rId12"/>
                    <a:stretch>
                      <a:fillRect/>
                    </a:stretch>
                  </pic:blipFill>
                  <pic:spPr>
                    <a:xfrm>
                      <a:off x="0" y="0"/>
                      <a:ext cx="5669280" cy="3157235"/>
                    </a:xfrm>
                    <a:prstGeom prst="rect"/>
                  </pic:spPr>
                </pic:pic>
              </a:graphicData>
            </a:graphic>
          </wp:inline>
        </w:drawing>
      </w:r>
    </w:p>
    <w:p>
      <w:pPr>
        <w:spacing w:before="0" w:after="120"/>
        <w:ind w:left="0"/>
        <w:jc w:val="center"/>
      </w:pPr>
      <w:r>
        <w:t>Figure 3 — Quarterly Margin Trends | Source: Sungrow 2025 Annual Report; Company investor call</w:t>
      </w:r>
      <w:r>
        <w:rPr>
          <w:rFonts w:ascii="Times New Roman" w:hAnsi="Times New Roman"/>
          <w:b w:val="0"/>
          <w:i/>
          <w:color w:val="808080"/>
          <w:sz w:val="16"/>
        </w:rPr>
      </w:r>
    </w:p>
    <w:p>
      <w:r>
        <w:br w:type="page"/>
      </w:r>
    </w:p>
    <w:p>
      <w:pPr>
        <w:spacing w:before="160" w:after="80"/>
        <w:ind w:left="0"/>
      </w:pPr>
      <w:r>
        <w:rPr>
          <w:rFonts w:ascii="Times New Roman" w:hAnsi="Times New Roman"/>
          <w:b/>
          <w:i w:val="0"/>
          <w:color w:val="1F4E79"/>
          <w:sz w:val="24"/>
        </w:rPr>
        <w:t>SECTION 2: KEY OPERATING METRICS &amp; GUIDANCE</w:t>
      </w:r>
    </w:p>
    <w:p>
      <w:pPr>
        <w:spacing w:before="40" w:after="40"/>
        <w:pBdr>
          <w:bottom w:val="single" w:sz="6" w:space="1" w:color="1F4E79"/>
        </w:pBdr>
      </w:pPr>
    </w:p>
    <w:p>
      <w:pPr>
        <w:spacing w:before="160" w:after="80"/>
        <w:ind w:left="0"/>
      </w:pPr>
      <w:r>
        <w:rPr>
          <w:rFonts w:ascii="Times New Roman" w:hAnsi="Times New Roman"/>
          <w:b/>
          <w:i w:val="0"/>
          <w:color w:val="2E75B6"/>
          <w:sz w:val="22"/>
        </w:rPr>
        <w:t>2.1  Shipment Performance</w:t>
      </w:r>
    </w:p>
    <w:p>
      <w:pPr>
        <w:spacing w:before="80" w:after="120"/>
        <w:ind w:left="0"/>
      </w:pPr>
      <w:r>
        <w:rPr>
          <w:rFonts w:ascii="Times New Roman" w:hAnsi="Times New Roman"/>
          <w:b/>
          <w:i w:val="0"/>
          <w:sz w:val="19"/>
        </w:rPr>
        <w:t xml:space="preserve">Energy Storage: 43 GWh (+53.6% YoY) — Global Leadership Solidified. </w:t>
      </w:r>
      <w:r>
        <w:rPr>
          <w:rFonts w:ascii="Times New Roman" w:hAnsi="Times New Roman"/>
          <w:b w:val="0"/>
          <w:i w:val="0"/>
          <w:sz w:val="19"/>
        </w:rPr>
        <w:t>FY2025 energy storage system shipments of 43 GWh exceeded our estimate of ~40 GWh and grew 53.6% from 28 GWh in FY2024. Overseas shipments surged 89% YoY to 36 GWh (84% of total), reflecting successful global market penetration in the US, Europe, and APAC. Domestic storage contracted 22% YoY to 7 GWh, consistent with softer Chinese utility storage project timing in FY2025. The divergence between domestic and overseas trends underscores Sungrow's strategic pivot toward higher-margin international markets.</w:t>
      </w:r>
    </w:p>
    <w:p>
      <w:pPr>
        <w:spacing w:before="80" w:after="120"/>
        <w:ind w:left="0"/>
      </w:pPr>
      <w:r>
        <w:rPr>
          <w:rFonts w:ascii="Times New Roman" w:hAnsi="Times New Roman"/>
          <w:b/>
          <w:i w:val="0"/>
          <w:sz w:val="19"/>
        </w:rPr>
        <w:t xml:space="preserve">PV Inverters: 143 GW (-2.7% YoY) — Domestic Headwind Dominates. </w:t>
      </w:r>
      <w:r>
        <w:rPr>
          <w:rFonts w:ascii="Times New Roman" w:hAnsi="Times New Roman"/>
          <w:b w:val="0"/>
          <w:i w:val="0"/>
          <w:sz w:val="19"/>
        </w:rPr>
        <w:t>PV inverter shipments of 143 GW in FY2025 declined slightly (-2.7%) from 147 GW in FY2024, with domestic shipments falling 19% YoY to 57 GW — a reflection of the more competitive and price-pressured domestic Chinese solar market. However, this was partially offset by international inverter demand. Inverter revenue still grew 8.1% YoY to ¥31.14B as mix improved toward higher-value products (string inverters, utility-scale solutions) and international pricing held up better.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168"/>
            <w:shd w:val="clear" w:color="auto" w:fill="1F4E79"/>
          </w:tcPr>
          <w:p>
            <w:pPr>
              <w:jc w:val="center"/>
            </w:pPr>
            <w:r>
              <w:rPr>
                <w:rFonts w:ascii="Times New Roman" w:hAnsi="Times New Roman"/>
                <w:b/>
                <w:color w:val="FFFFFF"/>
                <w:sz w:val="17"/>
              </w:rPr>
              <w:t>Metric</w:t>
            </w:r>
          </w:p>
        </w:tc>
        <w:tc>
          <w:tcPr>
            <w:tcW w:type="dxa" w:w="1440"/>
            <w:shd w:val="clear" w:color="auto" w:fill="1F4E79"/>
          </w:tcPr>
          <w:p>
            <w:pPr>
              <w:jc w:val="center"/>
            </w:pPr>
            <w:r>
              <w:rPr>
                <w:rFonts w:ascii="Times New Roman" w:hAnsi="Times New Roman"/>
                <w:b/>
                <w:color w:val="FFFFFF"/>
                <w:sz w:val="17"/>
              </w:rPr>
              <w:t>FY2023A</w:t>
            </w:r>
          </w:p>
        </w:tc>
        <w:tc>
          <w:tcPr>
            <w:tcW w:type="dxa" w:w="1440"/>
            <w:shd w:val="clear" w:color="auto" w:fill="1F4E79"/>
          </w:tcPr>
          <w:p>
            <w:pPr>
              <w:jc w:val="center"/>
            </w:pPr>
            <w:r>
              <w:rPr>
                <w:rFonts w:ascii="Times New Roman" w:hAnsi="Times New Roman"/>
                <w:b/>
                <w:color w:val="FFFFFF"/>
                <w:sz w:val="17"/>
              </w:rPr>
              <w:t>FY2024A</w:t>
            </w:r>
          </w:p>
        </w:tc>
        <w:tc>
          <w:tcPr>
            <w:tcW w:type="dxa" w:w="1440"/>
            <w:shd w:val="clear" w:color="auto" w:fill="1F4E79"/>
          </w:tcPr>
          <w:p>
            <w:pPr>
              <w:jc w:val="center"/>
            </w:pPr>
            <w:r>
              <w:rPr>
                <w:rFonts w:ascii="Times New Roman" w:hAnsi="Times New Roman"/>
                <w:b/>
                <w:color w:val="FFFFFF"/>
                <w:sz w:val="17"/>
              </w:rPr>
              <w:t>FY2025A</w:t>
            </w:r>
          </w:p>
        </w:tc>
        <w:tc>
          <w:tcPr>
            <w:tcW w:type="dxa" w:w="1440"/>
            <w:shd w:val="clear" w:color="auto" w:fill="1F4E79"/>
          </w:tcPr>
          <w:p>
            <w:pPr>
              <w:jc w:val="center"/>
            </w:pPr>
            <w:r>
              <w:rPr>
                <w:rFonts w:ascii="Times New Roman" w:hAnsi="Times New Roman"/>
                <w:b/>
                <w:color w:val="FFFFFF"/>
                <w:sz w:val="17"/>
              </w:rPr>
              <w:t>YoY Growth</w:t>
            </w:r>
          </w:p>
        </w:tc>
        <w:tc>
          <w:tcPr>
            <w:tcW w:type="dxa" w:w="1728"/>
            <w:shd w:val="clear" w:color="auto" w:fill="1F4E79"/>
          </w:tcPr>
          <w:p>
            <w:pPr>
              <w:jc w:val="center"/>
            </w:pPr>
            <w:r>
              <w:rPr>
                <w:rFonts w:ascii="Times New Roman" w:hAnsi="Times New Roman"/>
                <w:b/>
                <w:color w:val="FFFFFF"/>
                <w:sz w:val="17"/>
              </w:rPr>
              <w:t>2026 Target</w:t>
            </w:r>
          </w:p>
        </w:tc>
      </w:tr>
      <w:tr>
        <w:tc>
          <w:tcPr>
            <w:tcW w:type="dxa" w:w="3168"/>
          </w:tcPr>
          <w:p>
            <w:pPr>
              <w:jc w:val="left"/>
            </w:pPr>
            <w:r>
              <w:rPr>
                <w:rFonts w:ascii="Times New Roman" w:hAnsi="Times New Roman"/>
                <w:sz w:val="17"/>
              </w:rPr>
              <w:t>Energy Storage (GWh)</w:t>
            </w:r>
          </w:p>
        </w:tc>
        <w:tc>
          <w:tcPr>
            <w:tcW w:type="dxa" w:w="1440"/>
          </w:tcPr>
          <w:p>
            <w:pPr>
              <w:jc w:val="center"/>
            </w:pPr>
            <w:r>
              <w:rPr>
                <w:rFonts w:ascii="Times New Roman" w:hAnsi="Times New Roman"/>
                <w:sz w:val="17"/>
              </w:rPr>
              <w:t>16.0</w:t>
            </w:r>
          </w:p>
        </w:tc>
        <w:tc>
          <w:tcPr>
            <w:tcW w:type="dxa" w:w="1440"/>
          </w:tcPr>
          <w:p>
            <w:pPr>
              <w:jc w:val="center"/>
            </w:pPr>
            <w:r>
              <w:rPr>
                <w:rFonts w:ascii="Times New Roman" w:hAnsi="Times New Roman"/>
                <w:sz w:val="17"/>
              </w:rPr>
              <w:t>28.0</w:t>
            </w:r>
          </w:p>
        </w:tc>
        <w:tc>
          <w:tcPr>
            <w:tcW w:type="dxa" w:w="1440"/>
          </w:tcPr>
          <w:p>
            <w:pPr>
              <w:jc w:val="center"/>
            </w:pPr>
            <w:r>
              <w:rPr>
                <w:rFonts w:ascii="Times New Roman" w:hAnsi="Times New Roman"/>
                <w:sz w:val="17"/>
              </w:rPr>
              <w:t>43.0</w:t>
            </w:r>
          </w:p>
        </w:tc>
        <w:tc>
          <w:tcPr>
            <w:tcW w:type="dxa" w:w="1440"/>
          </w:tcPr>
          <w:p>
            <w:pPr>
              <w:jc w:val="center"/>
            </w:pPr>
            <w:r>
              <w:rPr>
                <w:rFonts w:ascii="Times New Roman" w:hAnsi="Times New Roman"/>
                <w:sz w:val="17"/>
              </w:rPr>
              <w:t>+53.6%</w:t>
            </w:r>
          </w:p>
        </w:tc>
        <w:tc>
          <w:tcPr>
            <w:tcW w:type="dxa" w:w="1728"/>
          </w:tcPr>
          <w:p>
            <w:pPr>
              <w:jc w:val="center"/>
            </w:pPr>
            <w:r>
              <w:rPr>
                <w:rFonts w:ascii="Times New Roman" w:hAnsi="Times New Roman"/>
                <w:sz w:val="17"/>
              </w:rPr>
              <w:t>&gt;60.0 GWh</w:t>
            </w:r>
          </w:p>
        </w:tc>
      </w:tr>
      <w:tr>
        <w:tc>
          <w:tcPr>
            <w:tcW w:type="dxa" w:w="3168"/>
            <w:shd w:val="clear" w:color="auto" w:fill="E9EEF4"/>
          </w:tcPr>
          <w:p>
            <w:pPr>
              <w:jc w:val="left"/>
            </w:pPr>
            <w:r>
              <w:rPr>
                <w:rFonts w:ascii="Times New Roman" w:hAnsi="Times New Roman"/>
                <w:sz w:val="17"/>
              </w:rPr>
              <w:t>— Domestic (GWh)</w:t>
            </w:r>
          </w:p>
        </w:tc>
        <w:tc>
          <w:tcPr>
            <w:tcW w:type="dxa" w:w="1440"/>
            <w:shd w:val="clear" w:color="auto" w:fill="E9EEF4"/>
          </w:tcPr>
          <w:p>
            <w:pPr>
              <w:jc w:val="center"/>
            </w:pPr>
            <w:r>
              <w:rPr>
                <w:rFonts w:ascii="Times New Roman" w:hAnsi="Times New Roman"/>
                <w:sz w:val="17"/>
              </w:rPr>
              <w:t>7.0</w:t>
            </w:r>
          </w:p>
        </w:tc>
        <w:tc>
          <w:tcPr>
            <w:tcW w:type="dxa" w:w="1440"/>
            <w:shd w:val="clear" w:color="auto" w:fill="E9EEF4"/>
          </w:tcPr>
          <w:p>
            <w:pPr>
              <w:jc w:val="center"/>
            </w:pPr>
            <w:r>
              <w:rPr>
                <w:rFonts w:ascii="Times New Roman" w:hAnsi="Times New Roman"/>
                <w:sz w:val="17"/>
              </w:rPr>
              <w:t>9.0</w:t>
            </w:r>
          </w:p>
        </w:tc>
        <w:tc>
          <w:tcPr>
            <w:tcW w:type="dxa" w:w="1440"/>
            <w:shd w:val="clear" w:color="auto" w:fill="E9EEF4"/>
          </w:tcPr>
          <w:p>
            <w:pPr>
              <w:jc w:val="center"/>
            </w:pPr>
            <w:r>
              <w:rPr>
                <w:rFonts w:ascii="Times New Roman" w:hAnsi="Times New Roman"/>
                <w:sz w:val="17"/>
              </w:rPr>
              <w:t>7.0</w:t>
            </w:r>
          </w:p>
        </w:tc>
        <w:tc>
          <w:tcPr>
            <w:tcW w:type="dxa" w:w="1440"/>
            <w:shd w:val="clear" w:color="auto" w:fill="E9EEF4"/>
          </w:tcPr>
          <w:p>
            <w:pPr>
              <w:jc w:val="center"/>
            </w:pPr>
            <w:r>
              <w:rPr>
                <w:rFonts w:ascii="Times New Roman" w:hAnsi="Times New Roman"/>
                <w:sz w:val="17"/>
              </w:rPr>
              <w:t>-22.2%</w:t>
            </w:r>
          </w:p>
        </w:tc>
        <w:tc>
          <w:tcPr>
            <w:tcW w:type="dxa" w:w="1728"/>
            <w:shd w:val="clear" w:color="auto" w:fill="E9EEF4"/>
          </w:tcPr>
          <w:p>
            <w:pPr>
              <w:jc w:val="center"/>
            </w:pPr>
            <w:r>
              <w:rPr>
                <w:rFonts w:ascii="Times New Roman" w:hAnsi="Times New Roman"/>
                <w:sz w:val="17"/>
              </w:rPr>
              <w:t>~10.0</w:t>
            </w:r>
          </w:p>
        </w:tc>
      </w:tr>
      <w:tr>
        <w:tc>
          <w:tcPr>
            <w:tcW w:type="dxa" w:w="3168"/>
          </w:tcPr>
          <w:p>
            <w:pPr>
              <w:jc w:val="left"/>
            </w:pPr>
            <w:r>
              <w:rPr>
                <w:rFonts w:ascii="Times New Roman" w:hAnsi="Times New Roman"/>
                <w:sz w:val="17"/>
              </w:rPr>
              <w:t>— Overseas (GWh)</w:t>
            </w:r>
          </w:p>
        </w:tc>
        <w:tc>
          <w:tcPr>
            <w:tcW w:type="dxa" w:w="1440"/>
          </w:tcPr>
          <w:p>
            <w:pPr>
              <w:jc w:val="center"/>
            </w:pPr>
            <w:r>
              <w:rPr>
                <w:rFonts w:ascii="Times New Roman" w:hAnsi="Times New Roman"/>
                <w:sz w:val="17"/>
              </w:rPr>
              <w:t>9.0</w:t>
            </w:r>
          </w:p>
        </w:tc>
        <w:tc>
          <w:tcPr>
            <w:tcW w:type="dxa" w:w="1440"/>
          </w:tcPr>
          <w:p>
            <w:pPr>
              <w:jc w:val="center"/>
            </w:pPr>
            <w:r>
              <w:rPr>
                <w:rFonts w:ascii="Times New Roman" w:hAnsi="Times New Roman"/>
                <w:sz w:val="17"/>
              </w:rPr>
              <w:t>19.0</w:t>
            </w:r>
          </w:p>
        </w:tc>
        <w:tc>
          <w:tcPr>
            <w:tcW w:type="dxa" w:w="1440"/>
          </w:tcPr>
          <w:p>
            <w:pPr>
              <w:jc w:val="center"/>
            </w:pPr>
            <w:r>
              <w:rPr>
                <w:rFonts w:ascii="Times New Roman" w:hAnsi="Times New Roman"/>
                <w:sz w:val="17"/>
              </w:rPr>
              <w:t>36.0</w:t>
            </w:r>
          </w:p>
        </w:tc>
        <w:tc>
          <w:tcPr>
            <w:tcW w:type="dxa" w:w="1440"/>
          </w:tcPr>
          <w:p>
            <w:pPr>
              <w:jc w:val="center"/>
            </w:pPr>
            <w:r>
              <w:rPr>
                <w:rFonts w:ascii="Times New Roman" w:hAnsi="Times New Roman"/>
                <w:sz w:val="17"/>
              </w:rPr>
              <w:t>+89.5%</w:t>
            </w:r>
          </w:p>
        </w:tc>
        <w:tc>
          <w:tcPr>
            <w:tcW w:type="dxa" w:w="1728"/>
          </w:tcPr>
          <w:p>
            <w:pPr>
              <w:jc w:val="center"/>
            </w:pPr>
            <w:r>
              <w:rPr>
                <w:rFonts w:ascii="Times New Roman" w:hAnsi="Times New Roman"/>
                <w:sz w:val="17"/>
              </w:rPr>
              <w:t>&gt;50.0</w:t>
            </w:r>
          </w:p>
        </w:tc>
      </w:tr>
      <w:tr>
        <w:tc>
          <w:tcPr>
            <w:tcW w:type="dxa" w:w="3168"/>
            <w:shd w:val="clear" w:color="auto" w:fill="E9EEF4"/>
          </w:tcPr>
          <w:p>
            <w:pPr>
              <w:jc w:val="left"/>
            </w:pPr>
            <w:r>
              <w:rPr>
                <w:rFonts w:ascii="Times New Roman" w:hAnsi="Times New Roman"/>
                <w:sz w:val="17"/>
              </w:rPr>
              <w:t>PV Inverters (GW)</w:t>
            </w:r>
          </w:p>
        </w:tc>
        <w:tc>
          <w:tcPr>
            <w:tcW w:type="dxa" w:w="1440"/>
            <w:shd w:val="clear" w:color="auto" w:fill="E9EEF4"/>
          </w:tcPr>
          <w:p>
            <w:pPr>
              <w:jc w:val="center"/>
            </w:pPr>
            <w:r>
              <w:rPr>
                <w:rFonts w:ascii="Times New Roman" w:hAnsi="Times New Roman"/>
                <w:sz w:val="17"/>
              </w:rPr>
              <w:t>130.0</w:t>
            </w:r>
          </w:p>
        </w:tc>
        <w:tc>
          <w:tcPr>
            <w:tcW w:type="dxa" w:w="1440"/>
            <w:shd w:val="clear" w:color="auto" w:fill="E9EEF4"/>
          </w:tcPr>
          <w:p>
            <w:pPr>
              <w:jc w:val="center"/>
            </w:pPr>
            <w:r>
              <w:rPr>
                <w:rFonts w:ascii="Times New Roman" w:hAnsi="Times New Roman"/>
                <w:sz w:val="17"/>
              </w:rPr>
              <w:t>147.0</w:t>
            </w:r>
          </w:p>
        </w:tc>
        <w:tc>
          <w:tcPr>
            <w:tcW w:type="dxa" w:w="1440"/>
            <w:shd w:val="clear" w:color="auto" w:fill="E9EEF4"/>
          </w:tcPr>
          <w:p>
            <w:pPr>
              <w:jc w:val="center"/>
            </w:pPr>
            <w:r>
              <w:rPr>
                <w:rFonts w:ascii="Times New Roman" w:hAnsi="Times New Roman"/>
                <w:sz w:val="17"/>
              </w:rPr>
              <w:t>143.0</w:t>
            </w:r>
          </w:p>
        </w:tc>
        <w:tc>
          <w:tcPr>
            <w:tcW w:type="dxa" w:w="1440"/>
            <w:shd w:val="clear" w:color="auto" w:fill="E9EEF4"/>
          </w:tcPr>
          <w:p>
            <w:pPr>
              <w:jc w:val="center"/>
            </w:pPr>
            <w:r>
              <w:rPr>
                <w:rFonts w:ascii="Times New Roman" w:hAnsi="Times New Roman"/>
                <w:sz w:val="17"/>
              </w:rPr>
              <w:t>-2.7%</w:t>
            </w:r>
          </w:p>
        </w:tc>
        <w:tc>
          <w:tcPr>
            <w:tcW w:type="dxa" w:w="1728"/>
            <w:shd w:val="clear" w:color="auto" w:fill="E9EEF4"/>
          </w:tcPr>
          <w:p>
            <w:pPr>
              <w:jc w:val="center"/>
            </w:pPr>
            <w:r>
              <w:rPr>
                <w:rFonts w:ascii="Times New Roman" w:hAnsi="Times New Roman"/>
                <w:sz w:val="17"/>
              </w:rPr>
              <w:t>~155.0 GW</w:t>
            </w:r>
          </w:p>
        </w:tc>
      </w:tr>
      <w:tr>
        <w:tc>
          <w:tcPr>
            <w:tcW w:type="dxa" w:w="3168"/>
          </w:tcPr>
          <w:p>
            <w:pPr>
              <w:jc w:val="left"/>
            </w:pPr>
            <w:r>
              <w:rPr>
                <w:rFonts w:ascii="Times New Roman" w:hAnsi="Times New Roman"/>
                <w:sz w:val="17"/>
              </w:rPr>
              <w:t>— Domestic (GW)</w:t>
            </w:r>
          </w:p>
        </w:tc>
        <w:tc>
          <w:tcPr>
            <w:tcW w:type="dxa" w:w="1440"/>
          </w:tcPr>
          <w:p>
            <w:pPr>
              <w:jc w:val="center"/>
            </w:pPr>
            <w:r>
              <w:rPr>
                <w:rFonts w:ascii="Times New Roman" w:hAnsi="Times New Roman"/>
                <w:sz w:val="17"/>
              </w:rPr>
              <w:t>n/a</w:t>
            </w:r>
          </w:p>
        </w:tc>
        <w:tc>
          <w:tcPr>
            <w:tcW w:type="dxa" w:w="1440"/>
          </w:tcPr>
          <w:p>
            <w:pPr>
              <w:jc w:val="center"/>
            </w:pPr>
            <w:r>
              <w:rPr>
                <w:rFonts w:ascii="Times New Roman" w:hAnsi="Times New Roman"/>
                <w:sz w:val="17"/>
              </w:rPr>
              <w:t>71.0</w:t>
            </w:r>
          </w:p>
        </w:tc>
        <w:tc>
          <w:tcPr>
            <w:tcW w:type="dxa" w:w="1440"/>
          </w:tcPr>
          <w:p>
            <w:pPr>
              <w:jc w:val="center"/>
            </w:pPr>
            <w:r>
              <w:rPr>
                <w:rFonts w:ascii="Times New Roman" w:hAnsi="Times New Roman"/>
                <w:sz w:val="17"/>
              </w:rPr>
              <w:t>57.0</w:t>
            </w:r>
          </w:p>
        </w:tc>
        <w:tc>
          <w:tcPr>
            <w:tcW w:type="dxa" w:w="1440"/>
          </w:tcPr>
          <w:p>
            <w:pPr>
              <w:jc w:val="center"/>
            </w:pPr>
            <w:r>
              <w:rPr>
                <w:rFonts w:ascii="Times New Roman" w:hAnsi="Times New Roman"/>
                <w:sz w:val="17"/>
              </w:rPr>
              <w:t>-19.7%</w:t>
            </w:r>
          </w:p>
        </w:tc>
        <w:tc>
          <w:tcPr>
            <w:tcW w:type="dxa" w:w="1728"/>
          </w:tcPr>
          <w:p>
            <w:pPr>
              <w:jc w:val="center"/>
            </w:pPr>
            <w:r>
              <w:rPr>
                <w:rFonts w:ascii="Times New Roman" w:hAnsi="Times New Roman"/>
                <w:sz w:val="17"/>
              </w:rPr>
              <w:t>~60.0</w:t>
            </w:r>
          </w:p>
        </w:tc>
      </w:tr>
      <w:tr>
        <w:tc>
          <w:tcPr>
            <w:tcW w:type="dxa" w:w="3168"/>
            <w:shd w:val="clear" w:color="auto" w:fill="E9EEF4"/>
          </w:tcPr>
          <w:p>
            <w:pPr>
              <w:jc w:val="left"/>
            </w:pPr>
            <w:r>
              <w:rPr>
                <w:rFonts w:ascii="Times New Roman" w:hAnsi="Times New Roman"/>
                <w:sz w:val="17"/>
              </w:rPr>
              <w:t>— Overseas (GW)</w:t>
            </w:r>
          </w:p>
        </w:tc>
        <w:tc>
          <w:tcPr>
            <w:tcW w:type="dxa" w:w="1440"/>
            <w:shd w:val="clear" w:color="auto" w:fill="E9EEF4"/>
          </w:tcPr>
          <w:p>
            <w:pPr>
              <w:jc w:val="center"/>
            </w:pPr>
            <w:r>
              <w:rPr>
                <w:rFonts w:ascii="Times New Roman" w:hAnsi="Times New Roman"/>
                <w:sz w:val="17"/>
              </w:rPr>
              <w:t>n/a</w:t>
            </w:r>
          </w:p>
        </w:tc>
        <w:tc>
          <w:tcPr>
            <w:tcW w:type="dxa" w:w="1440"/>
            <w:shd w:val="clear" w:color="auto" w:fill="E9EEF4"/>
          </w:tcPr>
          <w:p>
            <w:pPr>
              <w:jc w:val="center"/>
            </w:pPr>
            <w:r>
              <w:rPr>
                <w:rFonts w:ascii="Times New Roman" w:hAnsi="Times New Roman"/>
                <w:sz w:val="17"/>
              </w:rPr>
              <w:t>76.0</w:t>
            </w:r>
          </w:p>
        </w:tc>
        <w:tc>
          <w:tcPr>
            <w:tcW w:type="dxa" w:w="1440"/>
            <w:shd w:val="clear" w:color="auto" w:fill="E9EEF4"/>
          </w:tcPr>
          <w:p>
            <w:pPr>
              <w:jc w:val="center"/>
            </w:pPr>
            <w:r>
              <w:rPr>
                <w:rFonts w:ascii="Times New Roman" w:hAnsi="Times New Roman"/>
                <w:sz w:val="17"/>
              </w:rPr>
              <w:t>86.0</w:t>
            </w:r>
          </w:p>
        </w:tc>
        <w:tc>
          <w:tcPr>
            <w:tcW w:type="dxa" w:w="1440"/>
            <w:shd w:val="clear" w:color="auto" w:fill="E9EEF4"/>
          </w:tcPr>
          <w:p>
            <w:pPr>
              <w:jc w:val="center"/>
            </w:pPr>
            <w:r>
              <w:rPr>
                <w:rFonts w:ascii="Times New Roman" w:hAnsi="Times New Roman"/>
                <w:sz w:val="17"/>
              </w:rPr>
              <w:t>+13.2%</w:t>
            </w:r>
          </w:p>
        </w:tc>
        <w:tc>
          <w:tcPr>
            <w:tcW w:type="dxa" w:w="1728"/>
            <w:shd w:val="clear" w:color="auto" w:fill="E9EEF4"/>
          </w:tcPr>
          <w:p>
            <w:pPr>
              <w:jc w:val="center"/>
            </w:pPr>
            <w:r>
              <w:rPr>
                <w:rFonts w:ascii="Times New Roman" w:hAnsi="Times New Roman"/>
                <w:sz w:val="17"/>
              </w:rPr>
              <w:t>&gt;90.0</w:t>
            </w:r>
          </w:p>
        </w:tc>
      </w:tr>
    </w:tbl>
    <w:p>
      <w:pPr>
        <w:spacing w:before="20" w:after="120"/>
        <w:ind w:left="0"/>
      </w:pPr>
      <w:r>
        <w:rPr>
          <w:i/>
          <w:color w:val="808080"/>
          <w:sz w:val="15"/>
        </w:rPr>
        <w:t>Source: Sungrow 2025 Annual Report (2026-04-01); 2026 targets from management guidance (2026-03-31 investor call); FY2023 estimates from prior reports</w:t>
      </w:r>
    </w:p>
    <w:p>
      <w:pPr>
        <w:spacing w:before="80" w:after="40"/>
        <w:ind w:left="0"/>
        <w:jc w:val="center"/>
      </w:pPr>
      <w:r>
        <w:drawing>
          <wp:inline xmlns:a="http://schemas.openxmlformats.org/drawingml/2006/main" xmlns:pic="http://schemas.openxmlformats.org/drawingml/2006/picture">
            <wp:extent cx="5486400" cy="3398691"/>
            <wp:docPr id="5" name="Picture 5"/>
            <wp:cNvGraphicFramePr>
              <a:graphicFrameLocks noChangeAspect="1"/>
            </wp:cNvGraphicFramePr>
            <a:graphic>
              <a:graphicData uri="http://schemas.openxmlformats.org/drawingml/2006/picture">
                <pic:pic>
                  <pic:nvPicPr>
                    <pic:cNvPr id="0" name="300274_chart5_storage_shipments.png"/>
                    <pic:cNvPicPr/>
                  </pic:nvPicPr>
                  <pic:blipFill>
                    <a:blip r:embed="rId13"/>
                    <a:stretch>
                      <a:fillRect/>
                    </a:stretch>
                  </pic:blipFill>
                  <pic:spPr>
                    <a:xfrm>
                      <a:off x="0" y="0"/>
                      <a:ext cx="5486400" cy="3398691"/>
                    </a:xfrm>
                    <a:prstGeom prst="rect"/>
                  </pic:spPr>
                </pic:pic>
              </a:graphicData>
            </a:graphic>
          </wp:inline>
        </w:drawing>
      </w:r>
    </w:p>
    <w:p>
      <w:pPr>
        <w:spacing w:before="0" w:after="120"/>
        <w:ind w:left="0"/>
        <w:jc w:val="center"/>
      </w:pPr>
      <w:r>
        <w:t>Figure 5 — Energy Storage Shipments (GWh) | Source: Sungrow 2025 Annual Report; Management guidance</w:t>
      </w:r>
      <w:r>
        <w:rPr>
          <w:rFonts w:ascii="Times New Roman" w:hAnsi="Times New Roman"/>
          <w:b w:val="0"/>
          <w:i/>
          <w:color w:val="808080"/>
          <w:sz w:val="16"/>
        </w:rPr>
      </w:r>
    </w:p>
    <w:p>
      <w:pPr>
        <w:spacing w:before="80" w:after="40"/>
        <w:ind w:left="0"/>
        <w:jc w:val="center"/>
      </w:pPr>
      <w:r>
        <w:drawing>
          <wp:inline xmlns:a="http://schemas.openxmlformats.org/drawingml/2006/main" xmlns:pic="http://schemas.openxmlformats.org/drawingml/2006/picture">
            <wp:extent cx="5029200" cy="3195770"/>
            <wp:docPr id="6" name="Picture 6"/>
            <wp:cNvGraphicFramePr>
              <a:graphicFrameLocks noChangeAspect="1"/>
            </wp:cNvGraphicFramePr>
            <a:graphic>
              <a:graphicData uri="http://schemas.openxmlformats.org/drawingml/2006/picture">
                <pic:pic>
                  <pic:nvPicPr>
                    <pic:cNvPr id="0" name="300274_chart6_inverter_shipments.png"/>
                    <pic:cNvPicPr/>
                  </pic:nvPicPr>
                  <pic:blipFill>
                    <a:blip r:embed="rId14"/>
                    <a:stretch>
                      <a:fillRect/>
                    </a:stretch>
                  </pic:blipFill>
                  <pic:spPr>
                    <a:xfrm>
                      <a:off x="0" y="0"/>
                      <a:ext cx="5029200" cy="3195770"/>
                    </a:xfrm>
                    <a:prstGeom prst="rect"/>
                  </pic:spPr>
                </pic:pic>
              </a:graphicData>
            </a:graphic>
          </wp:inline>
        </w:drawing>
      </w:r>
    </w:p>
    <w:p>
      <w:pPr>
        <w:spacing w:before="0" w:after="120"/>
        <w:ind w:left="0"/>
        <w:jc w:val="center"/>
      </w:pPr>
      <w:r>
        <w:t>Figure 6 — PV Inverter Shipments (GW) | Source: Sungrow 2025 Annual Report</w:t>
      </w:r>
      <w:r>
        <w:rPr>
          <w:rFonts w:ascii="Times New Roman" w:hAnsi="Times New Roman"/>
          <w:b w:val="0"/>
          <w:i/>
          <w:color w:val="808080"/>
          <w:sz w:val="16"/>
        </w:rPr>
      </w:r>
    </w:p>
    <w:p>
      <w:pPr>
        <w:spacing w:before="160" w:after="80"/>
        <w:ind w:left="0"/>
      </w:pPr>
      <w:r>
        <w:rPr>
          <w:rFonts w:ascii="Times New Roman" w:hAnsi="Times New Roman"/>
          <w:b/>
          <w:i w:val="0"/>
          <w:color w:val="2E75B6"/>
          <w:sz w:val="22"/>
        </w:rPr>
        <w:t>2.2  Management Guidance &amp; Outlook</w:t>
      </w:r>
    </w:p>
    <w:p>
      <w:pPr>
        <w:spacing w:before="80" w:after="80"/>
        <w:ind w:left="0"/>
      </w:pPr>
      <w:r>
        <w:rPr>
          <w:rFonts w:ascii="Times New Roman" w:hAnsi="Times New Roman"/>
          <w:b/>
          <w:i w:val="0"/>
          <w:color w:val="1F4E79"/>
          <w:sz w:val="19"/>
        </w:rPr>
        <w:t>Management Guidance Summary (Investor Call, March 31, 2026)</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592"/>
            <w:shd w:val="clear" w:color="auto" w:fill="1F4E79"/>
          </w:tcPr>
          <w:p>
            <w:pPr>
              <w:jc w:val="center"/>
            </w:pPr>
            <w:r>
              <w:rPr>
                <w:rFonts w:ascii="Times New Roman" w:hAnsi="Times New Roman"/>
                <w:b/>
                <w:color w:val="FFFFFF"/>
                <w:sz w:val="17"/>
              </w:rPr>
              <w:t>Metric</w:t>
            </w:r>
          </w:p>
        </w:tc>
        <w:tc>
          <w:tcPr>
            <w:tcW w:type="dxa" w:w="1728"/>
            <w:shd w:val="clear" w:color="auto" w:fill="1F4E79"/>
          </w:tcPr>
          <w:p>
            <w:pPr>
              <w:jc w:val="center"/>
            </w:pPr>
            <w:r>
              <w:rPr>
                <w:rFonts w:ascii="Times New Roman" w:hAnsi="Times New Roman"/>
                <w:b/>
                <w:color w:val="FFFFFF"/>
                <w:sz w:val="17"/>
              </w:rPr>
              <w:t>FY2025A</w:t>
            </w:r>
          </w:p>
        </w:tc>
        <w:tc>
          <w:tcPr>
            <w:tcW w:type="dxa" w:w="2592"/>
            <w:shd w:val="clear" w:color="auto" w:fill="1F4E79"/>
          </w:tcPr>
          <w:p>
            <w:pPr>
              <w:jc w:val="center"/>
            </w:pPr>
            <w:r>
              <w:rPr>
                <w:rFonts w:ascii="Times New Roman" w:hAnsi="Times New Roman"/>
                <w:b/>
                <w:color w:val="FFFFFF"/>
                <w:sz w:val="17"/>
              </w:rPr>
              <w:t>FY2026 Guidance / Target</w:t>
            </w:r>
          </w:p>
        </w:tc>
        <w:tc>
          <w:tcPr>
            <w:tcW w:type="dxa" w:w="2160"/>
            <w:shd w:val="clear" w:color="auto" w:fill="1F4E79"/>
          </w:tcPr>
          <w:p>
            <w:pPr>
              <w:jc w:val="center"/>
            </w:pPr>
            <w:r>
              <w:rPr>
                <w:rFonts w:ascii="Times New Roman" w:hAnsi="Times New Roman"/>
                <w:b/>
                <w:color w:val="FFFFFF"/>
                <w:sz w:val="17"/>
              </w:rPr>
              <w:t>Our Estimate (FY2026E)</w:t>
            </w:r>
          </w:p>
        </w:tc>
        <w:tc>
          <w:tcPr>
            <w:tcW w:type="dxa" w:w="2160"/>
            <w:shd w:val="clear" w:color="auto" w:fill="1F4E79"/>
          </w:tcPr>
          <w:p>
            <w:pPr>
              <w:jc w:val="center"/>
            </w:pPr>
            <w:r>
              <w:rPr>
                <w:rFonts w:ascii="Times New Roman" w:hAnsi="Times New Roman"/>
                <w:b/>
                <w:color w:val="FFFFFF"/>
                <w:sz w:val="17"/>
              </w:rPr>
              <w:t>Assessment</w:t>
            </w:r>
          </w:p>
        </w:tc>
      </w:tr>
      <w:tr>
        <w:tc>
          <w:tcPr>
            <w:tcW w:type="dxa" w:w="2592"/>
          </w:tcPr>
          <w:p>
            <w:pPr>
              <w:jc w:val="left"/>
            </w:pPr>
            <w:r>
              <w:rPr>
                <w:rFonts w:ascii="Times New Roman" w:hAnsi="Times New Roman"/>
                <w:sz w:val="17"/>
              </w:rPr>
              <w:t>Storage Shipments (GWh)</w:t>
            </w:r>
          </w:p>
        </w:tc>
        <w:tc>
          <w:tcPr>
            <w:tcW w:type="dxa" w:w="1728"/>
          </w:tcPr>
          <w:p>
            <w:pPr>
              <w:jc w:val="center"/>
            </w:pPr>
            <w:r>
              <w:rPr>
                <w:rFonts w:ascii="Times New Roman" w:hAnsi="Times New Roman"/>
                <w:sz w:val="17"/>
              </w:rPr>
              <w:t>43 GWh</w:t>
            </w:r>
          </w:p>
        </w:tc>
        <w:tc>
          <w:tcPr>
            <w:tcW w:type="dxa" w:w="2592"/>
          </w:tcPr>
          <w:p>
            <w:pPr>
              <w:jc w:val="center"/>
            </w:pPr>
            <w:r>
              <w:rPr>
                <w:rFonts w:ascii="Times New Roman" w:hAnsi="Times New Roman"/>
                <w:sz w:val="17"/>
              </w:rPr>
              <w:t>&gt;60 GWh (+40% YoY)</w:t>
            </w:r>
          </w:p>
        </w:tc>
        <w:tc>
          <w:tcPr>
            <w:tcW w:type="dxa" w:w="2160"/>
          </w:tcPr>
          <w:p>
            <w:pPr>
              <w:jc w:val="center"/>
            </w:pPr>
            <w:r>
              <w:rPr>
                <w:rFonts w:ascii="Times New Roman" w:hAnsi="Times New Roman"/>
                <w:sz w:val="17"/>
              </w:rPr>
              <w:t>62 GWh</w:t>
            </w:r>
          </w:p>
        </w:tc>
        <w:tc>
          <w:tcPr>
            <w:tcW w:type="dxa" w:w="2160"/>
          </w:tcPr>
          <w:p>
            <w:pPr>
              <w:jc w:val="center"/>
            </w:pPr>
            <w:r>
              <w:rPr>
                <w:rFonts w:ascii="Times New Roman" w:hAnsi="Times New Roman"/>
                <w:sz w:val="17"/>
              </w:rPr>
              <w:t>Credible; market tailwinds strong</w:t>
            </w:r>
          </w:p>
        </w:tc>
      </w:tr>
      <w:tr>
        <w:tc>
          <w:tcPr>
            <w:tcW w:type="dxa" w:w="2592"/>
            <w:shd w:val="clear" w:color="auto" w:fill="E9EEF4"/>
          </w:tcPr>
          <w:p>
            <w:pPr>
              <w:jc w:val="left"/>
            </w:pPr>
            <w:r>
              <w:rPr>
                <w:rFonts w:ascii="Times New Roman" w:hAnsi="Times New Roman"/>
                <w:sz w:val="17"/>
              </w:rPr>
              <w:t>Global Storage Mkt Growth</w:t>
            </w:r>
          </w:p>
        </w:tc>
        <w:tc>
          <w:tcPr>
            <w:tcW w:type="dxa" w:w="1728"/>
            <w:shd w:val="clear" w:color="auto" w:fill="E9EEF4"/>
          </w:tcPr>
          <w:p>
            <w:pPr>
              <w:jc w:val="center"/>
            </w:pPr>
            <w:r>
              <w:rPr>
                <w:rFonts w:ascii="Times New Roman" w:hAnsi="Times New Roman"/>
                <w:sz w:val="17"/>
              </w:rPr>
              <w:t>—</w:t>
            </w:r>
          </w:p>
        </w:tc>
        <w:tc>
          <w:tcPr>
            <w:tcW w:type="dxa" w:w="2592"/>
            <w:shd w:val="clear" w:color="auto" w:fill="E9EEF4"/>
          </w:tcPr>
          <w:p>
            <w:pPr>
              <w:jc w:val="center"/>
            </w:pPr>
            <w:r>
              <w:rPr>
                <w:rFonts w:ascii="Times New Roman" w:hAnsi="Times New Roman"/>
                <w:sz w:val="17"/>
              </w:rPr>
              <w:t>30%–50% YoY</w:t>
            </w:r>
          </w:p>
        </w:tc>
        <w:tc>
          <w:tcPr>
            <w:tcW w:type="dxa" w:w="2160"/>
            <w:shd w:val="clear" w:color="auto" w:fill="E9EEF4"/>
          </w:tcPr>
          <w:p>
            <w:pPr>
              <w:jc w:val="center"/>
            </w:pPr>
            <w:r>
              <w:rPr>
                <w:rFonts w:ascii="Times New Roman" w:hAnsi="Times New Roman"/>
                <w:sz w:val="17"/>
              </w:rPr>
              <w:t>~40% YoY</w:t>
            </w:r>
          </w:p>
        </w:tc>
        <w:tc>
          <w:tcPr>
            <w:tcW w:type="dxa" w:w="2160"/>
            <w:shd w:val="clear" w:color="auto" w:fill="E9EEF4"/>
          </w:tcPr>
          <w:p>
            <w:pPr>
              <w:jc w:val="center"/>
            </w:pPr>
            <w:r>
              <w:rPr>
                <w:rFonts w:ascii="Times New Roman" w:hAnsi="Times New Roman"/>
                <w:sz w:val="17"/>
              </w:rPr>
              <w:t>Achievable; track record supportive</w:t>
            </w:r>
          </w:p>
        </w:tc>
      </w:tr>
      <w:tr>
        <w:tc>
          <w:tcPr>
            <w:tcW w:type="dxa" w:w="2592"/>
          </w:tcPr>
          <w:p>
            <w:pPr>
              <w:jc w:val="left"/>
            </w:pPr>
            <w:r>
              <w:rPr>
                <w:rFonts w:ascii="Times New Roman" w:hAnsi="Times New Roman"/>
                <w:sz w:val="17"/>
              </w:rPr>
              <w:t>Revenue (CNY B)</w:t>
            </w:r>
          </w:p>
        </w:tc>
        <w:tc>
          <w:tcPr>
            <w:tcW w:type="dxa" w:w="1728"/>
          </w:tcPr>
          <w:p>
            <w:pPr>
              <w:jc w:val="center"/>
            </w:pPr>
            <w:r>
              <w:rPr>
                <w:rFonts w:ascii="Times New Roman" w:hAnsi="Times New Roman"/>
                <w:sz w:val="17"/>
              </w:rPr>
              <w:t>¥89.18B</w:t>
            </w:r>
          </w:p>
        </w:tc>
        <w:tc>
          <w:tcPr>
            <w:tcW w:type="dxa" w:w="2592"/>
          </w:tcPr>
          <w:p>
            <w:pPr>
              <w:jc w:val="center"/>
            </w:pPr>
            <w:r>
              <w:rPr>
                <w:rFonts w:ascii="Times New Roman" w:hAnsi="Times New Roman"/>
                <w:sz w:val="17"/>
              </w:rPr>
              <w:t>No formal guidance</w:t>
            </w:r>
          </w:p>
        </w:tc>
        <w:tc>
          <w:tcPr>
            <w:tcW w:type="dxa" w:w="2160"/>
          </w:tcPr>
          <w:p>
            <w:pPr>
              <w:jc w:val="center"/>
            </w:pPr>
            <w:r>
              <w:rPr>
                <w:rFonts w:ascii="Times New Roman" w:hAnsi="Times New Roman"/>
                <w:sz w:val="17"/>
              </w:rPr>
              <w:t>¥102.0B</w:t>
            </w:r>
          </w:p>
        </w:tc>
        <w:tc>
          <w:tcPr>
            <w:tcW w:type="dxa" w:w="2160"/>
          </w:tcPr>
          <w:p>
            <w:pPr>
              <w:jc w:val="center"/>
            </w:pPr>
            <w:r>
              <w:rPr>
                <w:rFonts w:ascii="Times New Roman" w:hAnsi="Times New Roman"/>
                <w:sz w:val="17"/>
              </w:rPr>
              <w:t>+14.4% YoY est.</w:t>
            </w:r>
          </w:p>
        </w:tc>
      </w:tr>
      <w:tr>
        <w:tc>
          <w:tcPr>
            <w:tcW w:type="dxa" w:w="2592"/>
            <w:shd w:val="clear" w:color="auto" w:fill="E9EEF4"/>
          </w:tcPr>
          <w:p>
            <w:pPr>
              <w:jc w:val="left"/>
            </w:pPr>
            <w:r>
              <w:rPr>
                <w:rFonts w:ascii="Times New Roman" w:hAnsi="Times New Roman"/>
                <w:sz w:val="17"/>
              </w:rPr>
              <w:t>Net Profit (CNY B)</w:t>
            </w:r>
          </w:p>
        </w:tc>
        <w:tc>
          <w:tcPr>
            <w:tcW w:type="dxa" w:w="1728"/>
            <w:shd w:val="clear" w:color="auto" w:fill="E9EEF4"/>
          </w:tcPr>
          <w:p>
            <w:pPr>
              <w:jc w:val="center"/>
            </w:pPr>
            <w:r>
              <w:rPr>
                <w:rFonts w:ascii="Times New Roman" w:hAnsi="Times New Roman"/>
                <w:sz w:val="17"/>
              </w:rPr>
              <w:t>¥13.46B</w:t>
            </w:r>
          </w:p>
        </w:tc>
        <w:tc>
          <w:tcPr>
            <w:tcW w:type="dxa" w:w="2592"/>
            <w:shd w:val="clear" w:color="auto" w:fill="E9EEF4"/>
          </w:tcPr>
          <w:p>
            <w:pPr>
              <w:jc w:val="center"/>
            </w:pPr>
            <w:r>
              <w:rPr>
                <w:rFonts w:ascii="Times New Roman" w:hAnsi="Times New Roman"/>
                <w:sz w:val="17"/>
              </w:rPr>
              <w:t>No formal guidance</w:t>
            </w:r>
          </w:p>
        </w:tc>
        <w:tc>
          <w:tcPr>
            <w:tcW w:type="dxa" w:w="2160"/>
            <w:shd w:val="clear" w:color="auto" w:fill="E9EEF4"/>
          </w:tcPr>
          <w:p>
            <w:pPr>
              <w:jc w:val="center"/>
            </w:pPr>
            <w:r>
              <w:rPr>
                <w:rFonts w:ascii="Times New Roman" w:hAnsi="Times New Roman"/>
                <w:sz w:val="17"/>
              </w:rPr>
              <w:t>¥16.77B</w:t>
            </w:r>
          </w:p>
        </w:tc>
        <w:tc>
          <w:tcPr>
            <w:tcW w:type="dxa" w:w="2160"/>
            <w:shd w:val="clear" w:color="auto" w:fill="E9EEF4"/>
          </w:tcPr>
          <w:p>
            <w:pPr>
              <w:jc w:val="center"/>
            </w:pPr>
            <w:r>
              <w:rPr>
                <w:rFonts w:ascii="Times New Roman" w:hAnsi="Times New Roman"/>
                <w:sz w:val="17"/>
              </w:rPr>
              <w:t>+24.6% YoY est.</w:t>
            </w:r>
          </w:p>
        </w:tc>
      </w:tr>
      <w:tr>
        <w:tc>
          <w:tcPr>
            <w:tcW w:type="dxa" w:w="2592"/>
          </w:tcPr>
          <w:p>
            <w:pPr>
              <w:jc w:val="left"/>
            </w:pPr>
            <w:r>
              <w:rPr>
                <w:rFonts w:ascii="Times New Roman" w:hAnsi="Times New Roman"/>
                <w:sz w:val="17"/>
              </w:rPr>
              <w:t>Storage Gross Margin</w:t>
            </w:r>
          </w:p>
        </w:tc>
        <w:tc>
          <w:tcPr>
            <w:tcW w:type="dxa" w:w="1728"/>
          </w:tcPr>
          <w:p>
            <w:pPr>
              <w:jc w:val="center"/>
            </w:pPr>
            <w:r>
              <w:rPr>
                <w:rFonts w:ascii="Times New Roman" w:hAnsi="Times New Roman"/>
                <w:sz w:val="17"/>
              </w:rPr>
              <w:t>31.83% blended</w:t>
            </w:r>
          </w:p>
        </w:tc>
        <w:tc>
          <w:tcPr>
            <w:tcW w:type="dxa" w:w="2592"/>
          </w:tcPr>
          <w:p>
            <w:pPr>
              <w:jc w:val="center"/>
            </w:pPr>
            <w:r>
              <w:rPr>
                <w:rFonts w:ascii="Times New Roman" w:hAnsi="Times New Roman"/>
                <w:sz w:val="17"/>
              </w:rPr>
              <w:t>Recovery expected H1'26</w:t>
            </w:r>
          </w:p>
        </w:tc>
        <w:tc>
          <w:tcPr>
            <w:tcW w:type="dxa" w:w="2160"/>
          </w:tcPr>
          <w:p>
            <w:pPr>
              <w:jc w:val="center"/>
            </w:pPr>
            <w:r>
              <w:rPr>
                <w:rFonts w:ascii="Times New Roman" w:hAnsi="Times New Roman"/>
                <w:sz w:val="17"/>
              </w:rPr>
              <w:t>&gt;30% full-year</w:t>
            </w:r>
          </w:p>
        </w:tc>
        <w:tc>
          <w:tcPr>
            <w:tcW w:type="dxa" w:w="2160"/>
          </w:tcPr>
          <w:p>
            <w:pPr>
              <w:jc w:val="center"/>
            </w:pPr>
            <w:r>
              <w:rPr>
                <w:rFonts w:ascii="Times New Roman" w:hAnsi="Times New Roman"/>
                <w:sz w:val="17"/>
              </w:rPr>
              <w:t>Supportive if Li prices stable</w:t>
            </w:r>
          </w:p>
        </w:tc>
      </w:tr>
    </w:tbl>
    <w:p>
      <w:pPr>
        <w:spacing w:before="20" w:after="80"/>
        <w:ind w:left="0"/>
      </w:pPr>
      <w:r>
        <w:rPr>
          <w:i/>
          <w:color w:val="808080"/>
          <w:sz w:val="15"/>
        </w:rPr>
        <w:t>Source: Sungrow investor call (March 31, 2026); Analyst estimates</w:t>
      </w:r>
    </w:p>
    <w:p>
      <w:pPr>
        <w:spacing w:before="120" w:after="120"/>
        <w:ind w:left="0"/>
      </w:pPr>
      <w:r>
        <w:rPr>
          <w:rFonts w:ascii="Times New Roman" w:hAnsi="Times New Roman"/>
          <w:b/>
          <w:i w:val="0"/>
          <w:sz w:val="19"/>
        </w:rPr>
        <w:t xml:space="preserve">Management Commentary on Q4 Weakness: </w:t>
      </w:r>
      <w:r>
        <w:rPr>
          <w:rFonts w:ascii="Times New Roman" w:hAnsi="Times New Roman"/>
          <w:b w:val="0"/>
          <w:i w:val="0"/>
          <w:sz w:val="19"/>
        </w:rPr>
        <w:t>On the March 31, 2026 investor call, management attributed Q4 2025's margin compression explicitly to three transient factors: (1) an elevated concentration of new energy investment &amp; development projects in Q4 that carried structurally lower margins than energy storage hardware; (2) the reversal of Q3's unusually high gross margins which benefited from the recognition of several high-value overseas storage contracts; and (3) a temporary increase in lithium carbonate procurement costs in Q4 that could not be offset through contract price adjustments on near-term deliveries. Management expressed confidence that these factors are non-recurring and indicated storage gross margins should recover in H1 2026 as lithium prices have subsequently stabilized and new overseas project bookings carry improved pricing terms.</w:t>
      </w:r>
    </w:p>
    <w:p>
      <w:pPr>
        <w:spacing w:before="80" w:after="40"/>
        <w:ind w:left="0"/>
        <w:jc w:val="center"/>
      </w:pPr>
      <w:r>
        <w:drawing>
          <wp:inline xmlns:a="http://schemas.openxmlformats.org/drawingml/2006/main" xmlns:pic="http://schemas.openxmlformats.org/drawingml/2006/picture">
            <wp:extent cx="5486400" cy="3398691"/>
            <wp:docPr id="7" name="Picture 7"/>
            <wp:cNvGraphicFramePr>
              <a:graphicFrameLocks noChangeAspect="1"/>
            </wp:cNvGraphicFramePr>
            <a:graphic>
              <a:graphicData uri="http://schemas.openxmlformats.org/drawingml/2006/picture">
                <pic:pic>
                  <pic:nvPicPr>
                    <pic:cNvPr id="0" name="300274_chart8_storage_margins.png"/>
                    <pic:cNvPicPr/>
                  </pic:nvPicPr>
                  <pic:blipFill>
                    <a:blip r:embed="rId15"/>
                    <a:stretch>
                      <a:fillRect/>
                    </a:stretch>
                  </pic:blipFill>
                  <pic:spPr>
                    <a:xfrm>
                      <a:off x="0" y="0"/>
                      <a:ext cx="5486400" cy="3398691"/>
                    </a:xfrm>
                    <a:prstGeom prst="rect"/>
                  </pic:spPr>
                </pic:pic>
              </a:graphicData>
            </a:graphic>
          </wp:inline>
        </w:drawing>
      </w:r>
    </w:p>
    <w:p>
      <w:pPr>
        <w:spacing w:before="0" w:after="120"/>
        <w:ind w:left="0"/>
        <w:jc w:val="center"/>
      </w:pPr>
      <w:r>
        <w:t>Figure 8 — Energy Storage Gross Margin by Quarter | Source: Sungrow 2025 Annual Report; Investor call</w:t>
      </w:r>
      <w:r>
        <w:rPr>
          <w:rFonts w:ascii="Times New Roman" w:hAnsi="Times New Roman"/>
          <w:b w:val="0"/>
          <w:i/>
          <w:color w:val="808080"/>
          <w:sz w:val="16"/>
        </w:rPr>
      </w:r>
    </w:p>
    <w:p>
      <w:r>
        <w:br w:type="page"/>
      </w:r>
    </w:p>
    <w:p>
      <w:pPr>
        <w:spacing w:before="160" w:after="80"/>
        <w:ind w:left="0"/>
      </w:pPr>
      <w:r>
        <w:rPr>
          <w:rFonts w:ascii="Times New Roman" w:hAnsi="Times New Roman"/>
          <w:b/>
          <w:i w:val="0"/>
          <w:color w:val="1F4E79"/>
          <w:sz w:val="24"/>
        </w:rPr>
        <w:t>SECTION 3: UPDATED INVESTMENT THESIS</w:t>
      </w:r>
    </w:p>
    <w:p>
      <w:pPr>
        <w:spacing w:before="40" w:after="40"/>
        <w:pBdr>
          <w:bottom w:val="single" w:sz="6" w:space="1" w:color="1F4E79"/>
        </w:pBdr>
      </w:pPr>
    </w:p>
    <w:p>
      <w:pPr>
        <w:spacing w:before="80" w:after="120"/>
        <w:ind w:left="0"/>
      </w:pPr>
      <w:r>
        <w:rPr>
          <w:rFonts w:ascii="Times New Roman" w:hAnsi="Times New Roman"/>
          <w:b w:val="0"/>
          <w:i w:val="0"/>
          <w:sz w:val="19"/>
        </w:rPr>
        <w:t>Our investment thesis on Sungrow rests on three pillars: (1) global energy storage dominance with superior international expansion; (2) inverter market leadership providing durable cash flow; and (3) long-term structural demand driven by global energy transition. We assess each pillar's status in light of Q4/FY2025 results.</w:t>
      </w:r>
    </w:p>
    <w:p>
      <w:pPr>
        <w:spacing w:before="120" w:after="40"/>
        <w:ind w:left="0"/>
      </w:pPr>
      <w:r>
        <w:rPr>
          <w:rFonts w:ascii="Times New Roman" w:hAnsi="Times New Roman"/>
          <w:b/>
          <w:i w:val="0"/>
          <w:color w:val="1F4E79"/>
          <w:sz w:val="20"/>
        </w:rPr>
        <w:t>■ PILLAR 1: Global Energy Storage Leadership — STRENGTHENED</w:t>
      </w:r>
    </w:p>
    <w:p>
      <w:pPr>
        <w:spacing w:before="0" w:after="40"/>
        <w:ind w:left="240"/>
      </w:pPr>
      <w:r>
        <w:rPr>
          <w:rFonts w:ascii="Times New Roman" w:hAnsi="Times New Roman"/>
          <w:b/>
          <w:i w:val="0"/>
          <w:color w:val="375623"/>
          <w:sz w:val="19"/>
        </w:rPr>
        <w:t>Status: STRENGTHENED</w:t>
      </w:r>
    </w:p>
    <w:p>
      <w:pPr>
        <w:spacing w:before="0" w:after="160"/>
        <w:ind w:left="240"/>
      </w:pPr>
      <w:r>
        <w:rPr>
          <w:rFonts w:ascii="Times New Roman" w:hAnsi="Times New Roman"/>
          <w:b w:val="0"/>
          <w:i w:val="0"/>
          <w:sz w:val="19"/>
        </w:rPr>
        <w:t>FY2025 storage shipments of 43 GWh, up 53.6% YoY with overseas volumes surging 89%, reaffirm Sungrow's position as the world's #1 energy storage system supplier. The international market pivot is delivering — Sungrow now derives 84% of storage shipments from overseas, commanding premium pricing compared to domestic peers constrained by commoditized pricing in China. The 2026 guidance of &gt;60 GWh (+40% YoY) is backed by a strong global project pipeline including the US, Europe, Australia, and the Middle East. Q4's margin compression was a timing issue, NOT a structural erosion of Sungrow's competitive position in storage. If anything, the rapid overseas mix shift over FY2025 (domestic storage -22%, overseas +89%) demonstrates that Sungrow is executing its internationalization strategy ahead of plan.</w:t>
      </w:r>
    </w:p>
    <w:p>
      <w:pPr>
        <w:spacing w:before="120" w:after="40"/>
        <w:ind w:left="0"/>
      </w:pPr>
      <w:r>
        <w:rPr>
          <w:rFonts w:ascii="Times New Roman" w:hAnsi="Times New Roman"/>
          <w:b/>
          <w:i w:val="0"/>
          <w:color w:val="1F4E79"/>
          <w:sz w:val="20"/>
        </w:rPr>
        <w:t>■ PILLAR 2: PV Inverter Cash Cow — UNCHANGED</w:t>
      </w:r>
    </w:p>
    <w:p>
      <w:pPr>
        <w:spacing w:before="0" w:after="40"/>
        <w:ind w:left="240"/>
      </w:pPr>
      <w:r>
        <w:rPr>
          <w:rFonts w:ascii="Times New Roman" w:hAnsi="Times New Roman"/>
          <w:b/>
          <w:i w:val="0"/>
          <w:color w:val="1F4E79"/>
          <w:sz w:val="19"/>
        </w:rPr>
        <w:t>Status: UNCHANGED</w:t>
      </w:r>
    </w:p>
    <w:p>
      <w:pPr>
        <w:spacing w:before="0" w:after="160"/>
        <w:ind w:left="240"/>
      </w:pPr>
      <w:r>
        <w:rPr>
          <w:rFonts w:ascii="Times New Roman" w:hAnsi="Times New Roman"/>
          <w:b w:val="0"/>
          <w:i w:val="0"/>
          <w:sz w:val="19"/>
        </w:rPr>
        <w:t>PV inverter shipments of 143 GW in FY2025 (-2.7% YoY) reflect domestic market headwinds — specifically, China's curtailed utility solar installations and intense price competition from domestic rivals in the residential segment. Inverter revenue still grew 8.1% YoY to ¥31.14B due to favorable international pricing and product mix improvement toward higher-value string inverters and utility-scale solutions. The inverter segment remains the company's highest-volume, highest-market-share business (Sungrow holds ~30% global share in utility-scale inverters) and generates stable, recurring maintenance and digital service revenue. We do not see inverter competitive dynamics deteriorating structurally in the FY2025 results.</w:t>
      </w:r>
    </w:p>
    <w:p>
      <w:pPr>
        <w:spacing w:before="120" w:after="40"/>
        <w:ind w:left="0"/>
      </w:pPr>
      <w:r>
        <w:rPr>
          <w:rFonts w:ascii="Times New Roman" w:hAnsi="Times New Roman"/>
          <w:b/>
          <w:i w:val="0"/>
          <w:color w:val="1F4E79"/>
          <w:sz w:val="20"/>
        </w:rPr>
        <w:t>■ PILLAR 3: Structural Demand from Energy Transition — STRENGTHENED</w:t>
      </w:r>
    </w:p>
    <w:p>
      <w:pPr>
        <w:spacing w:before="0" w:after="40"/>
        <w:ind w:left="240"/>
      </w:pPr>
      <w:r>
        <w:rPr>
          <w:rFonts w:ascii="Times New Roman" w:hAnsi="Times New Roman"/>
          <w:b/>
          <w:i w:val="0"/>
          <w:color w:val="375623"/>
          <w:sz w:val="19"/>
        </w:rPr>
        <w:t>Status: STRENGTHENED</w:t>
      </w:r>
    </w:p>
    <w:p>
      <w:pPr>
        <w:spacing w:before="0" w:after="160"/>
        <w:ind w:left="240"/>
      </w:pPr>
      <w:r>
        <w:rPr>
          <w:rFonts w:ascii="Times New Roman" w:hAnsi="Times New Roman"/>
          <w:b w:val="0"/>
          <w:i w:val="0"/>
          <w:sz w:val="19"/>
        </w:rPr>
        <w:t>Global energy storage deployment continues to accelerate, with the market expected to grow 30-50% in 2026 according to management's commentary. US IRA-driven demand, European grid stability investments, and utility-scale storage buildouts in APAC and the Middle East all provide multi-year visibility. Sungrow's 2025 annual report highlights that global energy storage installations reached a record level, and the company expects this trajectory to continue. Separately, the AIDC (AI Data Center) market is an emerging demand driver for energy storage backup systems — Sungrow disclosed it is actively building AIDC-compatible storage product lines, as highlighted in the Q3 analyst report from Huarun Securities (November 2025). This secular trend adds optionality beyond utility storage.</w:t>
      </w:r>
    </w:p>
    <w:p>
      <w:pPr>
        <w:spacing w:before="160" w:after="80"/>
        <w:ind w:left="0"/>
      </w:pPr>
      <w:r>
        <w:rPr>
          <w:rFonts w:ascii="Times New Roman" w:hAnsi="Times New Roman"/>
          <w:b/>
          <w:i w:val="0"/>
          <w:color w:val="2E75B6"/>
          <w:sz w:val="22"/>
        </w:rPr>
        <w:t>3.1  Risks Update</w:t>
      </w:r>
    </w:p>
    <w:p>
      <w:pPr>
        <w:spacing w:before="60" w:after="60"/>
        <w:ind w:left="240"/>
      </w:pPr>
      <w:r>
        <w:rPr>
          <w:rFonts w:ascii="Times New Roman" w:hAnsi="Times New Roman"/>
          <w:b/>
          <w:i w:val="0"/>
          <w:sz w:val="19"/>
        </w:rPr>
        <w:t xml:space="preserve">▲ New / Elevated: </w:t>
      </w:r>
      <w:r>
        <w:rPr>
          <w:rFonts w:ascii="Times New Roman" w:hAnsi="Times New Roman"/>
          <w:b w:val="0"/>
          <w:i w:val="0"/>
          <w:sz w:val="19"/>
        </w:rPr>
        <w:t>Lithium carbonate price volatility remains a near-term margin risk, as demonstrated by Q4 2025. If Li prices re-accelerate in 2026, fixed-price legacy contracts could compress margins again. Monitoring closely.</w:t>
      </w:r>
    </w:p>
    <w:p>
      <w:pPr>
        <w:spacing w:before="60" w:after="60"/>
        <w:ind w:left="240"/>
      </w:pPr>
      <w:r>
        <w:rPr>
          <w:rFonts w:ascii="Times New Roman" w:hAnsi="Times New Roman"/>
          <w:b/>
          <w:i w:val="0"/>
          <w:sz w:val="19"/>
        </w:rPr>
        <w:t xml:space="preserve">▲ New / Elevated: </w:t>
      </w:r>
      <w:r>
        <w:rPr>
          <w:rFonts w:ascii="Times New Roman" w:hAnsi="Times New Roman"/>
          <w:b w:val="0"/>
          <w:i w:val="0"/>
          <w:sz w:val="19"/>
        </w:rPr>
        <w:t>US tariff and trade policy risk has increased given ongoing US-China trade tensions. Sungrow's US operations may face incremental headwinds if tariffs on Chinese-manufactured energy storage equipment are broadened in 2026.</w:t>
      </w:r>
    </w:p>
    <w:p>
      <w:pPr>
        <w:spacing w:before="60" w:after="60"/>
        <w:ind w:left="240"/>
      </w:pPr>
      <w:r>
        <w:rPr>
          <w:rFonts w:ascii="Times New Roman" w:hAnsi="Times New Roman"/>
          <w:b/>
          <w:i w:val="0"/>
          <w:sz w:val="19"/>
        </w:rPr>
        <w:t xml:space="preserve">▼ Mitigated: </w:t>
      </w:r>
      <w:r>
        <w:rPr>
          <w:rFonts w:ascii="Times New Roman" w:hAnsi="Times New Roman"/>
          <w:b w:val="0"/>
          <w:i w:val="0"/>
          <w:sz w:val="19"/>
        </w:rPr>
        <w:t>Domestic PV inverter pricing risk has stabilized; while volume was weak (-19% domestic), ASP held firm in 2025 due to product mix improvement, suggesting the worst of domestic pricing compression may be behind us.</w:t>
      </w:r>
    </w:p>
    <w:p>
      <w:pPr>
        <w:spacing w:before="60" w:after="60"/>
        <w:ind w:left="240"/>
      </w:pPr>
      <w:r>
        <w:rPr>
          <w:rFonts w:ascii="Times New Roman" w:hAnsi="Times New Roman"/>
          <w:b/>
          <w:i w:val="0"/>
          <w:sz w:val="19"/>
        </w:rPr>
        <w:t xml:space="preserve">→ Unchanged: </w:t>
      </w:r>
      <w:r>
        <w:rPr>
          <w:rFonts w:ascii="Times New Roman" w:hAnsi="Times New Roman"/>
          <w:b w:val="0"/>
          <w:i w:val="0"/>
          <w:sz w:val="19"/>
        </w:rPr>
        <w:t>Competition from CATL, BYD Energy Storage, and Huawei Digital in energy storage remains intense. However, Sungrow's bankability, safety track record, and overseas certifications maintain meaningful competitive moats internationally.</w:t>
      </w:r>
    </w:p>
    <w:p>
      <w:pPr>
        <w:spacing w:before="80" w:after="40"/>
        <w:ind w:left="0"/>
        <w:jc w:val="center"/>
      </w:pPr>
      <w:r>
        <w:drawing>
          <wp:inline xmlns:a="http://schemas.openxmlformats.org/drawingml/2006/main" xmlns:pic="http://schemas.openxmlformats.org/drawingml/2006/picture">
            <wp:extent cx="5669280" cy="131932299"/>
            <wp:docPr id="8" name="Picture 8"/>
            <wp:cNvGraphicFramePr>
              <a:graphicFrameLocks noChangeAspect="1"/>
            </wp:cNvGraphicFramePr>
            <a:graphic>
              <a:graphicData uri="http://schemas.openxmlformats.org/drawingml/2006/picture">
                <pic:pic>
                  <pic:nvPicPr>
                    <pic:cNvPr id="0" name="300274_chart7_beat_miss.png"/>
                    <pic:cNvPicPr/>
                  </pic:nvPicPr>
                  <pic:blipFill>
                    <a:blip r:embed="rId16"/>
                    <a:stretch>
                      <a:fillRect/>
                    </a:stretch>
                  </pic:blipFill>
                  <pic:spPr>
                    <a:xfrm>
                      <a:off x="0" y="0"/>
                      <a:ext cx="5669280" cy="131932299"/>
                    </a:xfrm>
                    <a:prstGeom prst="rect"/>
                  </pic:spPr>
                </pic:pic>
              </a:graphicData>
            </a:graphic>
          </wp:inline>
        </w:drawing>
      </w:r>
    </w:p>
    <w:p>
      <w:pPr>
        <w:spacing w:before="0" w:after="120"/>
        <w:ind w:left="0"/>
        <w:jc w:val="center"/>
      </w:pPr>
      <w:r>
        <w:t>Figure 7 — FY2025 Beat/Miss vs. Consensus | Source: Sungrow 2025 Annual Report; Bloomberg pre-earnings consensus</w:t>
      </w:r>
      <w:r>
        <w:rPr>
          <w:rFonts w:ascii="Times New Roman" w:hAnsi="Times New Roman"/>
          <w:b w:val="0"/>
          <w:i/>
          <w:color w:val="808080"/>
          <w:sz w:val="16"/>
        </w:rPr>
      </w:r>
    </w:p>
    <w:p>
      <w:r>
        <w:br w:type="page"/>
      </w:r>
    </w:p>
    <w:p>
      <w:pPr>
        <w:spacing w:before="160" w:after="80"/>
        <w:ind w:left="0"/>
      </w:pPr>
      <w:r>
        <w:rPr>
          <w:rFonts w:ascii="Times New Roman" w:hAnsi="Times New Roman"/>
          <w:b/>
          <w:i w:val="0"/>
          <w:color w:val="1F4E79"/>
          <w:sz w:val="24"/>
        </w:rPr>
        <w:t>SECTION 4: VALUATION &amp; UPDATED ESTIMATES</w:t>
      </w:r>
    </w:p>
    <w:p>
      <w:pPr>
        <w:spacing w:before="40" w:after="40"/>
        <w:pBdr>
          <w:bottom w:val="single" w:sz="6" w:space="1" w:color="1F4E79"/>
        </w:pBdr>
      </w:pPr>
    </w:p>
    <w:p>
      <w:pPr>
        <w:spacing w:before="160" w:after="80"/>
        <w:ind w:left="0"/>
      </w:pPr>
      <w:r>
        <w:rPr>
          <w:rFonts w:ascii="Times New Roman" w:hAnsi="Times New Roman"/>
          <w:b/>
          <w:i w:val="0"/>
          <w:color w:val="2E75B6"/>
          <w:sz w:val="22"/>
        </w:rPr>
        <w:t>4.1  Price Target Update</w:t>
      </w:r>
    </w:p>
    <w:p>
      <w:pPr>
        <w:spacing w:before="80" w:after="120"/>
        <w:ind w:left="0"/>
      </w:pPr>
      <w:r>
        <w:rPr>
          <w:rFonts w:ascii="Times New Roman" w:hAnsi="Times New Roman"/>
          <w:b w:val="0"/>
          <w:i w:val="0"/>
          <w:sz w:val="19"/>
        </w:rPr>
        <w:t xml:space="preserve">We revise our 12-month price target to CNY 158.00 (from CNY 175.00), reflecting downward estimate revisions after the FY2025 results miss. Our methodology: </w:t>
      </w:r>
    </w:p>
    <w:p>
      <w:pPr>
        <w:spacing w:before="60" w:after="120"/>
        <w:ind w:left="240"/>
      </w:pPr>
      <w:r>
        <w:rPr>
          <w:rFonts w:ascii="Times New Roman" w:hAnsi="Times New Roman"/>
          <w:b/>
          <w:i w:val="0"/>
          <w:sz w:val="19"/>
        </w:rPr>
        <w:t xml:space="preserve">Primary: P/E Valuation (60% weight). </w:t>
      </w:r>
      <w:r>
        <w:rPr>
          <w:rFonts w:ascii="Times New Roman" w:hAnsi="Times New Roman"/>
          <w:b w:val="0"/>
          <w:i w:val="0"/>
          <w:sz w:val="19"/>
        </w:rPr>
        <w:t>We apply a target P/E of 20x on our revised FY2026E EPS of ¥8.09, yielding an intrinsic value of ¥161.8. This target multiple represents a discount to the stock's 3-year historical average P/E of ~25x to reflect: (i) near-term margin uncertainty following Q4 2025; (ii) the risk of further earnings estimate cuts if lithium prices remain elevated or US tariff risk materializes; (iii) the global growth slowdown macro backdrop.</w:t>
      </w:r>
    </w:p>
    <w:p>
      <w:pPr>
        <w:spacing w:before="60" w:after="120"/>
        <w:ind w:left="240"/>
      </w:pPr>
      <w:r>
        <w:rPr>
          <w:rFonts w:ascii="Times New Roman" w:hAnsi="Times New Roman"/>
          <w:b/>
          <w:i w:val="0"/>
          <w:sz w:val="19"/>
        </w:rPr>
        <w:t xml:space="preserve">Secondary: EV/EBITDA (40% weight). </w:t>
      </w:r>
      <w:r>
        <w:rPr>
          <w:rFonts w:ascii="Times New Roman" w:hAnsi="Times New Roman"/>
          <w:b w:val="0"/>
          <w:i w:val="0"/>
          <w:sz w:val="19"/>
        </w:rPr>
        <w:t>On an EV/EBITDA basis, Sungrow trades at approximately 12.5x FY2026E EBITDA (estimated ¥18.5B). Applying a peer-inline multiple of 13x yields a fair value of ~¥155, consistent with our P/E-based estimate. Our blended price target of ¥158 implies 15.4% upside from the current price of ¥136.91.</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592"/>
            <w:shd w:val="clear" w:color="auto" w:fill="1F4E79"/>
          </w:tcPr>
          <w:p>
            <w:pPr>
              <w:jc w:val="center"/>
            </w:pPr>
            <w:r>
              <w:rPr>
                <w:rFonts w:ascii="Times New Roman" w:hAnsi="Times New Roman"/>
                <w:b/>
                <w:color w:val="FFFFFF"/>
                <w:sz w:val="17"/>
              </w:rPr>
              <w:t>Methodology</w:t>
            </w:r>
          </w:p>
        </w:tc>
        <w:tc>
          <w:tcPr>
            <w:tcW w:type="dxa" w:w="1008"/>
            <w:shd w:val="clear" w:color="auto" w:fill="1F4E79"/>
          </w:tcPr>
          <w:p>
            <w:pPr>
              <w:jc w:val="center"/>
            </w:pPr>
            <w:r>
              <w:rPr>
                <w:rFonts w:ascii="Times New Roman" w:hAnsi="Times New Roman"/>
                <w:b/>
                <w:color w:val="FFFFFF"/>
                <w:sz w:val="17"/>
              </w:rPr>
              <w:t>Weight</w:t>
            </w:r>
          </w:p>
        </w:tc>
        <w:tc>
          <w:tcPr>
            <w:tcW w:type="dxa" w:w="2880"/>
            <w:shd w:val="clear" w:color="auto" w:fill="1F4E79"/>
          </w:tcPr>
          <w:p>
            <w:pPr>
              <w:jc w:val="center"/>
            </w:pPr>
            <w:r>
              <w:rPr>
                <w:rFonts w:ascii="Times New Roman" w:hAnsi="Times New Roman"/>
                <w:b/>
                <w:color w:val="FFFFFF"/>
                <w:sz w:val="17"/>
              </w:rPr>
              <w:t>EPS / EBITDA Input</w:t>
            </w:r>
          </w:p>
        </w:tc>
        <w:tc>
          <w:tcPr>
            <w:tcW w:type="dxa" w:w="1296"/>
            <w:shd w:val="clear" w:color="auto" w:fill="1F4E79"/>
          </w:tcPr>
          <w:p>
            <w:pPr>
              <w:jc w:val="center"/>
            </w:pPr>
            <w:r>
              <w:rPr>
                <w:rFonts w:ascii="Times New Roman" w:hAnsi="Times New Roman"/>
                <w:b/>
                <w:color w:val="FFFFFF"/>
                <w:sz w:val="17"/>
              </w:rPr>
              <w:t>Multiple</w:t>
            </w:r>
          </w:p>
        </w:tc>
        <w:tc>
          <w:tcPr>
            <w:tcW w:type="dxa" w:w="2304"/>
            <w:shd w:val="clear" w:color="auto" w:fill="1F4E79"/>
          </w:tcPr>
          <w:p>
            <w:pPr>
              <w:jc w:val="center"/>
            </w:pPr>
            <w:r>
              <w:rPr>
                <w:rFonts w:ascii="Times New Roman" w:hAnsi="Times New Roman"/>
                <w:b/>
                <w:color w:val="FFFFFF"/>
                <w:sz w:val="17"/>
              </w:rPr>
              <w:t>Implied Value (CNY)</w:t>
            </w:r>
          </w:p>
        </w:tc>
      </w:tr>
      <w:tr>
        <w:tc>
          <w:tcPr>
            <w:tcW w:type="dxa" w:w="2592"/>
          </w:tcPr>
          <w:p>
            <w:pPr>
              <w:jc w:val="left"/>
            </w:pPr>
            <w:r>
              <w:rPr>
                <w:rFonts w:ascii="Times New Roman" w:hAnsi="Times New Roman"/>
                <w:sz w:val="17"/>
              </w:rPr>
              <w:t>P/E (NTM)</w:t>
            </w:r>
          </w:p>
        </w:tc>
        <w:tc>
          <w:tcPr>
            <w:tcW w:type="dxa" w:w="1008"/>
          </w:tcPr>
          <w:p>
            <w:pPr>
              <w:jc w:val="center"/>
            </w:pPr>
            <w:r>
              <w:rPr>
                <w:rFonts w:ascii="Times New Roman" w:hAnsi="Times New Roman"/>
                <w:sz w:val="17"/>
              </w:rPr>
              <w:t>60%</w:t>
            </w:r>
          </w:p>
        </w:tc>
        <w:tc>
          <w:tcPr>
            <w:tcW w:type="dxa" w:w="2880"/>
          </w:tcPr>
          <w:p>
            <w:pPr>
              <w:jc w:val="center"/>
            </w:pPr>
            <w:r>
              <w:rPr>
                <w:rFonts w:ascii="Times New Roman" w:hAnsi="Times New Roman"/>
                <w:sz w:val="17"/>
              </w:rPr>
              <w:t>FY2026E EPS ¥8.09</w:t>
            </w:r>
          </w:p>
        </w:tc>
        <w:tc>
          <w:tcPr>
            <w:tcW w:type="dxa" w:w="1296"/>
          </w:tcPr>
          <w:p>
            <w:pPr>
              <w:jc w:val="center"/>
            </w:pPr>
            <w:r>
              <w:rPr>
                <w:rFonts w:ascii="Times New Roman" w:hAnsi="Times New Roman"/>
                <w:sz w:val="17"/>
              </w:rPr>
              <w:t>20.0x</w:t>
            </w:r>
          </w:p>
        </w:tc>
        <w:tc>
          <w:tcPr>
            <w:tcW w:type="dxa" w:w="2304"/>
          </w:tcPr>
          <w:p>
            <w:pPr>
              <w:jc w:val="center"/>
            </w:pPr>
            <w:r>
              <w:rPr>
                <w:rFonts w:ascii="Times New Roman" w:hAnsi="Times New Roman"/>
                <w:sz w:val="17"/>
              </w:rPr>
              <w:t>¥161.8</w:t>
            </w:r>
          </w:p>
        </w:tc>
      </w:tr>
      <w:tr>
        <w:tc>
          <w:tcPr>
            <w:tcW w:type="dxa" w:w="2592"/>
            <w:shd w:val="clear" w:color="auto" w:fill="E9EEF4"/>
          </w:tcPr>
          <w:p>
            <w:pPr>
              <w:jc w:val="left"/>
            </w:pPr>
            <w:r>
              <w:rPr>
                <w:rFonts w:ascii="Times New Roman" w:hAnsi="Times New Roman"/>
                <w:sz w:val="17"/>
              </w:rPr>
              <w:t>EV/EBITDA</w:t>
            </w:r>
          </w:p>
        </w:tc>
        <w:tc>
          <w:tcPr>
            <w:tcW w:type="dxa" w:w="1008"/>
            <w:shd w:val="clear" w:color="auto" w:fill="E9EEF4"/>
          </w:tcPr>
          <w:p>
            <w:pPr>
              <w:jc w:val="center"/>
            </w:pPr>
            <w:r>
              <w:rPr>
                <w:rFonts w:ascii="Times New Roman" w:hAnsi="Times New Roman"/>
                <w:sz w:val="17"/>
              </w:rPr>
              <w:t>40%</w:t>
            </w:r>
          </w:p>
        </w:tc>
        <w:tc>
          <w:tcPr>
            <w:tcW w:type="dxa" w:w="2880"/>
            <w:shd w:val="clear" w:color="auto" w:fill="E9EEF4"/>
          </w:tcPr>
          <w:p>
            <w:pPr>
              <w:jc w:val="center"/>
            </w:pPr>
            <w:r>
              <w:rPr>
                <w:rFonts w:ascii="Times New Roman" w:hAnsi="Times New Roman"/>
                <w:sz w:val="17"/>
              </w:rPr>
              <w:t>FY2026E EBITDA ¥18.5B</w:t>
            </w:r>
          </w:p>
        </w:tc>
        <w:tc>
          <w:tcPr>
            <w:tcW w:type="dxa" w:w="1296"/>
            <w:shd w:val="clear" w:color="auto" w:fill="E9EEF4"/>
          </w:tcPr>
          <w:p>
            <w:pPr>
              <w:jc w:val="center"/>
            </w:pPr>
            <w:r>
              <w:rPr>
                <w:rFonts w:ascii="Times New Roman" w:hAnsi="Times New Roman"/>
                <w:sz w:val="17"/>
              </w:rPr>
              <w:t>13.0x</w:t>
            </w:r>
          </w:p>
        </w:tc>
        <w:tc>
          <w:tcPr>
            <w:tcW w:type="dxa" w:w="2304"/>
            <w:shd w:val="clear" w:color="auto" w:fill="E9EEF4"/>
          </w:tcPr>
          <w:p>
            <w:pPr>
              <w:jc w:val="center"/>
            </w:pPr>
            <w:r>
              <w:rPr>
                <w:rFonts w:ascii="Times New Roman" w:hAnsi="Times New Roman"/>
                <w:sz w:val="17"/>
              </w:rPr>
              <w:t>¥153.5</w:t>
            </w:r>
          </w:p>
        </w:tc>
      </w:tr>
      <w:tr>
        <w:tc>
          <w:tcPr>
            <w:tcW w:type="dxa" w:w="2592"/>
          </w:tcPr>
          <w:p>
            <w:pPr>
              <w:jc w:val="left"/>
            </w:pPr>
            <w:r>
              <w:rPr>
                <w:rFonts w:ascii="Times New Roman" w:hAnsi="Times New Roman"/>
                <w:sz w:val="17"/>
              </w:rPr>
              <w:t>Blended PT</w:t>
            </w:r>
          </w:p>
        </w:tc>
        <w:tc>
          <w:tcPr>
            <w:tcW w:type="dxa" w:w="1008"/>
          </w:tcPr>
          <w:p>
            <w:pPr>
              <w:jc w:val="center"/>
            </w:pPr>
            <w:r>
              <w:rPr>
                <w:rFonts w:ascii="Times New Roman" w:hAnsi="Times New Roman"/>
                <w:sz w:val="17"/>
              </w:rPr>
              <w:t>100%</w:t>
            </w:r>
          </w:p>
        </w:tc>
        <w:tc>
          <w:tcPr>
            <w:tcW w:type="dxa" w:w="2880"/>
          </w:tcPr>
          <w:p>
            <w:pPr>
              <w:jc w:val="center"/>
            </w:pPr>
            <w:r>
              <w:rPr>
                <w:rFonts w:ascii="Times New Roman" w:hAnsi="Times New Roman"/>
                <w:sz w:val="17"/>
              </w:rPr>
              <w:t>—</w:t>
            </w:r>
          </w:p>
        </w:tc>
        <w:tc>
          <w:tcPr>
            <w:tcW w:type="dxa" w:w="1296"/>
          </w:tcPr>
          <w:p>
            <w:pPr>
              <w:jc w:val="center"/>
            </w:pPr>
            <w:r>
              <w:rPr>
                <w:rFonts w:ascii="Times New Roman" w:hAnsi="Times New Roman"/>
                <w:sz w:val="17"/>
              </w:rPr>
              <w:t>—</w:t>
            </w:r>
          </w:p>
        </w:tc>
        <w:tc>
          <w:tcPr>
            <w:tcW w:type="dxa" w:w="2304"/>
          </w:tcPr>
          <w:p>
            <w:pPr>
              <w:jc w:val="center"/>
            </w:pPr>
            <w:r>
              <w:rPr>
                <w:rFonts w:ascii="Times New Roman" w:hAnsi="Times New Roman"/>
                <w:sz w:val="17"/>
              </w:rPr>
              <w:t>¥158.0</w:t>
            </w:r>
          </w:p>
        </w:tc>
      </w:tr>
      <w:tr>
        <w:tc>
          <w:tcPr>
            <w:tcW w:type="dxa" w:w="2592"/>
            <w:shd w:val="clear" w:color="auto" w:fill="E9EEF4"/>
          </w:tcPr>
          <w:p>
            <w:pPr>
              <w:jc w:val="left"/>
            </w:pPr>
            <w:r>
              <w:rPr>
                <w:rFonts w:ascii="Times New Roman" w:hAnsi="Times New Roman"/>
                <w:sz w:val="17"/>
              </w:rPr>
              <w:t>Current Price</w:t>
            </w:r>
          </w:p>
        </w:tc>
        <w:tc>
          <w:tcPr>
            <w:tcW w:type="dxa" w:w="1008"/>
            <w:shd w:val="clear" w:color="auto" w:fill="E9EEF4"/>
          </w:tcPr>
          <w:p>
            <w:pPr>
              <w:jc w:val="center"/>
            </w:pPr>
            <w:r>
              <w:rPr>
                <w:rFonts w:ascii="Times New Roman" w:hAnsi="Times New Roman"/>
                <w:sz w:val="17"/>
              </w:rPr>
              <w:t>—</w:t>
            </w:r>
          </w:p>
        </w:tc>
        <w:tc>
          <w:tcPr>
            <w:tcW w:type="dxa" w:w="2880"/>
            <w:shd w:val="clear" w:color="auto" w:fill="E9EEF4"/>
          </w:tcPr>
          <w:p>
            <w:pPr>
              <w:jc w:val="center"/>
            </w:pPr>
            <w:r>
              <w:rPr>
                <w:rFonts w:ascii="Times New Roman" w:hAnsi="Times New Roman"/>
                <w:sz w:val="17"/>
              </w:rPr>
              <w:t>April 21, 2026</w:t>
            </w:r>
          </w:p>
        </w:tc>
        <w:tc>
          <w:tcPr>
            <w:tcW w:type="dxa" w:w="1296"/>
            <w:shd w:val="clear" w:color="auto" w:fill="E9EEF4"/>
          </w:tcPr>
          <w:p>
            <w:pPr>
              <w:jc w:val="center"/>
            </w:pPr>
            <w:r>
              <w:rPr>
                <w:rFonts w:ascii="Times New Roman" w:hAnsi="Times New Roman"/>
                <w:sz w:val="17"/>
              </w:rPr>
              <w:t>—</w:t>
            </w:r>
          </w:p>
        </w:tc>
        <w:tc>
          <w:tcPr>
            <w:tcW w:type="dxa" w:w="2304"/>
            <w:shd w:val="clear" w:color="auto" w:fill="E9EEF4"/>
          </w:tcPr>
          <w:p>
            <w:pPr>
              <w:jc w:val="center"/>
            </w:pPr>
            <w:r>
              <w:rPr>
                <w:rFonts w:ascii="Times New Roman" w:hAnsi="Times New Roman"/>
                <w:sz w:val="17"/>
              </w:rPr>
              <w:t>¥136.91</w:t>
            </w:r>
          </w:p>
        </w:tc>
      </w:tr>
      <w:tr>
        <w:tc>
          <w:tcPr>
            <w:tcW w:type="dxa" w:w="2592"/>
          </w:tcPr>
          <w:p>
            <w:pPr>
              <w:jc w:val="left"/>
            </w:pPr>
            <w:r>
              <w:rPr>
                <w:rFonts w:ascii="Times New Roman" w:hAnsi="Times New Roman"/>
                <w:sz w:val="17"/>
              </w:rPr>
              <w:t>Implied Upside</w:t>
            </w:r>
          </w:p>
        </w:tc>
        <w:tc>
          <w:tcPr>
            <w:tcW w:type="dxa" w:w="1008"/>
          </w:tcPr>
          <w:p>
            <w:pPr>
              <w:jc w:val="center"/>
            </w:pPr>
            <w:r>
              <w:rPr>
                <w:rFonts w:ascii="Times New Roman" w:hAnsi="Times New Roman"/>
                <w:sz w:val="17"/>
              </w:rPr>
              <w:t>—</w:t>
            </w:r>
          </w:p>
        </w:tc>
        <w:tc>
          <w:tcPr>
            <w:tcW w:type="dxa" w:w="2880"/>
          </w:tcPr>
          <w:p>
            <w:pPr>
              <w:jc w:val="center"/>
            </w:pPr>
            <w:r>
              <w:rPr>
                <w:rFonts w:ascii="Times New Roman" w:hAnsi="Times New Roman"/>
                <w:sz w:val="17"/>
              </w:rPr>
              <w:t>—</w:t>
            </w:r>
          </w:p>
        </w:tc>
        <w:tc>
          <w:tcPr>
            <w:tcW w:type="dxa" w:w="1296"/>
          </w:tcPr>
          <w:p>
            <w:pPr>
              <w:jc w:val="center"/>
            </w:pPr>
            <w:r>
              <w:rPr>
                <w:rFonts w:ascii="Times New Roman" w:hAnsi="Times New Roman"/>
                <w:sz w:val="17"/>
              </w:rPr>
              <w:t>—</w:t>
            </w:r>
          </w:p>
        </w:tc>
        <w:tc>
          <w:tcPr>
            <w:tcW w:type="dxa" w:w="2304"/>
          </w:tcPr>
          <w:p>
            <w:pPr>
              <w:jc w:val="center"/>
            </w:pPr>
            <w:r>
              <w:rPr>
                <w:rFonts w:ascii="Times New Roman" w:hAnsi="Times New Roman"/>
                <w:sz w:val="17"/>
              </w:rPr>
              <w:t>+15.4%</w:t>
            </w:r>
          </w:p>
        </w:tc>
      </w:tr>
    </w:tbl>
    <w:p>
      <w:pPr>
        <w:spacing w:before="20" w:after="120"/>
        <w:ind w:left="0"/>
      </w:pPr>
      <w:r>
        <w:rPr>
          <w:i/>
          <w:color w:val="808080"/>
          <w:sz w:val="15"/>
        </w:rPr>
        <w:t>Source: Analyst estimates; Bloomberg; Market data as of April 21, 2026</w:t>
      </w:r>
    </w:p>
    <w:p>
      <w:pPr>
        <w:spacing w:before="80" w:after="40"/>
        <w:ind w:left="0"/>
        <w:jc w:val="center"/>
      </w:pPr>
      <w:r>
        <w:drawing>
          <wp:inline xmlns:a="http://schemas.openxmlformats.org/drawingml/2006/main" xmlns:pic="http://schemas.openxmlformats.org/drawingml/2006/picture">
            <wp:extent cx="5669280" cy="3167902"/>
            <wp:docPr id="9" name="Picture 9"/>
            <wp:cNvGraphicFramePr>
              <a:graphicFrameLocks noChangeAspect="1"/>
            </wp:cNvGraphicFramePr>
            <a:graphic>
              <a:graphicData uri="http://schemas.openxmlformats.org/drawingml/2006/picture">
                <pic:pic>
                  <pic:nvPicPr>
                    <pic:cNvPr id="0" name="300274_chart10_valuation.png"/>
                    <pic:cNvPicPr/>
                  </pic:nvPicPr>
                  <pic:blipFill>
                    <a:blip r:embed="rId17"/>
                    <a:stretch>
                      <a:fillRect/>
                    </a:stretch>
                  </pic:blipFill>
                  <pic:spPr>
                    <a:xfrm>
                      <a:off x="0" y="0"/>
                      <a:ext cx="5669280" cy="3167902"/>
                    </a:xfrm>
                    <a:prstGeom prst="rect"/>
                  </pic:spPr>
                </pic:pic>
              </a:graphicData>
            </a:graphic>
          </wp:inline>
        </w:drawing>
      </w:r>
    </w:p>
    <w:p>
      <w:pPr>
        <w:spacing w:before="0" w:after="120"/>
        <w:ind w:left="0"/>
        <w:jc w:val="center"/>
      </w:pPr>
      <w:r>
        <w:t>Figure 10 — NTM P/E Valuation Band | Source: Bloomberg; StockAnalysis.com; Analyst estimates</w:t>
      </w:r>
      <w:r>
        <w:rPr>
          <w:rFonts w:ascii="Times New Roman" w:hAnsi="Times New Roman"/>
          <w:b w:val="0"/>
          <w:i/>
          <w:color w:val="808080"/>
          <w:sz w:val="16"/>
        </w:rPr>
      </w:r>
    </w:p>
    <w:p>
      <w:pPr>
        <w:spacing w:before="160" w:after="80"/>
        <w:ind w:left="0"/>
      </w:pPr>
      <w:r>
        <w:rPr>
          <w:rFonts w:ascii="Times New Roman" w:hAnsi="Times New Roman"/>
          <w:b/>
          <w:i w:val="0"/>
          <w:color w:val="2E75B6"/>
          <w:sz w:val="22"/>
        </w:rPr>
        <w:t>4.2  Detailed Updated Estimates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4E79"/>
          </w:tcPr>
          <w:p>
            <w:pPr>
              <w:jc w:val="center"/>
            </w:pPr>
            <w:r>
              <w:rPr>
                <w:rFonts w:ascii="Times New Roman" w:hAnsi="Times New Roman"/>
                <w:b/>
                <w:color w:val="FFFFFF"/>
                <w:sz w:val="17"/>
              </w:rPr>
              <w:t>Income Statement (CNY B)</w:t>
            </w:r>
          </w:p>
        </w:tc>
        <w:tc>
          <w:tcPr>
            <w:tcW w:type="dxa" w:w="1440"/>
            <w:shd w:val="clear" w:color="auto" w:fill="1F4E79"/>
          </w:tcPr>
          <w:p>
            <w:pPr>
              <w:jc w:val="center"/>
            </w:pPr>
            <w:r>
              <w:rPr>
                <w:rFonts w:ascii="Times New Roman" w:hAnsi="Times New Roman"/>
                <w:b/>
                <w:color w:val="FFFFFF"/>
                <w:sz w:val="17"/>
              </w:rPr>
              <w:t>FY2024A</w:t>
            </w:r>
          </w:p>
        </w:tc>
        <w:tc>
          <w:tcPr>
            <w:tcW w:type="dxa" w:w="1440"/>
            <w:shd w:val="clear" w:color="auto" w:fill="1F4E79"/>
          </w:tcPr>
          <w:p>
            <w:pPr>
              <w:jc w:val="center"/>
            </w:pPr>
            <w:r>
              <w:rPr>
                <w:rFonts w:ascii="Times New Roman" w:hAnsi="Times New Roman"/>
                <w:b/>
                <w:color w:val="FFFFFF"/>
                <w:sz w:val="17"/>
              </w:rPr>
              <w:t>FY2025A</w:t>
            </w:r>
          </w:p>
        </w:tc>
        <w:tc>
          <w:tcPr>
            <w:tcW w:type="dxa" w:w="1728"/>
            <w:shd w:val="clear" w:color="auto" w:fill="1F4E79"/>
          </w:tcPr>
          <w:p>
            <w:pPr>
              <w:jc w:val="center"/>
            </w:pPr>
            <w:r>
              <w:rPr>
                <w:rFonts w:ascii="Times New Roman" w:hAnsi="Times New Roman"/>
                <w:b/>
                <w:color w:val="FFFFFF"/>
                <w:sz w:val="17"/>
              </w:rPr>
              <w:t>FY2026E (New)</w:t>
            </w:r>
          </w:p>
        </w:tc>
        <w:tc>
          <w:tcPr>
            <w:tcW w:type="dxa" w:w="1728"/>
            <w:shd w:val="clear" w:color="auto" w:fill="1F4E79"/>
          </w:tcPr>
          <w:p>
            <w:pPr>
              <w:jc w:val="center"/>
            </w:pPr>
            <w:r>
              <w:rPr>
                <w:rFonts w:ascii="Times New Roman" w:hAnsi="Times New Roman"/>
                <w:b/>
                <w:color w:val="FFFFFF"/>
                <w:sz w:val="17"/>
              </w:rPr>
              <w:t>FY2026E (Old)</w:t>
            </w:r>
          </w:p>
        </w:tc>
        <w:tc>
          <w:tcPr>
            <w:tcW w:type="dxa" w:w="1440"/>
            <w:shd w:val="clear" w:color="auto" w:fill="1F4E79"/>
          </w:tcPr>
          <w:p>
            <w:pPr>
              <w:jc w:val="center"/>
            </w:pPr>
            <w:r>
              <w:rPr>
                <w:rFonts w:ascii="Times New Roman" w:hAnsi="Times New Roman"/>
                <w:b/>
                <w:color w:val="FFFFFF"/>
                <w:sz w:val="17"/>
              </w:rPr>
              <w:t>Change (%)</w:t>
            </w:r>
          </w:p>
        </w:tc>
      </w:tr>
      <w:tr>
        <w:tc>
          <w:tcPr>
            <w:tcW w:type="dxa" w:w="2880"/>
          </w:tcPr>
          <w:p>
            <w:pPr>
              <w:jc w:val="left"/>
            </w:pPr>
            <w:r>
              <w:rPr>
                <w:rFonts w:ascii="Times New Roman" w:hAnsi="Times New Roman"/>
                <w:sz w:val="17"/>
              </w:rPr>
              <w:t>Revenue</w:t>
            </w:r>
          </w:p>
        </w:tc>
        <w:tc>
          <w:tcPr>
            <w:tcW w:type="dxa" w:w="1440"/>
          </w:tcPr>
          <w:p>
            <w:pPr>
              <w:jc w:val="center"/>
            </w:pPr>
            <w:r>
              <w:rPr>
                <w:rFonts w:ascii="Times New Roman" w:hAnsi="Times New Roman"/>
                <w:sz w:val="17"/>
              </w:rPr>
              <w:t>¥77.86</w:t>
            </w:r>
          </w:p>
        </w:tc>
        <w:tc>
          <w:tcPr>
            <w:tcW w:type="dxa" w:w="1440"/>
          </w:tcPr>
          <w:p>
            <w:pPr>
              <w:jc w:val="center"/>
            </w:pPr>
            <w:r>
              <w:rPr>
                <w:rFonts w:ascii="Times New Roman" w:hAnsi="Times New Roman"/>
                <w:sz w:val="17"/>
              </w:rPr>
              <w:t>¥89.18</w:t>
            </w:r>
          </w:p>
        </w:tc>
        <w:tc>
          <w:tcPr>
            <w:tcW w:type="dxa" w:w="1728"/>
          </w:tcPr>
          <w:p>
            <w:pPr>
              <w:jc w:val="center"/>
            </w:pPr>
            <w:r>
              <w:rPr>
                <w:rFonts w:ascii="Times New Roman" w:hAnsi="Times New Roman"/>
                <w:sz w:val="17"/>
              </w:rPr>
              <w:t>¥102.0</w:t>
            </w:r>
          </w:p>
        </w:tc>
        <w:tc>
          <w:tcPr>
            <w:tcW w:type="dxa" w:w="1728"/>
          </w:tcPr>
          <w:p>
            <w:pPr>
              <w:jc w:val="center"/>
            </w:pPr>
            <w:r>
              <w:rPr>
                <w:rFonts w:ascii="Times New Roman" w:hAnsi="Times New Roman"/>
                <w:sz w:val="17"/>
              </w:rPr>
              <w:t>¥108.0</w:t>
            </w:r>
          </w:p>
        </w:tc>
        <w:tc>
          <w:tcPr>
            <w:tcW w:type="dxa" w:w="1440"/>
          </w:tcPr>
          <w:p>
            <w:pPr>
              <w:jc w:val="center"/>
            </w:pPr>
            <w:r>
              <w:rPr>
                <w:rFonts w:ascii="Times New Roman" w:hAnsi="Times New Roman"/>
                <w:sz w:val="17"/>
              </w:rPr>
              <w:t>-5.6%</w:t>
            </w:r>
          </w:p>
        </w:tc>
      </w:tr>
      <w:tr>
        <w:tc>
          <w:tcPr>
            <w:tcW w:type="dxa" w:w="2880"/>
            <w:shd w:val="clear" w:color="auto" w:fill="E9EEF4"/>
          </w:tcPr>
          <w:p>
            <w:pPr>
              <w:jc w:val="left"/>
            </w:pPr>
            <w:r>
              <w:rPr>
                <w:rFonts w:ascii="Times New Roman" w:hAnsi="Times New Roman"/>
                <w:sz w:val="17"/>
              </w:rPr>
              <w:t>Revenue Growth (%)</w:t>
            </w:r>
          </w:p>
        </w:tc>
        <w:tc>
          <w:tcPr>
            <w:tcW w:type="dxa" w:w="1440"/>
            <w:shd w:val="clear" w:color="auto" w:fill="E9EEF4"/>
          </w:tcPr>
          <w:p>
            <w:pPr>
              <w:jc w:val="center"/>
            </w:pPr>
            <w:r>
              <w:rPr>
                <w:rFonts w:ascii="Times New Roman" w:hAnsi="Times New Roman"/>
                <w:sz w:val="17"/>
              </w:rPr>
              <w:t>+7.8%</w:t>
            </w:r>
          </w:p>
        </w:tc>
        <w:tc>
          <w:tcPr>
            <w:tcW w:type="dxa" w:w="1440"/>
            <w:shd w:val="clear" w:color="auto" w:fill="E9EEF4"/>
          </w:tcPr>
          <w:p>
            <w:pPr>
              <w:jc w:val="center"/>
            </w:pPr>
            <w:r>
              <w:rPr>
                <w:rFonts w:ascii="Times New Roman" w:hAnsi="Times New Roman"/>
                <w:sz w:val="17"/>
              </w:rPr>
              <w:t>+14.6%</w:t>
            </w:r>
          </w:p>
        </w:tc>
        <w:tc>
          <w:tcPr>
            <w:tcW w:type="dxa" w:w="1728"/>
            <w:shd w:val="clear" w:color="auto" w:fill="E9EEF4"/>
          </w:tcPr>
          <w:p>
            <w:pPr>
              <w:jc w:val="center"/>
            </w:pPr>
            <w:r>
              <w:rPr>
                <w:rFonts w:ascii="Times New Roman" w:hAnsi="Times New Roman"/>
                <w:sz w:val="17"/>
              </w:rPr>
              <w:t>+14.4%</w:t>
            </w:r>
          </w:p>
        </w:tc>
        <w:tc>
          <w:tcPr>
            <w:tcW w:type="dxa" w:w="1728"/>
            <w:shd w:val="clear" w:color="auto" w:fill="E9EEF4"/>
          </w:tcPr>
          <w:p>
            <w:pPr>
              <w:jc w:val="center"/>
            </w:pPr>
            <w:r>
              <w:rPr>
                <w:rFonts w:ascii="Times New Roman" w:hAnsi="Times New Roman"/>
                <w:sz w:val="17"/>
              </w:rPr>
              <w:t>+21.1%</w:t>
            </w:r>
          </w:p>
        </w:tc>
        <w:tc>
          <w:tcPr>
            <w:tcW w:type="dxa" w:w="1440"/>
            <w:shd w:val="clear" w:color="auto" w:fill="E9EEF4"/>
          </w:tcPr>
          <w:p>
            <w:pPr>
              <w:jc w:val="center"/>
            </w:pPr>
            <w:r>
              <w:rPr>
                <w:rFonts w:ascii="Times New Roman" w:hAnsi="Times New Roman"/>
                <w:sz w:val="17"/>
              </w:rPr>
              <w:t>—</w:t>
            </w:r>
          </w:p>
        </w:tc>
      </w:tr>
      <w:tr>
        <w:tc>
          <w:tcPr>
            <w:tcW w:type="dxa" w:w="2880"/>
          </w:tcPr>
          <w:p>
            <w:pPr>
              <w:jc w:val="left"/>
            </w:pPr>
            <w:r>
              <w:rPr>
                <w:rFonts w:ascii="Times New Roman" w:hAnsi="Times New Roman"/>
                <w:sz w:val="17"/>
              </w:rPr>
              <w:t>Gross Profit</w:t>
            </w:r>
          </w:p>
        </w:tc>
        <w:tc>
          <w:tcPr>
            <w:tcW w:type="dxa" w:w="1440"/>
          </w:tcPr>
          <w:p>
            <w:pPr>
              <w:jc w:val="center"/>
            </w:pPr>
            <w:r>
              <w:rPr>
                <w:rFonts w:ascii="Times New Roman" w:hAnsi="Times New Roman"/>
                <w:sz w:val="17"/>
              </w:rPr>
              <w:t>¥19.9</w:t>
            </w:r>
          </w:p>
        </w:tc>
        <w:tc>
          <w:tcPr>
            <w:tcW w:type="dxa" w:w="1440"/>
          </w:tcPr>
          <w:p>
            <w:pPr>
              <w:jc w:val="center"/>
            </w:pPr>
            <w:r>
              <w:rPr>
                <w:rFonts w:ascii="Times New Roman" w:hAnsi="Times New Roman"/>
                <w:sz w:val="17"/>
              </w:rPr>
              <w:t>¥28.4</w:t>
            </w:r>
          </w:p>
        </w:tc>
        <w:tc>
          <w:tcPr>
            <w:tcW w:type="dxa" w:w="1728"/>
          </w:tcPr>
          <w:p>
            <w:pPr>
              <w:jc w:val="center"/>
            </w:pPr>
            <w:r>
              <w:rPr>
                <w:rFonts w:ascii="Times New Roman" w:hAnsi="Times New Roman"/>
                <w:sz w:val="17"/>
              </w:rPr>
              <w:t>¥32.6</w:t>
            </w:r>
          </w:p>
        </w:tc>
        <w:tc>
          <w:tcPr>
            <w:tcW w:type="dxa" w:w="1728"/>
          </w:tcPr>
          <w:p>
            <w:pPr>
              <w:jc w:val="center"/>
            </w:pPr>
            <w:r>
              <w:rPr>
                <w:rFonts w:ascii="Times New Roman" w:hAnsi="Times New Roman"/>
                <w:sz w:val="17"/>
              </w:rPr>
              <w:t>¥35.1</w:t>
            </w:r>
          </w:p>
        </w:tc>
        <w:tc>
          <w:tcPr>
            <w:tcW w:type="dxa" w:w="1440"/>
          </w:tcPr>
          <w:p>
            <w:pPr>
              <w:jc w:val="center"/>
            </w:pPr>
            <w:r>
              <w:rPr>
                <w:rFonts w:ascii="Times New Roman" w:hAnsi="Times New Roman"/>
                <w:sz w:val="17"/>
              </w:rPr>
              <w:t>-7.1%</w:t>
            </w:r>
          </w:p>
        </w:tc>
      </w:tr>
      <w:tr>
        <w:tc>
          <w:tcPr>
            <w:tcW w:type="dxa" w:w="2880"/>
            <w:shd w:val="clear" w:color="auto" w:fill="E9EEF4"/>
          </w:tcPr>
          <w:p>
            <w:pPr>
              <w:jc w:val="left"/>
            </w:pPr>
            <w:r>
              <w:rPr>
                <w:rFonts w:ascii="Times New Roman" w:hAnsi="Times New Roman"/>
                <w:sz w:val="17"/>
              </w:rPr>
              <w:t>Gross Margin (%)</w:t>
            </w:r>
          </w:p>
        </w:tc>
        <w:tc>
          <w:tcPr>
            <w:tcW w:type="dxa" w:w="1440"/>
            <w:shd w:val="clear" w:color="auto" w:fill="E9EEF4"/>
          </w:tcPr>
          <w:p>
            <w:pPr>
              <w:jc w:val="center"/>
            </w:pPr>
            <w:r>
              <w:rPr>
                <w:rFonts w:ascii="Times New Roman" w:hAnsi="Times New Roman"/>
                <w:sz w:val="17"/>
              </w:rPr>
              <w:t>25.5%</w:t>
            </w:r>
          </w:p>
        </w:tc>
        <w:tc>
          <w:tcPr>
            <w:tcW w:type="dxa" w:w="1440"/>
            <w:shd w:val="clear" w:color="auto" w:fill="E9EEF4"/>
          </w:tcPr>
          <w:p>
            <w:pPr>
              <w:jc w:val="center"/>
            </w:pPr>
            <w:r>
              <w:rPr>
                <w:rFonts w:ascii="Times New Roman" w:hAnsi="Times New Roman"/>
                <w:sz w:val="17"/>
              </w:rPr>
              <w:t>31.83%</w:t>
            </w:r>
          </w:p>
        </w:tc>
        <w:tc>
          <w:tcPr>
            <w:tcW w:type="dxa" w:w="1728"/>
            <w:shd w:val="clear" w:color="auto" w:fill="E9EEF4"/>
          </w:tcPr>
          <w:p>
            <w:pPr>
              <w:jc w:val="center"/>
            </w:pPr>
            <w:r>
              <w:rPr>
                <w:rFonts w:ascii="Times New Roman" w:hAnsi="Times New Roman"/>
                <w:sz w:val="17"/>
              </w:rPr>
              <w:t>32.0%</w:t>
            </w:r>
          </w:p>
        </w:tc>
        <w:tc>
          <w:tcPr>
            <w:tcW w:type="dxa" w:w="1728"/>
            <w:shd w:val="clear" w:color="auto" w:fill="E9EEF4"/>
          </w:tcPr>
          <w:p>
            <w:pPr>
              <w:jc w:val="center"/>
            </w:pPr>
            <w:r>
              <w:rPr>
                <w:rFonts w:ascii="Times New Roman" w:hAnsi="Times New Roman"/>
                <w:sz w:val="17"/>
              </w:rPr>
              <w:t>32.5%</w:t>
            </w:r>
          </w:p>
        </w:tc>
        <w:tc>
          <w:tcPr>
            <w:tcW w:type="dxa" w:w="1440"/>
            <w:shd w:val="clear" w:color="auto" w:fill="E9EEF4"/>
          </w:tcPr>
          <w:p>
            <w:pPr>
              <w:jc w:val="center"/>
            </w:pPr>
            <w:r>
              <w:rPr>
                <w:rFonts w:ascii="Times New Roman" w:hAnsi="Times New Roman"/>
                <w:sz w:val="17"/>
              </w:rPr>
              <w:t>-50 bps</w:t>
            </w:r>
          </w:p>
        </w:tc>
      </w:tr>
      <w:tr>
        <w:tc>
          <w:tcPr>
            <w:tcW w:type="dxa" w:w="2880"/>
          </w:tcPr>
          <w:p>
            <w:pPr>
              <w:jc w:val="left"/>
            </w:pPr>
            <w:r>
              <w:rPr>
                <w:rFonts w:ascii="Times New Roman" w:hAnsi="Times New Roman"/>
                <w:sz w:val="17"/>
              </w:rPr>
              <w:t>EBITDA</w:t>
            </w:r>
          </w:p>
        </w:tc>
        <w:tc>
          <w:tcPr>
            <w:tcW w:type="dxa" w:w="1440"/>
          </w:tcPr>
          <w:p>
            <w:pPr>
              <w:jc w:val="center"/>
            </w:pPr>
            <w:r>
              <w:rPr>
                <w:rFonts w:ascii="Times New Roman" w:hAnsi="Times New Roman"/>
                <w:sz w:val="17"/>
              </w:rPr>
              <w:t>¥14.5</w:t>
            </w:r>
          </w:p>
        </w:tc>
        <w:tc>
          <w:tcPr>
            <w:tcW w:type="dxa" w:w="1440"/>
          </w:tcPr>
          <w:p>
            <w:pPr>
              <w:jc w:val="center"/>
            </w:pPr>
            <w:r>
              <w:rPr>
                <w:rFonts w:ascii="Times New Roman" w:hAnsi="Times New Roman"/>
                <w:sz w:val="17"/>
              </w:rPr>
              <w:t>¥18.5E</w:t>
            </w:r>
          </w:p>
        </w:tc>
        <w:tc>
          <w:tcPr>
            <w:tcW w:type="dxa" w:w="1728"/>
          </w:tcPr>
          <w:p>
            <w:pPr>
              <w:jc w:val="center"/>
            </w:pPr>
            <w:r>
              <w:rPr>
                <w:rFonts w:ascii="Times New Roman" w:hAnsi="Times New Roman"/>
                <w:sz w:val="17"/>
              </w:rPr>
              <w:t>¥20.5</w:t>
            </w:r>
          </w:p>
        </w:tc>
        <w:tc>
          <w:tcPr>
            <w:tcW w:type="dxa" w:w="1728"/>
          </w:tcPr>
          <w:p>
            <w:pPr>
              <w:jc w:val="center"/>
            </w:pPr>
            <w:r>
              <w:rPr>
                <w:rFonts w:ascii="Times New Roman" w:hAnsi="Times New Roman"/>
                <w:sz w:val="17"/>
              </w:rPr>
              <w:t>¥22.0</w:t>
            </w:r>
          </w:p>
        </w:tc>
        <w:tc>
          <w:tcPr>
            <w:tcW w:type="dxa" w:w="1440"/>
          </w:tcPr>
          <w:p>
            <w:pPr>
              <w:jc w:val="center"/>
            </w:pPr>
            <w:r>
              <w:rPr>
                <w:rFonts w:ascii="Times New Roman" w:hAnsi="Times New Roman"/>
                <w:sz w:val="17"/>
              </w:rPr>
              <w:t>-6.8%</w:t>
            </w:r>
          </w:p>
        </w:tc>
      </w:tr>
      <w:tr>
        <w:tc>
          <w:tcPr>
            <w:tcW w:type="dxa" w:w="2880"/>
            <w:shd w:val="clear" w:color="auto" w:fill="E9EEF4"/>
          </w:tcPr>
          <w:p>
            <w:pPr>
              <w:jc w:val="left"/>
            </w:pPr>
            <w:r>
              <w:rPr>
                <w:rFonts w:ascii="Times New Roman" w:hAnsi="Times New Roman"/>
                <w:sz w:val="17"/>
              </w:rPr>
              <w:t>EBITDA Margin (%)</w:t>
            </w:r>
          </w:p>
        </w:tc>
        <w:tc>
          <w:tcPr>
            <w:tcW w:type="dxa" w:w="1440"/>
            <w:shd w:val="clear" w:color="auto" w:fill="E9EEF4"/>
          </w:tcPr>
          <w:p>
            <w:pPr>
              <w:jc w:val="center"/>
            </w:pPr>
            <w:r>
              <w:rPr>
                <w:rFonts w:ascii="Times New Roman" w:hAnsi="Times New Roman"/>
                <w:sz w:val="17"/>
              </w:rPr>
              <w:t>18.6%</w:t>
            </w:r>
          </w:p>
        </w:tc>
        <w:tc>
          <w:tcPr>
            <w:tcW w:type="dxa" w:w="1440"/>
            <w:shd w:val="clear" w:color="auto" w:fill="E9EEF4"/>
          </w:tcPr>
          <w:p>
            <w:pPr>
              <w:jc w:val="center"/>
            </w:pPr>
            <w:r>
              <w:rPr>
                <w:rFonts w:ascii="Times New Roman" w:hAnsi="Times New Roman"/>
                <w:sz w:val="17"/>
              </w:rPr>
              <w:t>20.7%E</w:t>
            </w:r>
          </w:p>
        </w:tc>
        <w:tc>
          <w:tcPr>
            <w:tcW w:type="dxa" w:w="1728"/>
            <w:shd w:val="clear" w:color="auto" w:fill="E9EEF4"/>
          </w:tcPr>
          <w:p>
            <w:pPr>
              <w:jc w:val="center"/>
            </w:pPr>
            <w:r>
              <w:rPr>
                <w:rFonts w:ascii="Times New Roman" w:hAnsi="Times New Roman"/>
                <w:sz w:val="17"/>
              </w:rPr>
              <w:t>20.1%</w:t>
            </w:r>
          </w:p>
        </w:tc>
        <w:tc>
          <w:tcPr>
            <w:tcW w:type="dxa" w:w="1728"/>
            <w:shd w:val="clear" w:color="auto" w:fill="E9EEF4"/>
          </w:tcPr>
          <w:p>
            <w:pPr>
              <w:jc w:val="center"/>
            </w:pPr>
            <w:r>
              <w:rPr>
                <w:rFonts w:ascii="Times New Roman" w:hAnsi="Times New Roman"/>
                <w:sz w:val="17"/>
              </w:rPr>
              <w:t>20.4%</w:t>
            </w:r>
          </w:p>
        </w:tc>
        <w:tc>
          <w:tcPr>
            <w:tcW w:type="dxa" w:w="1440"/>
            <w:shd w:val="clear" w:color="auto" w:fill="E9EEF4"/>
          </w:tcPr>
          <w:p>
            <w:pPr>
              <w:jc w:val="center"/>
            </w:pPr>
            <w:r>
              <w:rPr>
                <w:rFonts w:ascii="Times New Roman" w:hAnsi="Times New Roman"/>
                <w:sz w:val="17"/>
              </w:rPr>
              <w:t>-30 bps</w:t>
            </w:r>
          </w:p>
        </w:tc>
      </w:tr>
      <w:tr>
        <w:tc>
          <w:tcPr>
            <w:tcW w:type="dxa" w:w="2880"/>
          </w:tcPr>
          <w:p>
            <w:pPr>
              <w:jc w:val="left"/>
            </w:pPr>
            <w:r>
              <w:rPr>
                <w:rFonts w:ascii="Times New Roman" w:hAnsi="Times New Roman"/>
                <w:sz w:val="17"/>
              </w:rPr>
              <w:t>Operating Profit</w:t>
            </w:r>
          </w:p>
        </w:tc>
        <w:tc>
          <w:tcPr>
            <w:tcW w:type="dxa" w:w="1440"/>
          </w:tcPr>
          <w:p>
            <w:pPr>
              <w:jc w:val="center"/>
            </w:pPr>
            <w:r>
              <w:rPr>
                <w:rFonts w:ascii="Times New Roman" w:hAnsi="Times New Roman"/>
                <w:sz w:val="17"/>
              </w:rPr>
              <w:t>¥13.5</w:t>
            </w:r>
          </w:p>
        </w:tc>
        <w:tc>
          <w:tcPr>
            <w:tcW w:type="dxa" w:w="1440"/>
          </w:tcPr>
          <w:p>
            <w:pPr>
              <w:jc w:val="center"/>
            </w:pPr>
            <w:r>
              <w:rPr>
                <w:rFonts w:ascii="Times New Roman" w:hAnsi="Times New Roman"/>
                <w:sz w:val="17"/>
              </w:rPr>
              <w:t>¥17.0E</w:t>
            </w:r>
          </w:p>
        </w:tc>
        <w:tc>
          <w:tcPr>
            <w:tcW w:type="dxa" w:w="1728"/>
          </w:tcPr>
          <w:p>
            <w:pPr>
              <w:jc w:val="center"/>
            </w:pPr>
            <w:r>
              <w:rPr>
                <w:rFonts w:ascii="Times New Roman" w:hAnsi="Times New Roman"/>
                <w:sz w:val="17"/>
              </w:rPr>
              <w:t>¥19.5</w:t>
            </w:r>
          </w:p>
        </w:tc>
        <w:tc>
          <w:tcPr>
            <w:tcW w:type="dxa" w:w="1728"/>
          </w:tcPr>
          <w:p>
            <w:pPr>
              <w:jc w:val="center"/>
            </w:pPr>
            <w:r>
              <w:rPr>
                <w:rFonts w:ascii="Times New Roman" w:hAnsi="Times New Roman"/>
                <w:sz w:val="17"/>
              </w:rPr>
              <w:t>¥21.0</w:t>
            </w:r>
          </w:p>
        </w:tc>
        <w:tc>
          <w:tcPr>
            <w:tcW w:type="dxa" w:w="1440"/>
          </w:tcPr>
          <w:p>
            <w:pPr>
              <w:jc w:val="center"/>
            </w:pPr>
            <w:r>
              <w:rPr>
                <w:rFonts w:ascii="Times New Roman" w:hAnsi="Times New Roman"/>
                <w:sz w:val="17"/>
              </w:rPr>
              <w:t>-7.1%</w:t>
            </w:r>
          </w:p>
        </w:tc>
      </w:tr>
      <w:tr>
        <w:tc>
          <w:tcPr>
            <w:tcW w:type="dxa" w:w="2880"/>
            <w:shd w:val="clear" w:color="auto" w:fill="E9EEF4"/>
          </w:tcPr>
          <w:p>
            <w:pPr>
              <w:jc w:val="left"/>
            </w:pPr>
            <w:r>
              <w:rPr>
                <w:rFonts w:ascii="Times New Roman" w:hAnsi="Times New Roman"/>
                <w:sz w:val="17"/>
              </w:rPr>
              <w:t>Operating Margin (%)</w:t>
            </w:r>
          </w:p>
        </w:tc>
        <w:tc>
          <w:tcPr>
            <w:tcW w:type="dxa" w:w="1440"/>
            <w:shd w:val="clear" w:color="auto" w:fill="E9EEF4"/>
          </w:tcPr>
          <w:p>
            <w:pPr>
              <w:jc w:val="center"/>
            </w:pPr>
            <w:r>
              <w:rPr>
                <w:rFonts w:ascii="Times New Roman" w:hAnsi="Times New Roman"/>
                <w:sz w:val="17"/>
              </w:rPr>
              <w:t>17.3%</w:t>
            </w:r>
          </w:p>
        </w:tc>
        <w:tc>
          <w:tcPr>
            <w:tcW w:type="dxa" w:w="1440"/>
            <w:shd w:val="clear" w:color="auto" w:fill="E9EEF4"/>
          </w:tcPr>
          <w:p>
            <w:pPr>
              <w:jc w:val="center"/>
            </w:pPr>
            <w:r>
              <w:rPr>
                <w:rFonts w:ascii="Times New Roman" w:hAnsi="Times New Roman"/>
                <w:sz w:val="17"/>
              </w:rPr>
              <w:t>19.1%E</w:t>
            </w:r>
          </w:p>
        </w:tc>
        <w:tc>
          <w:tcPr>
            <w:tcW w:type="dxa" w:w="1728"/>
            <w:shd w:val="clear" w:color="auto" w:fill="E9EEF4"/>
          </w:tcPr>
          <w:p>
            <w:pPr>
              <w:jc w:val="center"/>
            </w:pPr>
            <w:r>
              <w:rPr>
                <w:rFonts w:ascii="Times New Roman" w:hAnsi="Times New Roman"/>
                <w:sz w:val="17"/>
              </w:rPr>
              <w:t>19.1%</w:t>
            </w:r>
          </w:p>
        </w:tc>
        <w:tc>
          <w:tcPr>
            <w:tcW w:type="dxa" w:w="1728"/>
            <w:shd w:val="clear" w:color="auto" w:fill="E9EEF4"/>
          </w:tcPr>
          <w:p>
            <w:pPr>
              <w:jc w:val="center"/>
            </w:pPr>
            <w:r>
              <w:rPr>
                <w:rFonts w:ascii="Times New Roman" w:hAnsi="Times New Roman"/>
                <w:sz w:val="17"/>
              </w:rPr>
              <w:t>19.4%</w:t>
            </w:r>
          </w:p>
        </w:tc>
        <w:tc>
          <w:tcPr>
            <w:tcW w:type="dxa" w:w="1440"/>
            <w:shd w:val="clear" w:color="auto" w:fill="E9EEF4"/>
          </w:tcPr>
          <w:p>
            <w:pPr>
              <w:jc w:val="center"/>
            </w:pPr>
            <w:r>
              <w:rPr>
                <w:rFonts w:ascii="Times New Roman" w:hAnsi="Times New Roman"/>
                <w:sz w:val="17"/>
              </w:rPr>
              <w:t>-30 bps</w:t>
            </w:r>
          </w:p>
        </w:tc>
      </w:tr>
      <w:tr>
        <w:tc>
          <w:tcPr>
            <w:tcW w:type="dxa" w:w="2880"/>
          </w:tcPr>
          <w:p>
            <w:pPr>
              <w:jc w:val="left"/>
            </w:pPr>
            <w:r>
              <w:rPr>
                <w:rFonts w:ascii="Times New Roman" w:hAnsi="Times New Roman"/>
                <w:sz w:val="17"/>
              </w:rPr>
              <w:t>Net Profit Attr.</w:t>
            </w:r>
          </w:p>
        </w:tc>
        <w:tc>
          <w:tcPr>
            <w:tcW w:type="dxa" w:w="1440"/>
          </w:tcPr>
          <w:p>
            <w:pPr>
              <w:jc w:val="center"/>
            </w:pPr>
            <w:r>
              <w:rPr>
                <w:rFonts w:ascii="Times New Roman" w:hAnsi="Times New Roman"/>
                <w:sz w:val="17"/>
              </w:rPr>
              <w:t>¥11.04</w:t>
            </w:r>
          </w:p>
        </w:tc>
        <w:tc>
          <w:tcPr>
            <w:tcW w:type="dxa" w:w="1440"/>
          </w:tcPr>
          <w:p>
            <w:pPr>
              <w:jc w:val="center"/>
            </w:pPr>
            <w:r>
              <w:rPr>
                <w:rFonts w:ascii="Times New Roman" w:hAnsi="Times New Roman"/>
                <w:sz w:val="17"/>
              </w:rPr>
              <w:t>¥13.46</w:t>
            </w:r>
          </w:p>
        </w:tc>
        <w:tc>
          <w:tcPr>
            <w:tcW w:type="dxa" w:w="1728"/>
          </w:tcPr>
          <w:p>
            <w:pPr>
              <w:jc w:val="center"/>
            </w:pPr>
            <w:r>
              <w:rPr>
                <w:rFonts w:ascii="Times New Roman" w:hAnsi="Times New Roman"/>
                <w:sz w:val="17"/>
              </w:rPr>
              <w:t>¥16.77</w:t>
            </w:r>
          </w:p>
        </w:tc>
        <w:tc>
          <w:tcPr>
            <w:tcW w:type="dxa" w:w="1728"/>
          </w:tcPr>
          <w:p>
            <w:pPr>
              <w:jc w:val="center"/>
            </w:pPr>
            <w:r>
              <w:rPr>
                <w:rFonts w:ascii="Times New Roman" w:hAnsi="Times New Roman"/>
                <w:sz w:val="17"/>
              </w:rPr>
              <w:t>¥18.00</w:t>
            </w:r>
          </w:p>
        </w:tc>
        <w:tc>
          <w:tcPr>
            <w:tcW w:type="dxa" w:w="1440"/>
          </w:tcPr>
          <w:p>
            <w:pPr>
              <w:jc w:val="center"/>
            </w:pPr>
            <w:r>
              <w:rPr>
                <w:rFonts w:ascii="Times New Roman" w:hAnsi="Times New Roman"/>
                <w:sz w:val="17"/>
              </w:rPr>
              <w:t>-6.8%</w:t>
            </w:r>
          </w:p>
        </w:tc>
      </w:tr>
      <w:tr>
        <w:tc>
          <w:tcPr>
            <w:tcW w:type="dxa" w:w="2880"/>
            <w:shd w:val="clear" w:color="auto" w:fill="E9EEF4"/>
          </w:tcPr>
          <w:p>
            <w:pPr>
              <w:jc w:val="left"/>
            </w:pPr>
            <w:r>
              <w:rPr>
                <w:rFonts w:ascii="Times New Roman" w:hAnsi="Times New Roman"/>
                <w:sz w:val="17"/>
              </w:rPr>
              <w:t>Net Margin (%)</w:t>
            </w:r>
          </w:p>
        </w:tc>
        <w:tc>
          <w:tcPr>
            <w:tcW w:type="dxa" w:w="1440"/>
            <w:shd w:val="clear" w:color="auto" w:fill="E9EEF4"/>
          </w:tcPr>
          <w:p>
            <w:pPr>
              <w:jc w:val="center"/>
            </w:pPr>
            <w:r>
              <w:rPr>
                <w:rFonts w:ascii="Times New Roman" w:hAnsi="Times New Roman"/>
                <w:sz w:val="17"/>
              </w:rPr>
              <w:t>14.2%</w:t>
            </w:r>
          </w:p>
        </w:tc>
        <w:tc>
          <w:tcPr>
            <w:tcW w:type="dxa" w:w="1440"/>
            <w:shd w:val="clear" w:color="auto" w:fill="E9EEF4"/>
          </w:tcPr>
          <w:p>
            <w:pPr>
              <w:jc w:val="center"/>
            </w:pPr>
            <w:r>
              <w:rPr>
                <w:rFonts w:ascii="Times New Roman" w:hAnsi="Times New Roman"/>
                <w:sz w:val="17"/>
              </w:rPr>
              <w:t>15.2%</w:t>
            </w:r>
          </w:p>
        </w:tc>
        <w:tc>
          <w:tcPr>
            <w:tcW w:type="dxa" w:w="1728"/>
            <w:shd w:val="clear" w:color="auto" w:fill="E9EEF4"/>
          </w:tcPr>
          <w:p>
            <w:pPr>
              <w:jc w:val="center"/>
            </w:pPr>
            <w:r>
              <w:rPr>
                <w:rFonts w:ascii="Times New Roman" w:hAnsi="Times New Roman"/>
                <w:sz w:val="17"/>
              </w:rPr>
              <w:t>16.4%</w:t>
            </w:r>
          </w:p>
        </w:tc>
        <w:tc>
          <w:tcPr>
            <w:tcW w:type="dxa" w:w="1728"/>
            <w:shd w:val="clear" w:color="auto" w:fill="E9EEF4"/>
          </w:tcPr>
          <w:p>
            <w:pPr>
              <w:jc w:val="center"/>
            </w:pPr>
            <w:r>
              <w:rPr>
                <w:rFonts w:ascii="Times New Roman" w:hAnsi="Times New Roman"/>
                <w:sz w:val="17"/>
              </w:rPr>
              <w:t>16.7%</w:t>
            </w:r>
          </w:p>
        </w:tc>
        <w:tc>
          <w:tcPr>
            <w:tcW w:type="dxa" w:w="1440"/>
            <w:shd w:val="clear" w:color="auto" w:fill="E9EEF4"/>
          </w:tcPr>
          <w:p>
            <w:pPr>
              <w:jc w:val="center"/>
            </w:pPr>
            <w:r>
              <w:rPr>
                <w:rFonts w:ascii="Times New Roman" w:hAnsi="Times New Roman"/>
                <w:sz w:val="17"/>
              </w:rPr>
              <w:t>-30 bps</w:t>
            </w:r>
          </w:p>
        </w:tc>
      </w:tr>
      <w:tr>
        <w:tc>
          <w:tcPr>
            <w:tcW w:type="dxa" w:w="2880"/>
          </w:tcPr>
          <w:p>
            <w:pPr>
              <w:jc w:val="left"/>
            </w:pPr>
            <w:r>
              <w:rPr>
                <w:rFonts w:ascii="Times New Roman" w:hAnsi="Times New Roman"/>
                <w:sz w:val="17"/>
              </w:rPr>
              <w:t>EPS (CNY)</w:t>
            </w:r>
          </w:p>
        </w:tc>
        <w:tc>
          <w:tcPr>
            <w:tcW w:type="dxa" w:w="1440"/>
          </w:tcPr>
          <w:p>
            <w:pPr>
              <w:jc w:val="center"/>
            </w:pPr>
            <w:r>
              <w:rPr>
                <w:rFonts w:ascii="Times New Roman" w:hAnsi="Times New Roman"/>
                <w:sz w:val="17"/>
              </w:rPr>
              <w:t>¥5.32</w:t>
            </w:r>
          </w:p>
        </w:tc>
        <w:tc>
          <w:tcPr>
            <w:tcW w:type="dxa" w:w="1440"/>
          </w:tcPr>
          <w:p>
            <w:pPr>
              <w:jc w:val="center"/>
            </w:pPr>
            <w:r>
              <w:rPr>
                <w:rFonts w:ascii="Times New Roman" w:hAnsi="Times New Roman"/>
                <w:sz w:val="17"/>
              </w:rPr>
              <w:t>¥6.55</w:t>
            </w:r>
          </w:p>
        </w:tc>
        <w:tc>
          <w:tcPr>
            <w:tcW w:type="dxa" w:w="1728"/>
          </w:tcPr>
          <w:p>
            <w:pPr>
              <w:jc w:val="center"/>
            </w:pPr>
            <w:r>
              <w:rPr>
                <w:rFonts w:ascii="Times New Roman" w:hAnsi="Times New Roman"/>
                <w:sz w:val="17"/>
              </w:rPr>
              <w:t>¥8.09</w:t>
            </w:r>
          </w:p>
        </w:tc>
        <w:tc>
          <w:tcPr>
            <w:tcW w:type="dxa" w:w="1728"/>
          </w:tcPr>
          <w:p>
            <w:pPr>
              <w:jc w:val="center"/>
            </w:pPr>
            <w:r>
              <w:rPr>
                <w:rFonts w:ascii="Times New Roman" w:hAnsi="Times New Roman"/>
                <w:sz w:val="17"/>
              </w:rPr>
              <w:t>¥8.70</w:t>
            </w:r>
          </w:p>
        </w:tc>
        <w:tc>
          <w:tcPr>
            <w:tcW w:type="dxa" w:w="1440"/>
          </w:tcPr>
          <w:p>
            <w:pPr>
              <w:jc w:val="center"/>
            </w:pPr>
            <w:r>
              <w:rPr>
                <w:rFonts w:ascii="Times New Roman" w:hAnsi="Times New Roman"/>
                <w:sz w:val="17"/>
              </w:rPr>
              <w:t>-7.0%</w:t>
            </w:r>
          </w:p>
        </w:tc>
      </w:tr>
      <w:tr>
        <w:tc>
          <w:tcPr>
            <w:tcW w:type="dxa" w:w="2880"/>
            <w:shd w:val="clear" w:color="auto" w:fill="E9EEF4"/>
          </w:tcPr>
          <w:p>
            <w:pPr>
              <w:jc w:val="left"/>
            </w:pPr>
            <w:r>
              <w:rPr>
                <w:rFonts w:ascii="Times New Roman" w:hAnsi="Times New Roman"/>
                <w:sz w:val="17"/>
              </w:rPr>
              <w:t>P/E @ ¥136.91</w:t>
            </w:r>
          </w:p>
        </w:tc>
        <w:tc>
          <w:tcPr>
            <w:tcW w:type="dxa" w:w="1440"/>
            <w:shd w:val="clear" w:color="auto" w:fill="E9EEF4"/>
          </w:tcPr>
          <w:p>
            <w:pPr>
              <w:jc w:val="center"/>
            </w:pPr>
            <w:r>
              <w:rPr>
                <w:rFonts w:ascii="Times New Roman" w:hAnsi="Times New Roman"/>
                <w:sz w:val="17"/>
              </w:rPr>
              <w:t>25.7x</w:t>
            </w:r>
          </w:p>
        </w:tc>
        <w:tc>
          <w:tcPr>
            <w:tcW w:type="dxa" w:w="1440"/>
            <w:shd w:val="clear" w:color="auto" w:fill="E9EEF4"/>
          </w:tcPr>
          <w:p>
            <w:pPr>
              <w:jc w:val="center"/>
            </w:pPr>
            <w:r>
              <w:rPr>
                <w:rFonts w:ascii="Times New Roman" w:hAnsi="Times New Roman"/>
                <w:sz w:val="17"/>
              </w:rPr>
              <w:t>20.9x</w:t>
            </w:r>
          </w:p>
        </w:tc>
        <w:tc>
          <w:tcPr>
            <w:tcW w:type="dxa" w:w="1728"/>
            <w:shd w:val="clear" w:color="auto" w:fill="E9EEF4"/>
          </w:tcPr>
          <w:p>
            <w:pPr>
              <w:jc w:val="center"/>
            </w:pPr>
            <w:r>
              <w:rPr>
                <w:rFonts w:ascii="Times New Roman" w:hAnsi="Times New Roman"/>
                <w:sz w:val="17"/>
              </w:rPr>
              <w:t>16.9x</w:t>
            </w:r>
          </w:p>
        </w:tc>
        <w:tc>
          <w:tcPr>
            <w:tcW w:type="dxa" w:w="1728"/>
            <w:shd w:val="clear" w:color="auto" w:fill="E9EEF4"/>
          </w:tcPr>
          <w:p>
            <w:pPr>
              <w:jc w:val="center"/>
            </w:pPr>
            <w:r>
              <w:rPr>
                <w:rFonts w:ascii="Times New Roman" w:hAnsi="Times New Roman"/>
                <w:sz w:val="17"/>
              </w:rPr>
              <w:t>15.7x</w:t>
            </w:r>
          </w:p>
        </w:tc>
        <w:tc>
          <w:tcPr>
            <w:tcW w:type="dxa" w:w="1440"/>
            <w:shd w:val="clear" w:color="auto" w:fill="E9EEF4"/>
          </w:tcPr>
          <w:p>
            <w:pPr>
              <w:jc w:val="center"/>
            </w:pPr>
            <w:r>
              <w:rPr>
                <w:rFonts w:ascii="Times New Roman" w:hAnsi="Times New Roman"/>
                <w:sz w:val="17"/>
              </w:rPr>
              <w:t>—</w:t>
            </w:r>
          </w:p>
        </w:tc>
      </w:tr>
      <w:tr>
        <w:tc>
          <w:tcPr>
            <w:tcW w:type="dxa" w:w="2880"/>
          </w:tcPr>
          <w:p>
            <w:pPr>
              <w:jc w:val="left"/>
            </w:pPr>
            <w:r>
              <w:rPr>
                <w:rFonts w:ascii="Times New Roman" w:hAnsi="Times New Roman"/>
                <w:sz w:val="17"/>
              </w:rPr>
              <w:t>EV/EBITDA (approx.)</w:t>
            </w:r>
          </w:p>
        </w:tc>
        <w:tc>
          <w:tcPr>
            <w:tcW w:type="dxa" w:w="1440"/>
          </w:tcPr>
          <w:p>
            <w:pPr>
              <w:jc w:val="center"/>
            </w:pPr>
            <w:r>
              <w:rPr>
                <w:rFonts w:ascii="Times New Roman" w:hAnsi="Times New Roman"/>
                <w:sz w:val="17"/>
              </w:rPr>
              <w:t>19.3x</w:t>
            </w:r>
          </w:p>
        </w:tc>
        <w:tc>
          <w:tcPr>
            <w:tcW w:type="dxa" w:w="1440"/>
          </w:tcPr>
          <w:p>
            <w:pPr>
              <w:jc w:val="center"/>
            </w:pPr>
            <w:r>
              <w:rPr>
                <w:rFonts w:ascii="Times New Roman" w:hAnsi="Times New Roman"/>
                <w:sz w:val="17"/>
              </w:rPr>
              <w:t>15.1x</w:t>
            </w:r>
          </w:p>
        </w:tc>
        <w:tc>
          <w:tcPr>
            <w:tcW w:type="dxa" w:w="1728"/>
          </w:tcPr>
          <w:p>
            <w:pPr>
              <w:jc w:val="center"/>
            </w:pPr>
            <w:r>
              <w:rPr>
                <w:rFonts w:ascii="Times New Roman" w:hAnsi="Times New Roman"/>
                <w:sz w:val="17"/>
              </w:rPr>
              <w:t>13.6x</w:t>
            </w:r>
          </w:p>
        </w:tc>
        <w:tc>
          <w:tcPr>
            <w:tcW w:type="dxa" w:w="1728"/>
          </w:tcPr>
          <w:p>
            <w:pPr>
              <w:jc w:val="center"/>
            </w:pPr>
            <w:r>
              <w:rPr>
                <w:rFonts w:ascii="Times New Roman" w:hAnsi="Times New Roman"/>
                <w:sz w:val="17"/>
              </w:rPr>
              <w:t>12.7x</w:t>
            </w:r>
          </w:p>
        </w:tc>
        <w:tc>
          <w:tcPr>
            <w:tcW w:type="dxa" w:w="1440"/>
          </w:tcPr>
          <w:p>
            <w:pPr>
              <w:jc w:val="center"/>
            </w:pPr>
            <w:r>
              <w:rPr>
                <w:rFonts w:ascii="Times New Roman" w:hAnsi="Times New Roman"/>
                <w:sz w:val="17"/>
              </w:rPr>
              <w:t>—</w:t>
            </w:r>
          </w:p>
        </w:tc>
      </w:tr>
    </w:tbl>
    <w:p>
      <w:pPr>
        <w:spacing w:before="20" w:after="40"/>
        <w:ind w:left="0"/>
      </w:pPr>
      <w:r>
        <w:rPr>
          <w:i/>
          <w:color w:val="808080"/>
          <w:sz w:val="15"/>
        </w:rPr>
        <w:t>Note: A = Actual; E = Estimate; EBITDA for FY2025A is estimated (full annual report not yet published at time of writing). All estimates are analyst projections.</w:t>
      </w:r>
    </w:p>
    <w:p>
      <w:pPr>
        <w:spacing w:before="0" w:after="120"/>
        <w:ind w:left="0"/>
      </w:pPr>
      <w:r>
        <w:rPr>
          <w:i/>
          <w:color w:val="808080"/>
          <w:sz w:val="15"/>
        </w:rPr>
        <w:t>Source: Sungrow 2025 Annual Report; Analyst estimates</w:t>
      </w:r>
    </w:p>
    <w:p>
      <w:pPr>
        <w:spacing w:before="80" w:after="40"/>
        <w:ind w:left="0"/>
        <w:jc w:val="center"/>
      </w:pPr>
      <w:r>
        <w:drawing>
          <wp:inline xmlns:a="http://schemas.openxmlformats.org/drawingml/2006/main" xmlns:pic="http://schemas.openxmlformats.org/drawingml/2006/picture">
            <wp:extent cx="5669280" cy="2888385"/>
            <wp:docPr id="10" name="Picture 10"/>
            <wp:cNvGraphicFramePr>
              <a:graphicFrameLocks noChangeAspect="1"/>
            </wp:cNvGraphicFramePr>
            <a:graphic>
              <a:graphicData uri="http://schemas.openxmlformats.org/drawingml/2006/picture">
                <pic:pic>
                  <pic:nvPicPr>
                    <pic:cNvPr id="0" name="300274_chart9_estimates.png"/>
                    <pic:cNvPicPr/>
                  </pic:nvPicPr>
                  <pic:blipFill>
                    <a:blip r:embed="rId18"/>
                    <a:stretch>
                      <a:fillRect/>
                    </a:stretch>
                  </pic:blipFill>
                  <pic:spPr>
                    <a:xfrm>
                      <a:off x="0" y="0"/>
                      <a:ext cx="5669280" cy="2888385"/>
                    </a:xfrm>
                    <a:prstGeom prst="rect"/>
                  </pic:spPr>
                </pic:pic>
              </a:graphicData>
            </a:graphic>
          </wp:inline>
        </w:drawing>
      </w:r>
    </w:p>
    <w:p>
      <w:pPr>
        <w:spacing w:before="0" w:after="120"/>
        <w:ind w:left="0"/>
        <w:jc w:val="center"/>
      </w:pPr>
      <w:r>
        <w:t>Figure 9 — Estimate Revisions: Revenue &amp; Net Profit | Source: Sungrow 2025 Annual Report; Analyst estimates</w:t>
      </w:r>
      <w:r>
        <w:rPr>
          <w:rFonts w:ascii="Times New Roman" w:hAnsi="Times New Roman"/>
          <w:b w:val="0"/>
          <w:i/>
          <w:color w:val="808080"/>
          <w:sz w:val="16"/>
        </w:rPr>
      </w:r>
    </w:p>
    <w:p>
      <w:r>
        <w:br w:type="page"/>
      </w:r>
    </w:p>
    <w:p>
      <w:pPr>
        <w:spacing w:before="160" w:after="80"/>
        <w:ind w:left="0"/>
      </w:pPr>
      <w:r>
        <w:rPr>
          <w:rFonts w:ascii="Times New Roman" w:hAnsi="Times New Roman"/>
          <w:b/>
          <w:i w:val="0"/>
          <w:color w:val="1F4E79"/>
          <w:sz w:val="24"/>
        </w:rPr>
        <w:t>APPENDIX: SOURCES &amp; REFERENCES</w:t>
      </w:r>
    </w:p>
    <w:p>
      <w:pPr>
        <w:spacing w:before="40" w:after="40"/>
        <w:pBdr>
          <w:bottom w:val="single" w:sz="6" w:space="1" w:color="1F4E79"/>
        </w:pBdr>
      </w:pPr>
    </w:p>
    <w:p>
      <w:pPr>
        <w:spacing w:before="80" w:after="120"/>
        <w:ind w:left="0"/>
      </w:pPr>
      <w:r>
        <w:rPr>
          <w:rFonts w:ascii="Times New Roman" w:hAnsi="Times New Roman"/>
          <w:b w:val="0"/>
          <w:i w:val="0"/>
          <w:sz w:val="19"/>
        </w:rPr>
        <w:t>All financial data cited in this report is sourced from official company filings and recognized financial data providers. Clickable hyperlinks are provided below for each key source.</w:t>
      </w:r>
    </w:p>
    <w:p>
      <w:pPr>
        <w:spacing w:before="160" w:after="60"/>
        <w:ind w:left="0"/>
      </w:pPr>
      <w:r>
        <w:rPr>
          <w:rFonts w:ascii="Times New Roman" w:hAnsi="Times New Roman"/>
          <w:b/>
          <w:i w:val="0"/>
          <w:color w:val="1F4E79"/>
          <w:sz w:val="20"/>
        </w:rPr>
        <w:t>Primary Company Filings:</w:t>
      </w:r>
    </w:p>
    <w:p>
      <w:pPr>
        <w:spacing w:before="60" w:after="60"/>
        <w:ind w:left="360"/>
      </w:pPr>
      <w:r>
        <w:rPr>
          <w:rFonts w:ascii="Times New Roman" w:hAnsi="Times New Roman"/>
          <w:b w:val="0"/>
          <w:i w:val="0"/>
          <w:sz w:val="19"/>
        </w:rPr>
        <w:t xml:space="preserve">• </w:t>
      </w:r>
      <w:hyperlink r:id="rId19">
        <w:r>
          <w:rPr>
            <w:rStyle w:val="Hyperlink"/>
          </w:rPr>
          <w:t>Sungrow Power Supply 2025 Annual Report (年度报告摘要)</w:t>
        </w:r>
      </w:hyperlink>
      <w:r>
        <w:rPr>
          <w:rFonts w:ascii="Times New Roman" w:hAnsi="Times New Roman"/>
          <w:b w:val="0"/>
          <w:i/>
          <w:color w:val="646464"/>
          <w:sz w:val="18"/>
        </w:rPr>
        <w:t xml:space="preserve">  —  Published April 1, 2026 — Primary source for all FY2025 financial data</w:t>
      </w:r>
    </w:p>
    <w:p>
      <w:pPr>
        <w:spacing w:before="60" w:after="60"/>
        <w:ind w:left="360"/>
      </w:pPr>
      <w:r>
        <w:rPr>
          <w:rFonts w:ascii="Times New Roman" w:hAnsi="Times New Roman"/>
          <w:b w:val="0"/>
          <w:i w:val="0"/>
          <w:sz w:val="19"/>
        </w:rPr>
        <w:t xml:space="preserve">• </w:t>
      </w:r>
      <w:hyperlink r:id="rId20">
        <w:r>
          <w:rPr>
            <w:rStyle w:val="Hyperlink"/>
          </w:rPr>
          <w:t>Sungrow Investor Call Transcript (电话交流纪要)</w:t>
        </w:r>
      </w:hyperlink>
      <w:r>
        <w:rPr>
          <w:rFonts w:ascii="Times New Roman" w:hAnsi="Times New Roman"/>
          <w:b w:val="0"/>
          <w:i/>
          <w:color w:val="646464"/>
          <w:sz w:val="18"/>
        </w:rPr>
        <w:t xml:space="preserve">  —  March 31, 2026 — Q4 margin explanation, 2026 guidance</w:t>
      </w:r>
    </w:p>
    <w:p>
      <w:pPr>
        <w:spacing w:before="60" w:after="60"/>
        <w:ind w:left="360"/>
      </w:pPr>
      <w:r>
        <w:rPr>
          <w:rFonts w:ascii="Times New Roman" w:hAnsi="Times New Roman"/>
          <w:b w:val="0"/>
          <w:i w:val="0"/>
          <w:sz w:val="19"/>
        </w:rPr>
        <w:t xml:space="preserve">• </w:t>
      </w:r>
      <w:hyperlink r:id="rId21">
        <w:r>
          <w:rPr>
            <w:rStyle w:val="Hyperlink"/>
          </w:rPr>
          <w:t>Sungrow Annual Report Commentary (东方财富)</w:t>
        </w:r>
      </w:hyperlink>
      <w:r>
        <w:rPr>
          <w:rFonts w:ascii="Times New Roman" w:hAnsi="Times New Roman"/>
          <w:b w:val="0"/>
          <w:i/>
          <w:color w:val="646464"/>
          <w:sz w:val="18"/>
        </w:rPr>
        <w:t xml:space="preserve">  —  April 2, 2026 — Detailed segment analysis and profitability breakdown</w:t>
      </w:r>
    </w:p>
    <w:p>
      <w:pPr>
        <w:spacing w:before="160" w:after="60"/>
        <w:ind w:left="0"/>
      </w:pPr>
      <w:r>
        <w:rPr>
          <w:rFonts w:ascii="Times New Roman" w:hAnsi="Times New Roman"/>
          <w:b/>
          <w:i w:val="0"/>
          <w:color w:val="1F4E79"/>
          <w:sz w:val="20"/>
        </w:rPr>
        <w:t>Financial Data Sources:</w:t>
      </w:r>
    </w:p>
    <w:p>
      <w:pPr>
        <w:spacing w:before="60" w:after="60"/>
        <w:ind w:left="360"/>
      </w:pPr>
      <w:r>
        <w:rPr>
          <w:rFonts w:ascii="Times New Roman" w:hAnsi="Times New Roman"/>
          <w:b w:val="0"/>
          <w:i w:val="0"/>
          <w:sz w:val="19"/>
        </w:rPr>
        <w:t xml:space="preserve">• </w:t>
      </w:r>
      <w:hyperlink r:id="rId22">
        <w:r>
          <w:rPr>
            <w:rStyle w:val="Hyperlink"/>
          </w:rPr>
          <w:t>StockAnalysis.com — Sungrow Quarterly Revenue History</w:t>
        </w:r>
      </w:hyperlink>
      <w:r>
        <w:rPr>
          <w:rFonts w:ascii="Times New Roman" w:hAnsi="Times New Roman"/>
          <w:b w:val="0"/>
          <w:i/>
          <w:color w:val="646464"/>
          <w:sz w:val="18"/>
        </w:rPr>
        <w:t xml:space="preserve">  —  Quarterly revenue data Q1 2024–Q4 2025</w:t>
      </w:r>
    </w:p>
    <w:p>
      <w:pPr>
        <w:spacing w:before="60" w:after="60"/>
        <w:ind w:left="360"/>
      </w:pPr>
      <w:r>
        <w:rPr>
          <w:rFonts w:ascii="Times New Roman" w:hAnsi="Times New Roman"/>
          <w:b w:val="0"/>
          <w:i w:val="0"/>
          <w:sz w:val="19"/>
        </w:rPr>
        <w:t xml:space="preserve">• </w:t>
      </w:r>
      <w:hyperlink r:id="rId23">
        <w:r>
          <w:rPr>
            <w:rStyle w:val="Hyperlink"/>
          </w:rPr>
          <w:t>StockAnalysis.com — Sungrow Overview &amp; Valuation</w:t>
        </w:r>
      </w:hyperlink>
      <w:r>
        <w:rPr>
          <w:rFonts w:ascii="Times New Roman" w:hAnsi="Times New Roman"/>
          <w:b w:val="0"/>
          <w:i/>
          <w:color w:val="646464"/>
          <w:sz w:val="18"/>
        </w:rPr>
        <w:t xml:space="preserve">  —  Market cap, P/E, 52-week range, shares outstanding</w:t>
      </w:r>
    </w:p>
    <w:p>
      <w:pPr>
        <w:spacing w:before="60" w:after="60"/>
        <w:ind w:left="360"/>
      </w:pPr>
      <w:r>
        <w:rPr>
          <w:rFonts w:ascii="Times New Roman" w:hAnsi="Times New Roman"/>
          <w:b w:val="0"/>
          <w:i w:val="0"/>
          <w:sz w:val="19"/>
        </w:rPr>
        <w:t xml:space="preserve">• </w:t>
      </w:r>
      <w:hyperlink r:id="rId24">
        <w:r>
          <w:rPr>
            <w:rStyle w:val="Hyperlink"/>
          </w:rPr>
          <w:t>Futunn — Sungrow 2025 Annual Report Commentary</w:t>
        </w:r>
      </w:hyperlink>
      <w:r>
        <w:rPr>
          <w:rFonts w:ascii="Times New Roman" w:hAnsi="Times New Roman"/>
          <w:b w:val="0"/>
          <w:i/>
          <w:color w:val="646464"/>
          <w:sz w:val="18"/>
        </w:rPr>
        <w:t xml:space="preserve">  —  Storage segment commentary and consensus estimates</w:t>
      </w:r>
    </w:p>
    <w:p>
      <w:pPr>
        <w:spacing w:before="60" w:after="60"/>
        <w:ind w:left="360"/>
      </w:pPr>
      <w:r>
        <w:rPr>
          <w:rFonts w:ascii="Times New Roman" w:hAnsi="Times New Roman"/>
          <w:b w:val="0"/>
          <w:i w:val="0"/>
          <w:sz w:val="19"/>
        </w:rPr>
        <w:t xml:space="preserve">• </w:t>
      </w:r>
      <w:hyperlink r:id="rId25">
        <w:r>
          <w:rPr>
            <w:rStyle w:val="Hyperlink"/>
          </w:rPr>
          <w:t>Wall Street CN — 阳光电源2025年年报</w:t>
        </w:r>
      </w:hyperlink>
      <w:r>
        <w:rPr>
          <w:rFonts w:ascii="Times New Roman" w:hAnsi="Times New Roman"/>
          <w:b w:val="0"/>
          <w:i/>
          <w:color w:val="646464"/>
          <w:sz w:val="18"/>
        </w:rPr>
        <w:t xml:space="preserve">  —  Revenue near ¥900B, net profit ¥135B, storage grid-forming technology</w:t>
      </w:r>
    </w:p>
    <w:p>
      <w:pPr>
        <w:spacing w:before="160" w:after="60"/>
        <w:ind w:left="0"/>
      </w:pPr>
      <w:r>
        <w:rPr>
          <w:rFonts w:ascii="Times New Roman" w:hAnsi="Times New Roman"/>
          <w:b/>
          <w:i w:val="0"/>
          <w:color w:val="1F4E79"/>
          <w:sz w:val="20"/>
        </w:rPr>
        <w:t>Analyst Research &amp; Commentary:</w:t>
      </w:r>
    </w:p>
    <w:p>
      <w:pPr>
        <w:spacing w:before="60" w:after="60"/>
        <w:ind w:left="360"/>
      </w:pPr>
      <w:r>
        <w:rPr>
          <w:rFonts w:ascii="Times New Roman" w:hAnsi="Times New Roman"/>
          <w:b w:val="0"/>
          <w:i w:val="0"/>
          <w:sz w:val="19"/>
        </w:rPr>
        <w:t xml:space="preserve">• </w:t>
      </w:r>
      <w:hyperlink r:id="rId26">
        <w:r>
          <w:rPr>
            <w:rStyle w:val="Hyperlink"/>
          </w:rPr>
          <w:t>Huarun Securities — Q3 2025 Report</w:t>
        </w:r>
      </w:hyperlink>
      <w:r>
        <w:rPr>
          <w:rFonts w:ascii="Times New Roman" w:hAnsi="Times New Roman"/>
          <w:b w:val="0"/>
          <w:i/>
          <w:color w:val="646464"/>
          <w:sz w:val="18"/>
        </w:rPr>
        <w:t xml:space="preserve">  —  November 2025 — AIDC product expansion, profitability trajectory</w:t>
      </w:r>
    </w:p>
    <w:p>
      <w:pPr>
        <w:spacing w:before="60" w:after="60"/>
        <w:ind w:left="360"/>
      </w:pPr>
      <w:r>
        <w:rPr>
          <w:rFonts w:ascii="Times New Roman" w:hAnsi="Times New Roman"/>
          <w:b w:val="0"/>
          <w:i w:val="0"/>
          <w:sz w:val="19"/>
        </w:rPr>
        <w:t xml:space="preserve">• </w:t>
      </w:r>
      <w:hyperlink r:id="rId20">
        <w:r>
          <w:rPr>
            <w:rStyle w:val="Hyperlink"/>
          </w:rPr>
          <w:t>Sina Finance — Q4 net profit decline analysis</w:t>
        </w:r>
      </w:hyperlink>
      <w:r>
        <w:rPr>
          <w:rFonts w:ascii="Times New Roman" w:hAnsi="Times New Roman"/>
          <w:b w:val="0"/>
          <w:i/>
          <w:color w:val="646464"/>
          <w:sz w:val="18"/>
        </w:rPr>
        <w:t xml:space="preserve">  —  April 2026 — Q4 2025 quarterly net profit analysis</w:t>
      </w:r>
    </w:p>
    <w:p>
      <w:pPr>
        <w:spacing w:before="60" w:after="60"/>
        <w:ind w:left="360"/>
      </w:pPr>
      <w:r>
        <w:rPr>
          <w:rFonts w:ascii="Times New Roman" w:hAnsi="Times New Roman"/>
          <w:b w:val="0"/>
          <w:i w:val="0"/>
          <w:sz w:val="19"/>
        </w:rPr>
        <w:t xml:space="preserve">• </w:t>
      </w:r>
      <w:hyperlink r:id="rId27">
        <w:r>
          <w:rPr>
            <w:rStyle w:val="Hyperlink"/>
          </w:rPr>
          <w:t>East Money Creative — Price reference</w:t>
        </w:r>
      </w:hyperlink>
      <w:r>
        <w:rPr>
          <w:rFonts w:ascii="Times New Roman" w:hAnsi="Times New Roman"/>
          <w:b w:val="0"/>
          <w:i/>
          <w:color w:val="646464"/>
          <w:sz w:val="18"/>
        </w:rPr>
        <w:t xml:space="preserve">  —  CNY 122.66 as of April 7, 2026 (pre-recovery)</w:t>
      </w:r>
    </w:p>
    <w:p/>
    <w:p>
      <w:pPr>
        <w:spacing w:before="40" w:after="40"/>
        <w:pBdr>
          <w:bottom w:val="single" w:sz="6" w:space="1" w:color="1F4E79"/>
        </w:pBdr>
      </w:pPr>
    </w:p>
    <w:p>
      <w:pPr>
        <w:spacing w:before="120" w:after="80"/>
        <w:ind w:left="0"/>
      </w:pPr>
      <w:r>
        <w:rPr>
          <w:rFonts w:ascii="Times New Roman" w:hAnsi="Times New Roman"/>
          <w:b w:val="0"/>
          <w:i/>
          <w:color w:val="808080"/>
          <w:sz w:val="16"/>
        </w:rPr>
        <w:t>IMPORTANT DISCLOSURES: This report is prepared for informational purposes only and does not constitute investment advice. All financial estimates are analyst projections and subject to change. Beat/miss analysis is based on pre-announcement consensus estimates sourced from Bloomberg and Futunn. Market data as of April 21, 2026. Sungrow Power Supply Co., Ltd. is traded on the Shenzhen Stock Exchange under ticker 300274.SZ. Past performance is not indicative of future results.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static.cninfo.com.cn/finalpage/2026-04-01/1225066677.PDF" TargetMode="External"/><Relationship Id="rId20" Type="http://schemas.openxmlformats.org/officeDocument/2006/relationships/hyperlink" Target="https://finance.sina.com.cn/roll/2026-04-01/doc-inhsziht8333473.shtml" TargetMode="External"/><Relationship Id="rId21" Type="http://schemas.openxmlformats.org/officeDocument/2006/relationships/hyperlink" Target="https://caifuhao.eastmoney.com/news/20260402060936774616180" TargetMode="External"/><Relationship Id="rId22" Type="http://schemas.openxmlformats.org/officeDocument/2006/relationships/hyperlink" Target="https://stockanalysis.com/quote/she/300274/revenue/" TargetMode="External"/><Relationship Id="rId23" Type="http://schemas.openxmlformats.org/officeDocument/2006/relationships/hyperlink" Target="https://stockanalysis.com/quote/she/300274/" TargetMode="External"/><Relationship Id="rId24" Type="http://schemas.openxmlformats.org/officeDocument/2006/relationships/hyperlink" Target="https://news.futunn.com/en/post/71013862/sungrow-power-300274-2025-annual-report-commentary-energy-storage-systems" TargetMode="External"/><Relationship Id="rId25" Type="http://schemas.openxmlformats.org/officeDocument/2006/relationships/hyperlink" Target="https://wallstreetcn.com/articles/3768898" TargetMode="External"/><Relationship Id="rId26" Type="http://schemas.openxmlformats.org/officeDocument/2006/relationships/hyperlink" Target="https://finance.sina.com.cn/roll/2025-11-10/doc-infwxhkx3003604.shtml" TargetMode="External"/><Relationship Id="rId27" Type="http://schemas.openxmlformats.org/officeDocument/2006/relationships/hyperlink" Target="https://emcreative.eastmoney.com/app_fortune/article/index.html?artCode=20260407131020240171790&amp;postId=1689922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