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2" w:lineRule="auto"/>
        <w:jc w:val="center"/>
      </w:pPr>
      <w:r>
        <w:rPr>
          <w:rFonts w:ascii="Heiti SC" w:hAnsi="Heiti SC" w:eastAsia="Heiti SC"/>
          <w:b/>
          <w:i w:val="0"/>
          <w:color w:val="17365D"/>
          <w:sz w:val="36"/>
          <w:lang w:val="zh-CN" w:eastAsia="zh-CN"/>
        </w:rPr>
        <w:t>SK hynix Inc.（纳斯达克：SKHY）</w:t>
      </w:r>
    </w:p>
    <w:p>
      <w:pPr>
        <w:spacing w:before="0" w:after="40" w:line="252" w:lineRule="auto"/>
        <w:jc w:val="center"/>
      </w:pPr>
      <w:r>
        <w:rPr>
          <w:rFonts w:ascii="Heiti SC" w:hAnsi="Heiti SC" w:eastAsia="Heiti SC"/>
          <w:b/>
          <w:i w:val="0"/>
          <w:color w:val="2F5597"/>
          <w:sz w:val="28"/>
          <w:lang w:val="zh-CN" w:eastAsia="zh-CN"/>
        </w:rPr>
        <w:t>2026 财年第二季度业绩更新报告</w:t>
      </w:r>
    </w:p>
    <w:p>
      <w:pPr>
        <w:spacing w:before="0" w:after="160" w:line="252" w:lineRule="auto"/>
        <w:jc w:val="center"/>
      </w:pPr>
      <w:r>
        <w:rPr>
          <w:rFonts w:ascii="Heiti SC" w:hAnsi="Heiti SC" w:eastAsia="Heiti SC"/>
          <w:b/>
          <w:i w:val="0"/>
          <w:color w:val="E67E22"/>
          <w:sz w:val="23"/>
          <w:lang w:val="zh-CN" w:eastAsia="zh-CN"/>
        </w:rPr>
        <w:t>AI 存储盈利能力跃升；报表利润仍须归一化</w:t>
      </w:r>
    </w:p>
    <w:p>
      <w:pPr>
        <w:spacing w:before="0" w:after="30" w:line="252" w:lineRule="auto"/>
      </w:pPr>
      <w:r>
        <w:rPr>
          <w:rFonts w:ascii="Songti SC" w:hAnsi="Songti SC" w:eastAsia="Songti SC"/>
          <w:b w:val="0"/>
          <w:i w:val="0"/>
          <w:color w:val="111111"/>
          <w:sz w:val="18"/>
          <w:lang w:val="zh-CN" w:eastAsia="zh-CN"/>
        </w:rPr>
        <w:t>发布日期：2026 年 8 月 2 日｜延迟财报点评（公告后第 4 个日历日）</w:t>
      </w:r>
    </w:p>
    <w:p>
      <w:pPr>
        <w:spacing w:before="0" w:after="30" w:line="252" w:lineRule="auto"/>
      </w:pPr>
      <w:r>
        <w:rPr>
          <w:rFonts w:ascii="Songti SC" w:hAnsi="Songti SC" w:eastAsia="Songti SC"/>
          <w:b/>
          <w:i w:val="0"/>
          <w:color w:val="111111"/>
          <w:sz w:val="18"/>
          <w:lang w:val="zh-CN" w:eastAsia="zh-CN"/>
        </w:rPr>
        <w:t>上市后首次观点：增持｜目标价：175 美元</w:t>
      </w:r>
    </w:p>
    <w:p>
      <w:pPr>
        <w:spacing w:before="0" w:after="30" w:line="252" w:lineRule="auto"/>
      </w:pPr>
      <w:r>
        <w:rPr>
          <w:rFonts w:ascii="Songti SC" w:hAnsi="Songti SC" w:eastAsia="Songti SC"/>
          <w:b w:val="0"/>
          <w:i w:val="0"/>
          <w:color w:val="111111"/>
          <w:sz w:val="18"/>
          <w:lang w:val="zh-CN" w:eastAsia="zh-CN"/>
        </w:rPr>
        <w:t>SKHY 收盘价（2026 年 7 月 31 日）：143.73 美元｜潜在上涨空间：21.8%</w:t>
      </w:r>
    </w:p>
    <w:p>
      <w:pPr>
        <w:spacing w:before="0" w:after="30" w:line="252" w:lineRule="auto"/>
      </w:pPr>
      <w:r>
        <w:rPr>
          <w:rFonts w:ascii="Songti SC" w:hAnsi="Songti SC" w:eastAsia="Songti SC"/>
          <w:b w:val="0"/>
          <w:i w:val="0"/>
          <w:color w:val="111111"/>
          <w:sz w:val="18"/>
          <w:lang w:val="zh-CN" w:eastAsia="zh-CN"/>
        </w:rPr>
        <w:t>市值：约 1.02 万亿美元｜上市以来区间：124.80–194.80 美元</w:t>
      </w:r>
    </w:p>
    <w:p>
      <w:pPr>
        <w:pStyle w:val="Heading2"/>
        <w:spacing w:before="20" w:after="100"/>
      </w:pPr>
      <w:r>
        <w:t>业绩计分卡</w:t>
      </w:r>
    </w:p>
    <w:tbl>
      <w:tblPr>
        <w:tblStyle w:val="TableGrid"/>
        <w:tblW w:type="dxa" w:w="9994"/>
        <w:jc w:val="center"/>
        <w:tblLayout w:type="fixed"/>
        <w:tblLook w:firstColumn="1" w:firstRow="1" w:lastColumn="0" w:lastRow="0" w:noHBand="0" w:noVBand="1" w:val="04A0"/>
        <w:tblInd w:w="110" w:type="dxa"/>
      </w:tblPr>
      <w:tblGrid>
        <w:gridCol w:w="2456"/>
        <w:gridCol w:w="2242"/>
        <w:gridCol w:w="2669"/>
        <w:gridCol w:w="2627"/>
      </w:tblGrid>
      <w:tr>
        <w:trPr>
          <w:tblHeader w:val="true"/>
        </w:trPr>
        <w:tc>
          <w:tcPr>
            <w:tcW w:type="dxa" w:w="2456"/>
            <w:shd w:fill="17365D"/>
            <w:tcMar>
              <w:top w:w="80" w:type="dxa"/>
              <w:start w:w="110" w:type="dxa"/>
              <w:bottom w:w="80" w:type="dxa"/>
              <w:end w:w="110" w:type="dxa"/>
            </w:tcMar>
            <w:vAlign w:val="center"/>
          </w:tcPr>
          <w:p>
            <w:pPr>
              <w:jc w:val="center"/>
            </w:pPr>
            <w:r>
              <w:rPr>
                <w:rFonts w:ascii="Songti SC" w:hAnsi="Songti SC" w:eastAsia="Songti SC"/>
                <w:b/>
                <w:i w:val="0"/>
                <w:color w:val="FFFFFF"/>
                <w:sz w:val="16"/>
                <w:lang w:val="zh-CN" w:eastAsia="zh-CN"/>
              </w:rPr>
              <w:t>指标</w:t>
            </w:r>
          </w:p>
        </w:tc>
        <w:tc>
          <w:tcPr>
            <w:tcW w:type="dxa" w:w="2242"/>
            <w:shd w:fill="17365D"/>
            <w:tcMar>
              <w:top w:w="80" w:type="dxa"/>
              <w:start w:w="110" w:type="dxa"/>
              <w:bottom w:w="80" w:type="dxa"/>
              <w:end w:w="110" w:type="dxa"/>
            </w:tcMar>
            <w:vAlign w:val="center"/>
          </w:tcPr>
          <w:p>
            <w:pPr>
              <w:jc w:val="center"/>
            </w:pPr>
            <w:r>
              <w:rPr>
                <w:rFonts w:ascii="Songti SC" w:hAnsi="Songti SC" w:eastAsia="Songti SC"/>
                <w:b/>
                <w:i w:val="0"/>
                <w:color w:val="FFFFFF"/>
                <w:sz w:val="16"/>
                <w:lang w:val="zh-CN" w:eastAsia="zh-CN"/>
              </w:rPr>
              <w:t>实际值</w:t>
            </w:r>
          </w:p>
        </w:tc>
        <w:tc>
          <w:tcPr>
            <w:tcW w:type="dxa" w:w="2669"/>
            <w:shd w:fill="17365D"/>
            <w:tcMar>
              <w:top w:w="80" w:type="dxa"/>
              <w:start w:w="110" w:type="dxa"/>
              <w:bottom w:w="80" w:type="dxa"/>
              <w:end w:w="110" w:type="dxa"/>
            </w:tcMar>
            <w:vAlign w:val="center"/>
          </w:tcPr>
          <w:p>
            <w:pPr>
              <w:jc w:val="center"/>
            </w:pPr>
            <w:r>
              <w:rPr>
                <w:rFonts w:ascii="Songti SC" w:hAnsi="Songti SC" w:eastAsia="Songti SC"/>
                <w:b/>
                <w:i w:val="0"/>
                <w:color w:val="FFFFFF"/>
                <w:sz w:val="16"/>
                <w:lang w:val="zh-CN" w:eastAsia="zh-CN"/>
              </w:rPr>
              <w:t>财报前一致预期</w:t>
            </w:r>
          </w:p>
        </w:tc>
        <w:tc>
          <w:tcPr>
            <w:tcW w:type="dxa" w:w="2627"/>
            <w:shd w:fill="17365D"/>
            <w:tcMar>
              <w:top w:w="80" w:type="dxa"/>
              <w:start w:w="110" w:type="dxa"/>
              <w:bottom w:w="80" w:type="dxa"/>
              <w:end w:w="110" w:type="dxa"/>
            </w:tcMar>
            <w:vAlign w:val="center"/>
          </w:tcPr>
          <w:p>
            <w:pPr>
              <w:jc w:val="center"/>
            </w:pPr>
            <w:r>
              <w:rPr>
                <w:rFonts w:ascii="Songti SC" w:hAnsi="Songti SC" w:eastAsia="Songti SC"/>
                <w:b/>
                <w:i w:val="0"/>
                <w:color w:val="FFFFFF"/>
                <w:sz w:val="16"/>
                <w:lang w:val="zh-CN" w:eastAsia="zh-CN"/>
              </w:rPr>
              <w:t>差异</w:t>
            </w:r>
          </w:p>
        </w:tc>
      </w:tr>
      <w:tr>
        <w:tc>
          <w:tcPr>
            <w:tcW w:type="dxa" w:w="2456"/>
            <w:tcMar>
              <w:top w:w="80" w:type="dxa"/>
              <w:start w:w="110" w:type="dxa"/>
              <w:bottom w:w="80" w:type="dxa"/>
              <w:end w:w="110" w:type="dxa"/>
            </w:tcMar>
            <w:vAlign w:val="center"/>
          </w:tcPr>
          <w:p>
            <w:pPr>
              <w:jc w:val="left"/>
            </w:pPr>
            <w:r>
              <w:rPr>
                <w:rFonts w:ascii="Songti SC" w:hAnsi="Songti SC" w:eastAsia="Songti SC"/>
                <w:b/>
                <w:i w:val="0"/>
                <w:color w:val="111111"/>
                <w:sz w:val="16"/>
                <w:lang w:val="zh-CN" w:eastAsia="zh-CN"/>
              </w:rPr>
              <w:t>营业收入</w:t>
            </w:r>
          </w:p>
        </w:tc>
        <w:tc>
          <w:tcPr>
            <w:tcW w:type="dxa" w:w="2242"/>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79.32 万亿韩元</w:t>
            </w:r>
          </w:p>
        </w:tc>
        <w:tc>
          <w:tcPr>
            <w:tcW w:type="dxa" w:w="2669"/>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84.10 万亿韩元</w:t>
            </w:r>
          </w:p>
        </w:tc>
        <w:tc>
          <w:tcPr>
            <w:tcW w:type="dxa" w:w="2627"/>
            <w:tcMar>
              <w:top w:w="80" w:type="dxa"/>
              <w:start w:w="110" w:type="dxa"/>
              <w:bottom w:w="80" w:type="dxa"/>
              <w:end w:w="110" w:type="dxa"/>
            </w:tcMar>
            <w:vAlign w:val="center"/>
          </w:tcPr>
          <w:p>
            <w:pPr>
              <w:jc w:val="center"/>
            </w:pPr>
            <w:r>
              <w:rPr>
                <w:rFonts w:ascii="Songti SC" w:hAnsi="Songti SC" w:eastAsia="Songti SC"/>
                <w:b w:val="0"/>
                <w:i w:val="0"/>
                <w:color w:val="C0392B"/>
                <w:sz w:val="16"/>
                <w:lang w:val="zh-CN" w:eastAsia="zh-CN"/>
              </w:rPr>
              <w:t>-4.78 万亿 / -5.7%</w:t>
            </w:r>
          </w:p>
        </w:tc>
      </w:tr>
      <w:tr>
        <w:tc>
          <w:tcPr>
            <w:tcW w:type="dxa" w:w="2456"/>
            <w:shd w:fill="F2F4F7"/>
            <w:tcMar>
              <w:top w:w="80" w:type="dxa"/>
              <w:start w:w="110" w:type="dxa"/>
              <w:bottom w:w="80" w:type="dxa"/>
              <w:end w:w="110" w:type="dxa"/>
            </w:tcMar>
            <w:vAlign w:val="center"/>
          </w:tcPr>
          <w:p>
            <w:pPr>
              <w:jc w:val="left"/>
            </w:pPr>
            <w:r>
              <w:rPr>
                <w:rFonts w:ascii="Songti SC" w:hAnsi="Songti SC" w:eastAsia="Songti SC"/>
                <w:b/>
                <w:i w:val="0"/>
                <w:color w:val="111111"/>
                <w:sz w:val="16"/>
                <w:lang w:val="zh-CN" w:eastAsia="zh-CN"/>
              </w:rPr>
              <w:t>营业利润</w:t>
            </w:r>
          </w:p>
        </w:tc>
        <w:tc>
          <w:tcPr>
            <w:tcW w:type="dxa" w:w="2242"/>
            <w:shd w:fill="F2F4F7"/>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60.54 万亿韩元</w:t>
            </w:r>
          </w:p>
        </w:tc>
        <w:tc>
          <w:tcPr>
            <w:tcW w:type="dxa" w:w="2669"/>
            <w:shd w:fill="F2F4F7"/>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64.10 万亿韩元</w:t>
            </w:r>
          </w:p>
        </w:tc>
        <w:tc>
          <w:tcPr>
            <w:tcW w:type="dxa" w:w="2627"/>
            <w:shd w:fill="F2F4F7"/>
            <w:tcMar>
              <w:top w:w="80" w:type="dxa"/>
              <w:start w:w="110" w:type="dxa"/>
              <w:bottom w:w="80" w:type="dxa"/>
              <w:end w:w="110" w:type="dxa"/>
            </w:tcMar>
            <w:vAlign w:val="center"/>
          </w:tcPr>
          <w:p>
            <w:pPr>
              <w:jc w:val="center"/>
            </w:pPr>
            <w:r>
              <w:rPr>
                <w:rFonts w:ascii="Songti SC" w:hAnsi="Songti SC" w:eastAsia="Songti SC"/>
                <w:b w:val="0"/>
                <w:i w:val="0"/>
                <w:color w:val="C0392B"/>
                <w:sz w:val="16"/>
                <w:lang w:val="zh-CN" w:eastAsia="zh-CN"/>
              </w:rPr>
              <w:t>-3.56 万亿 / -5.5%</w:t>
            </w:r>
          </w:p>
        </w:tc>
      </w:tr>
      <w:tr>
        <w:tc>
          <w:tcPr>
            <w:tcW w:type="dxa" w:w="2456"/>
            <w:tcMar>
              <w:top w:w="80" w:type="dxa"/>
              <w:start w:w="110" w:type="dxa"/>
              <w:bottom w:w="80" w:type="dxa"/>
              <w:end w:w="110" w:type="dxa"/>
            </w:tcMar>
            <w:vAlign w:val="center"/>
          </w:tcPr>
          <w:p>
            <w:pPr>
              <w:jc w:val="left"/>
            </w:pPr>
            <w:r>
              <w:rPr>
                <w:rFonts w:ascii="Songti SC" w:hAnsi="Songti SC" w:eastAsia="Songti SC"/>
                <w:b/>
                <w:i w:val="0"/>
                <w:color w:val="111111"/>
                <w:sz w:val="16"/>
                <w:lang w:val="zh-CN" w:eastAsia="zh-CN"/>
              </w:rPr>
              <w:t>营业利润率</w:t>
            </w:r>
          </w:p>
        </w:tc>
        <w:tc>
          <w:tcPr>
            <w:tcW w:type="dxa" w:w="2242"/>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76.3%</w:t>
            </w:r>
          </w:p>
        </w:tc>
        <w:tc>
          <w:tcPr>
            <w:tcW w:type="dxa" w:w="2669"/>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隐含 76.2%</w:t>
            </w:r>
          </w:p>
        </w:tc>
        <w:tc>
          <w:tcPr>
            <w:tcW w:type="dxa" w:w="2627"/>
            <w:tcMar>
              <w:top w:w="80" w:type="dxa"/>
              <w:start w:w="110" w:type="dxa"/>
              <w:bottom w:w="80" w:type="dxa"/>
              <w:end w:w="110" w:type="dxa"/>
            </w:tcMar>
            <w:vAlign w:val="center"/>
          </w:tcPr>
          <w:p>
            <w:pPr>
              <w:jc w:val="center"/>
            </w:pPr>
            <w:r>
              <w:rPr>
                <w:rFonts w:ascii="Songti SC" w:hAnsi="Songti SC" w:eastAsia="Songti SC"/>
                <w:b w:val="0"/>
                <w:i w:val="0"/>
                <w:color w:val="2E8B57"/>
                <w:sz w:val="16"/>
                <w:lang w:val="zh-CN" w:eastAsia="zh-CN"/>
              </w:rPr>
              <w:t>+0.1 个百分点</w:t>
            </w:r>
          </w:p>
        </w:tc>
      </w:tr>
    </w:tbl>
    <w:p>
      <w:pPr>
        <w:spacing w:before="20" w:after="80"/>
      </w:pPr>
      <w:r>
        <w:rPr>
          <w:rFonts w:ascii="Songti SC" w:hAnsi="Songti SC" w:eastAsia="Songti SC"/>
          <w:b w:val="0"/>
          <w:i/>
          <w:color w:val="666666"/>
          <w:sz w:val="15"/>
          <w:lang w:val="zh-CN" w:eastAsia="zh-CN"/>
        </w:rPr>
        <w:t>资料来源：</w:t>
      </w:r>
      <w:hyperlink r:id="rId11">
        <w:r>
          <w:rPr>
            <w:color w:val="0563C1"/>
            <w:u w:val="single"/>
            <w:rFonts w:ascii="Songti SC" w:hAnsi="Songti SC" w:eastAsia="Songti SC"/>
            <w:sz w:val="15"/>
            <w:lang w:val="zh-CN" w:eastAsia="zh-CN"/>
          </w:rPr>
          <w:t>SK hynix 2Q26 财报公告</w:t>
        </w:r>
      </w:hyperlink>
      <w:r>
        <w:rPr>
          <w:rFonts w:ascii="Songti SC" w:hAnsi="Songti SC" w:eastAsia="Songti SC"/>
          <w:b w:val="0"/>
          <w:i/>
          <w:color w:val="666666"/>
          <w:sz w:val="15"/>
          <w:lang w:val="zh-CN" w:eastAsia="zh-CN"/>
        </w:rPr>
        <w:t xml:space="preserve">; </w:t>
      </w:r>
      <w:hyperlink r:id="rId12">
        <w:r>
          <w:rPr>
            <w:color w:val="0563C1"/>
            <w:u w:val="single"/>
            <w:rFonts w:ascii="Songti SC" w:hAnsi="Songti SC" w:eastAsia="Songti SC"/>
            <w:sz w:val="15"/>
            <w:lang w:val="zh-CN" w:eastAsia="zh-CN"/>
          </w:rPr>
          <w:t>韩联社财报前一致预期</w:t>
        </w:r>
      </w:hyperlink>
      <w:r>
        <w:rPr>
          <w:rFonts w:ascii="Songti SC" w:hAnsi="Songti SC" w:eastAsia="Songti SC"/>
          <w:b w:val="0"/>
          <w:i/>
          <w:color w:val="666666"/>
          <w:sz w:val="15"/>
          <w:lang w:val="zh-CN" w:eastAsia="zh-CN"/>
        </w:rPr>
        <w:t>.</w:t>
      </w:r>
    </w:p>
    <w:p>
      <w:pPr>
        <w:pStyle w:val="Heading2"/>
        <w:spacing w:before="20" w:after="100"/>
      </w:pPr>
      <w:r>
        <w:t>投资要点</w:t>
      </w:r>
    </w:p>
    <w:p>
      <w:pPr>
        <w:pStyle w:val="ListBullet"/>
        <w:spacing w:after="90"/>
        <w:ind w:left="288" w:hanging="173"/>
      </w:pPr>
      <w:r>
        <w:rPr>
          <w:rFonts w:ascii="Songti SC" w:hAnsi="Songti SC" w:eastAsia="Songti SC"/>
          <w:b/>
          <w:i w:val="0"/>
          <w:color w:val="17365D"/>
          <w:sz w:val="19"/>
          <w:lang w:val="zh-CN" w:eastAsia="zh-CN"/>
        </w:rPr>
        <w:t xml:space="preserve">收入和营业利润小幅不及极高预期门槛。 </w:t>
      </w:r>
      <w:r>
        <w:rPr>
          <w:rFonts w:ascii="Songti SC" w:hAnsi="Songti SC" w:eastAsia="Songti SC"/>
          <w:b w:val="0"/>
          <w:i w:val="0"/>
          <w:color w:val="111111"/>
          <w:sz w:val="19"/>
          <w:lang w:val="zh-CN" w:eastAsia="zh-CN"/>
        </w:rPr>
        <w:t>营业收入和营业利润分别较 14 家韩国券商平均预期低 5.7% 和 5.5%。但周期逻辑未被破坏：收入环比增长 51%、同比增长 257%，营业利润率升至 76%。</w:t>
      </w:r>
    </w:p>
    <w:p>
      <w:pPr>
        <w:pStyle w:val="ListBullet"/>
        <w:spacing w:after="90"/>
        <w:ind w:left="288" w:hanging="173"/>
      </w:pPr>
      <w:r>
        <w:rPr>
          <w:rFonts w:ascii="Songti SC" w:hAnsi="Songti SC" w:eastAsia="Songti SC"/>
          <w:b/>
          <w:i w:val="0"/>
          <w:color w:val="17365D"/>
          <w:sz w:val="19"/>
          <w:lang w:val="zh-CN" w:eastAsia="zh-CN"/>
        </w:rPr>
        <w:t xml:space="preserve">经营利润质量高，但报表净利润质量偏低。 </w:t>
      </w:r>
      <w:r>
        <w:rPr>
          <w:rFonts w:ascii="Songti SC" w:hAnsi="Songti SC" w:eastAsia="Songti SC"/>
          <w:b w:val="0"/>
          <w:i w:val="0"/>
          <w:color w:val="111111"/>
          <w:sz w:val="19"/>
          <w:lang w:val="zh-CN" w:eastAsia="zh-CN"/>
        </w:rPr>
        <w:t>毛利率达到 83%，然而 93.92 万亿韩元净利润中包含 63.27 万亿韩元投资资产收益。我们的归一化盈利和估值按示意税后口径剔除该收益。</w:t>
      </w:r>
    </w:p>
    <w:p>
      <w:pPr>
        <w:pStyle w:val="ListBullet"/>
        <w:spacing w:after="90"/>
        <w:ind w:left="288" w:hanging="173"/>
      </w:pPr>
      <w:r>
        <w:rPr>
          <w:rFonts w:ascii="Songti SC" w:hAnsi="Songti SC" w:eastAsia="Songti SC"/>
          <w:b/>
          <w:i w:val="0"/>
          <w:color w:val="17365D"/>
          <w:sz w:val="19"/>
          <w:lang w:val="zh-CN" w:eastAsia="zh-CN"/>
        </w:rPr>
        <w:t xml:space="preserve">HBM4、长期协议与先进 NAND 有望拉长并平滑上行周期。 </w:t>
      </w:r>
      <w:r>
        <w:rPr>
          <w:rFonts w:ascii="Songti SC" w:hAnsi="Songti SC" w:eastAsia="Songti SC"/>
          <w:b w:val="0"/>
          <w:i w:val="0"/>
          <w:color w:val="111111"/>
          <w:sz w:val="19"/>
          <w:lang w:val="zh-CN" w:eastAsia="zh-CN"/>
        </w:rPr>
        <w:t>HBM4 已在第二季度出货，HBM4E 样品在上半年交付，约十份客户长期协议纳入价格、波动与定金机制。这些安排提高可见度，但无法消除存储行业周期性。</w:t>
      </w:r>
    </w:p>
    <w:p>
      <w:pPr>
        <w:pStyle w:val="ListBullet"/>
        <w:spacing w:after="90"/>
        <w:ind w:left="288" w:hanging="173"/>
      </w:pPr>
      <w:r>
        <w:rPr>
          <w:rFonts w:ascii="Songti SC" w:hAnsi="Songti SC" w:eastAsia="Songti SC"/>
          <w:b/>
          <w:i w:val="0"/>
          <w:color w:val="17365D"/>
          <w:sz w:val="19"/>
          <w:lang w:val="zh-CN" w:eastAsia="zh-CN"/>
        </w:rPr>
        <w:t xml:space="preserve">上市后首次给予“增持”，目标价 175 美元。 </w:t>
      </w:r>
      <w:r>
        <w:rPr>
          <w:rFonts w:ascii="Songti SC" w:hAnsi="Songti SC" w:eastAsia="Songti SC"/>
          <w:b w:val="0"/>
          <w:i w:val="0"/>
          <w:color w:val="111111"/>
          <w:sz w:val="19"/>
          <w:lang w:val="zh-CN" w:eastAsia="zh-CN"/>
        </w:rPr>
        <w:t>目标价对应 2027 财年归一化 ADR 每股收益 23.12 美元的 7.5 倍市盈率并取整。相对其他 AI 基础设施龙头的折价反映资本强度、供给反应、治理以及 ADR/汇率复杂性。</w:t>
      </w:r>
    </w:p>
    <w:p>
      <w:r>
        <w:br w:type="page"/>
      </w:r>
    </w:p>
    <w:p>
      <w:pPr>
        <w:pStyle w:val="Heading1"/>
        <w:spacing w:before="40" w:after="100"/>
      </w:pPr>
      <w:r>
        <w:t>收入：AI 存储定价权释放</w:t>
      </w:r>
    </w:p>
    <w:p>
      <w:pPr>
        <w:spacing w:before="0" w:after="90" w:line="252" w:lineRule="auto"/>
      </w:pPr>
      <w:r>
        <w:rPr>
          <w:rFonts w:ascii="Songti SC" w:hAnsi="Songti SC" w:eastAsia="Songti SC"/>
          <w:b w:val="0"/>
          <w:i w:val="0"/>
          <w:color w:val="111111"/>
          <w:sz w:val="19"/>
          <w:lang w:val="zh-CN" w:eastAsia="zh-CN"/>
        </w:rPr>
        <w:t>第二季度收入达到 79.32 万亿韩元，环比增长 51%、同比增长 257%。量价共同推动收入跃升：DRAM 位元出货量环比高个位数增长，平均售价约上涨 30%；NAND 位元出货量环比中十位数增长，平均售价上涨中 50% 区间，价格贡献尤为突出。实际收入低于财报前 84.1 万亿韩元券商平均预期，但仍是下图八个季度中的历史最高水平。</w:t>
      </w:r>
    </w:p>
    <w:p>
      <w:pPr>
        <w:keepNext/>
        <w:spacing w:before="0" w:after="40" w:line="252" w:lineRule="auto"/>
      </w:pPr>
      <w:r>
        <w:rPr>
          <w:rFonts w:ascii="Songti SC" w:hAnsi="Songti SC" w:eastAsia="Songti SC"/>
          <w:b/>
          <w:i w:val="0"/>
          <w:color w:val="17365D"/>
          <w:sz w:val="17"/>
          <w:lang w:val="zh-CN" w:eastAsia="zh-CN"/>
        </w:rPr>
        <w:t>图 1：季度收入在 2026 年第二季度显著加速</w:t>
      </w:r>
    </w:p>
    <w:p>
      <w:pPr>
        <w:spacing w:after="20"/>
        <w:jc w:val="center"/>
      </w:pPr>
      <w:r>
        <w:drawing>
          <wp:inline xmlns:a="http://schemas.openxmlformats.org/drawingml/2006/main" xmlns:pic="http://schemas.openxmlformats.org/drawingml/2006/picture">
            <wp:extent cx="5623560" cy="2221272"/>
            <wp:docPr id="1" name="Picture 1" descr="季度收入在 2026 年第二季度显著加速"/>
            <wp:cNvGraphicFramePr>
              <a:graphicFrameLocks noChangeAspect="1"/>
            </wp:cNvGraphicFramePr>
            <a:graphic>
              <a:graphicData uri="http://schemas.openxmlformats.org/drawingml/2006/picture">
                <pic:pic>
                  <pic:nvPicPr>
                    <pic:cNvPr id="0" name="skhy_chart1_revenue.png"/>
                    <pic:cNvPicPr/>
                  </pic:nvPicPr>
                  <pic:blipFill>
                    <a:blip r:embed="rId13"/>
                    <a:stretch>
                      <a:fillRect/>
                    </a:stretch>
                  </pic:blipFill>
                  <pic:spPr>
                    <a:xfrm>
                      <a:off x="0" y="0"/>
                      <a:ext cx="5623560" cy="2221272"/>
                    </a:xfrm>
                    <a:prstGeom prst="rect"/>
                  </pic:spPr>
                </pic:pic>
              </a:graphicData>
            </a:graphic>
          </wp:inline>
        </w:drawing>
      </w:r>
    </w:p>
    <w:p>
      <w:pPr>
        <w:spacing w:before="20" w:after="80"/>
      </w:pPr>
      <w:r>
        <w:rPr>
          <w:rFonts w:ascii="Songti SC" w:hAnsi="Songti SC" w:eastAsia="Songti SC"/>
          <w:b w:val="0"/>
          <w:i/>
          <w:color w:val="666666"/>
          <w:sz w:val="15"/>
          <w:lang w:val="zh-CN" w:eastAsia="zh-CN"/>
        </w:rPr>
        <w:t>资料来源：</w:t>
      </w:r>
      <w:hyperlink r:id="rId14">
        <w:r>
          <w:rPr>
            <w:color w:val="0563C1"/>
            <w:u w:val="single"/>
            <w:rFonts w:ascii="Songti SC" w:hAnsi="Songti SC" w:eastAsia="Songti SC"/>
            <w:sz w:val="15"/>
            <w:lang w:val="zh-CN" w:eastAsia="zh-CN"/>
          </w:rPr>
          <w:t>公司历季业绩演示材料</w:t>
        </w:r>
      </w:hyperlink>
      <w:r>
        <w:rPr>
          <w:rFonts w:ascii="Songti SC" w:hAnsi="Songti SC" w:eastAsia="Songti SC"/>
          <w:b w:val="0"/>
          <w:i/>
          <w:color w:val="666666"/>
          <w:sz w:val="15"/>
          <w:lang w:val="zh-CN" w:eastAsia="zh-CN"/>
        </w:rPr>
        <w:t>.</w:t>
      </w:r>
    </w:p>
    <w:p>
      <w:pPr>
        <w:spacing w:before="0" w:after="90" w:line="252" w:lineRule="auto"/>
      </w:pPr>
      <w:r>
        <w:rPr>
          <w:rFonts w:ascii="Songti SC" w:hAnsi="Songti SC" w:eastAsia="Songti SC"/>
          <w:b w:val="0"/>
          <w:i w:val="0"/>
          <w:color w:val="111111"/>
          <w:sz w:val="19"/>
          <w:lang w:val="zh-CN" w:eastAsia="zh-CN"/>
        </w:rPr>
        <w:t>收入不及预期更适合解释为陡峭预期曲线与交付时点错位，而非需求破坏。AI 服务器存储仍受供给约束，客户认证节奏并不平滑，产品组合也可能跨季度迁移。但该差异仍然重要，因为 IPO 以及财报前的急涨已经计入接近完美的结果。未来两个季度应重点观察 HBM4 放量和 NAND 涨价能否推动收入再加速，同时避免库存不成比例上升。</w:t>
      </w:r>
    </w:p>
    <w:p>
      <w:pPr>
        <w:keepNext/>
        <w:spacing w:before="0" w:after="40" w:line="252" w:lineRule="auto"/>
      </w:pPr>
      <w:r>
        <w:rPr>
          <w:rFonts w:ascii="Songti SC" w:hAnsi="Songti SC" w:eastAsia="Songti SC"/>
          <w:b/>
          <w:i w:val="0"/>
          <w:color w:val="17365D"/>
          <w:sz w:val="17"/>
          <w:lang w:val="zh-CN" w:eastAsia="zh-CN"/>
        </w:rPr>
        <w:t>图 2：营业利润增速快于收入</w:t>
      </w:r>
    </w:p>
    <w:p>
      <w:pPr>
        <w:spacing w:after="20"/>
        <w:jc w:val="center"/>
      </w:pPr>
      <w:r>
        <w:drawing>
          <wp:inline xmlns:a="http://schemas.openxmlformats.org/drawingml/2006/main" xmlns:pic="http://schemas.openxmlformats.org/drawingml/2006/picture">
            <wp:extent cx="5623560" cy="2221272"/>
            <wp:docPr id="2" name="Picture 2" descr="营业利润增速快于收入"/>
            <wp:cNvGraphicFramePr>
              <a:graphicFrameLocks noChangeAspect="1"/>
            </wp:cNvGraphicFramePr>
            <a:graphic>
              <a:graphicData uri="http://schemas.openxmlformats.org/drawingml/2006/picture">
                <pic:pic>
                  <pic:nvPicPr>
                    <pic:cNvPr id="0" name="skhy_chart2_operating_profit.png"/>
                    <pic:cNvPicPr/>
                  </pic:nvPicPr>
                  <pic:blipFill>
                    <a:blip r:embed="rId15"/>
                    <a:stretch>
                      <a:fillRect/>
                    </a:stretch>
                  </pic:blipFill>
                  <pic:spPr>
                    <a:xfrm>
                      <a:off x="0" y="0"/>
                      <a:ext cx="5623560" cy="2221272"/>
                    </a:xfrm>
                    <a:prstGeom prst="rect"/>
                  </pic:spPr>
                </pic:pic>
              </a:graphicData>
            </a:graphic>
          </wp:inline>
        </w:drawing>
      </w:r>
    </w:p>
    <w:p>
      <w:pPr>
        <w:spacing w:before="20" w:after="80"/>
      </w:pPr>
      <w:r>
        <w:rPr>
          <w:rFonts w:ascii="Songti SC" w:hAnsi="Songti SC" w:eastAsia="Songti SC"/>
          <w:b w:val="0"/>
          <w:i/>
          <w:color w:val="666666"/>
          <w:sz w:val="15"/>
          <w:lang w:val="zh-CN" w:eastAsia="zh-CN"/>
        </w:rPr>
        <w:t>资料来源：</w:t>
      </w:r>
      <w:hyperlink r:id="rId14">
        <w:r>
          <w:rPr>
            <w:color w:val="0563C1"/>
            <w:u w:val="single"/>
            <w:rFonts w:ascii="Songti SC" w:hAnsi="Songti SC" w:eastAsia="Songti SC"/>
            <w:sz w:val="15"/>
            <w:lang w:val="zh-CN" w:eastAsia="zh-CN"/>
          </w:rPr>
          <w:t>SK hynix 2Q26 业绩演示</w:t>
        </w:r>
      </w:hyperlink>
      <w:r>
        <w:rPr>
          <w:rFonts w:ascii="Songti SC" w:hAnsi="Songti SC" w:eastAsia="Songti SC"/>
          <w:b w:val="0"/>
          <w:i/>
          <w:color w:val="666666"/>
          <w:sz w:val="15"/>
          <w:lang w:val="zh-CN" w:eastAsia="zh-CN"/>
        </w:rPr>
        <w:t xml:space="preserve">; </w:t>
      </w:r>
      <w:hyperlink r:id="rId16">
        <w:r>
          <w:rPr>
            <w:color w:val="0563C1"/>
            <w:u w:val="single"/>
            <w:rFonts w:ascii="Songti SC" w:hAnsi="Songti SC" w:eastAsia="Songti SC"/>
            <w:sz w:val="15"/>
            <w:lang w:val="zh-CN" w:eastAsia="zh-CN"/>
          </w:rPr>
          <w:t>公司过往季度演示</w:t>
        </w:r>
      </w:hyperlink>
      <w:r>
        <w:rPr>
          <w:rFonts w:ascii="Songti SC" w:hAnsi="Songti SC" w:eastAsia="Songti SC"/>
          <w:b w:val="0"/>
          <w:i/>
          <w:color w:val="666666"/>
          <w:sz w:val="15"/>
          <w:lang w:val="zh-CN" w:eastAsia="zh-CN"/>
        </w:rPr>
        <w:t>.</w:t>
      </w:r>
    </w:p>
    <w:p>
      <w:r>
        <w:br w:type="page"/>
      </w:r>
    </w:p>
    <w:p>
      <w:pPr>
        <w:pStyle w:val="Heading1"/>
        <w:spacing w:before="40" w:after="100"/>
      </w:pPr>
      <w:r>
        <w:t>利润率与盈利质量</w:t>
      </w:r>
    </w:p>
    <w:p>
      <w:pPr>
        <w:spacing w:before="0" w:after="90" w:line="252" w:lineRule="auto"/>
      </w:pPr>
      <w:r>
        <w:rPr>
          <w:rFonts w:ascii="Songti SC" w:hAnsi="Songti SC" w:eastAsia="Songti SC"/>
          <w:b w:val="0"/>
          <w:i w:val="0"/>
          <w:color w:val="111111"/>
          <w:sz w:val="19"/>
          <w:lang w:val="zh-CN" w:eastAsia="zh-CN"/>
        </w:rPr>
        <w:t>营业利润为 60.54 万亿韩元，环比增长 61%、同比增长 557%，营业利润率环比提升约 4 个百分点至 76.3%。毛利润为 65.99 万亿韩元，毛利率 83.2%，营业成本仅 13.33 万亿韩元。毛利率与营业利润率之间的差距依然较小，销售及管理费用为 5.45 万亿韩元，显示收入增长正通过高固定成本制造平台形成强大经营杠杆。EBITDA 为 64.56 万亿韩元，利润率 81%。</w:t>
      </w:r>
    </w:p>
    <w:p>
      <w:pPr>
        <w:keepNext/>
        <w:spacing w:before="0" w:after="40" w:line="252" w:lineRule="auto"/>
      </w:pPr>
      <w:r>
        <w:rPr>
          <w:rFonts w:ascii="Songti SC" w:hAnsi="Songti SC" w:eastAsia="Songti SC"/>
          <w:b/>
          <w:i w:val="0"/>
          <w:color w:val="17365D"/>
          <w:sz w:val="17"/>
          <w:lang w:val="zh-CN" w:eastAsia="zh-CN"/>
        </w:rPr>
        <w:t>图 3：毛利率与营业利润率创出新高</w:t>
      </w:r>
    </w:p>
    <w:p>
      <w:pPr>
        <w:spacing w:after="20"/>
        <w:jc w:val="center"/>
      </w:pPr>
      <w:r>
        <w:drawing>
          <wp:inline xmlns:a="http://schemas.openxmlformats.org/drawingml/2006/main" xmlns:pic="http://schemas.openxmlformats.org/drawingml/2006/picture">
            <wp:extent cx="5623560" cy="2221272"/>
            <wp:docPr id="3" name="Picture 3" descr="毛利率与营业利润率创出新高"/>
            <wp:cNvGraphicFramePr>
              <a:graphicFrameLocks noChangeAspect="1"/>
            </wp:cNvGraphicFramePr>
            <a:graphic>
              <a:graphicData uri="http://schemas.openxmlformats.org/drawingml/2006/picture">
                <pic:pic>
                  <pic:nvPicPr>
                    <pic:cNvPr id="0" name="skhy_chart3_margins.png"/>
                    <pic:cNvPicPr/>
                  </pic:nvPicPr>
                  <pic:blipFill>
                    <a:blip r:embed="rId17"/>
                    <a:stretch>
                      <a:fillRect/>
                    </a:stretch>
                  </pic:blipFill>
                  <pic:spPr>
                    <a:xfrm>
                      <a:off x="0" y="0"/>
                      <a:ext cx="5623560" cy="2221272"/>
                    </a:xfrm>
                    <a:prstGeom prst="rect"/>
                  </pic:spPr>
                </pic:pic>
              </a:graphicData>
            </a:graphic>
          </wp:inline>
        </w:drawing>
      </w:r>
    </w:p>
    <w:p>
      <w:pPr>
        <w:spacing w:before="20" w:after="80"/>
      </w:pPr>
      <w:r>
        <w:rPr>
          <w:rFonts w:ascii="Songti SC" w:hAnsi="Songti SC" w:eastAsia="Songti SC"/>
          <w:b w:val="0"/>
          <w:i/>
          <w:color w:val="666666"/>
          <w:sz w:val="15"/>
          <w:lang w:val="zh-CN" w:eastAsia="zh-CN"/>
        </w:rPr>
        <w:t>资料来源：</w:t>
      </w:r>
      <w:hyperlink r:id="rId14">
        <w:r>
          <w:rPr>
            <w:color w:val="0563C1"/>
            <w:u w:val="single"/>
            <w:rFonts w:ascii="Songti SC" w:hAnsi="Songti SC" w:eastAsia="Songti SC"/>
            <w:sz w:val="15"/>
            <w:lang w:val="zh-CN" w:eastAsia="zh-CN"/>
          </w:rPr>
          <w:t>公司历季业绩演示材料</w:t>
        </w:r>
      </w:hyperlink>
      <w:r>
        <w:rPr>
          <w:rFonts w:ascii="Songti SC" w:hAnsi="Songti SC" w:eastAsia="Songti SC"/>
          <w:b w:val="0"/>
          <w:i/>
          <w:color w:val="666666"/>
          <w:sz w:val="15"/>
          <w:lang w:val="zh-CN" w:eastAsia="zh-CN"/>
        </w:rPr>
        <w:t>.</w:t>
      </w:r>
    </w:p>
    <w:p>
      <w:pPr>
        <w:spacing w:before="0" w:after="90" w:line="252" w:lineRule="auto"/>
      </w:pPr>
      <w:r>
        <w:rPr>
          <w:rFonts w:ascii="Songti SC" w:hAnsi="Songti SC" w:eastAsia="Songti SC"/>
          <w:b w:val="0"/>
          <w:i w:val="0"/>
          <w:color w:val="111111"/>
          <w:sz w:val="19"/>
          <w:lang w:val="zh-CN" w:eastAsia="zh-CN"/>
        </w:rPr>
        <w:t>报表净利润 93.92 万亿韩元高于营业利润，原因是税前利润中包括 60.89 万亿韩元其他非经营收益，主要为 63.27 万亿韩元投资资产收益。因此不能用本季报表每股收益 131,478 韩元直接估值。我们按 23.5% 的示意税率剔除该投资收益，估算第二季度归一化净利润约 45.5 万亿韩元；第一季度披露的 9.94 万亿韩元投资估值收益也采用相同方法处理。该口径是我们的分析调整，并非公司披露的非 GAAP 指标，实际税务实现可能显著不同。</w:t>
      </w:r>
    </w:p>
    <w:p>
      <w:pPr>
        <w:keepNext/>
        <w:spacing w:before="0" w:after="40" w:line="252" w:lineRule="auto"/>
      </w:pPr>
      <w:r>
        <w:rPr>
          <w:rFonts w:ascii="Songti SC" w:hAnsi="Songti SC" w:eastAsia="Songti SC"/>
          <w:b/>
          <w:i w:val="0"/>
          <w:color w:val="17365D"/>
          <w:sz w:val="17"/>
          <w:lang w:val="zh-CN" w:eastAsia="zh-CN"/>
        </w:rPr>
        <w:t>图 4：投资收益显著抬高报表净利润</w:t>
      </w:r>
    </w:p>
    <w:p>
      <w:pPr>
        <w:spacing w:after="20"/>
        <w:jc w:val="center"/>
      </w:pPr>
      <w:r>
        <w:drawing>
          <wp:inline xmlns:a="http://schemas.openxmlformats.org/drawingml/2006/main" xmlns:pic="http://schemas.openxmlformats.org/drawingml/2006/picture">
            <wp:extent cx="5623560" cy="2183507"/>
            <wp:docPr id="4" name="Picture 4" descr="投资收益显著抬高报表净利润"/>
            <wp:cNvGraphicFramePr>
              <a:graphicFrameLocks noChangeAspect="1"/>
            </wp:cNvGraphicFramePr>
            <a:graphic>
              <a:graphicData uri="http://schemas.openxmlformats.org/drawingml/2006/picture">
                <pic:pic>
                  <pic:nvPicPr>
                    <pic:cNvPr id="0" name="skhy_chart4_normalized_net.png"/>
                    <pic:cNvPicPr/>
                  </pic:nvPicPr>
                  <pic:blipFill>
                    <a:blip r:embed="rId18"/>
                    <a:stretch>
                      <a:fillRect/>
                    </a:stretch>
                  </pic:blipFill>
                  <pic:spPr>
                    <a:xfrm>
                      <a:off x="0" y="0"/>
                      <a:ext cx="5623560" cy="2183507"/>
                    </a:xfrm>
                    <a:prstGeom prst="rect"/>
                  </pic:spPr>
                </pic:pic>
              </a:graphicData>
            </a:graphic>
          </wp:inline>
        </w:drawing>
      </w:r>
    </w:p>
    <w:p>
      <w:pPr>
        <w:spacing w:before="20" w:after="80"/>
      </w:pPr>
      <w:r>
        <w:rPr>
          <w:rFonts w:ascii="Songti SC" w:hAnsi="Songti SC" w:eastAsia="Songti SC"/>
          <w:b w:val="0"/>
          <w:i/>
          <w:color w:val="666666"/>
          <w:sz w:val="15"/>
          <w:lang w:val="zh-CN" w:eastAsia="zh-CN"/>
        </w:rPr>
        <w:t>资料来源：</w:t>
      </w:r>
      <w:hyperlink r:id="rId14">
        <w:r>
          <w:rPr>
            <w:color w:val="0563C1"/>
            <w:u w:val="single"/>
            <w:rFonts w:ascii="Songti SC" w:hAnsi="Songti SC" w:eastAsia="Songti SC"/>
            <w:sz w:val="15"/>
            <w:lang w:val="zh-CN" w:eastAsia="zh-CN"/>
          </w:rPr>
          <w:t>SK hynix 2Q26 演示第 6–7 页</w:t>
        </w:r>
      </w:hyperlink>
      <w:r>
        <w:rPr>
          <w:rFonts w:ascii="Songti SC" w:hAnsi="Songti SC" w:eastAsia="Songti SC"/>
          <w:b w:val="0"/>
          <w:i/>
          <w:color w:val="666666"/>
          <w:sz w:val="15"/>
          <w:lang w:val="zh-CN" w:eastAsia="zh-CN"/>
        </w:rPr>
        <w:t xml:space="preserve">; </w:t>
      </w:r>
      <w:hyperlink r:id="rId16">
        <w:r>
          <w:rPr>
            <w:color w:val="0563C1"/>
            <w:u w:val="single"/>
            <w:rFonts w:ascii="Songti SC" w:hAnsi="Songti SC" w:eastAsia="Songti SC"/>
            <w:sz w:val="15"/>
            <w:lang w:val="zh-CN" w:eastAsia="zh-CN"/>
          </w:rPr>
          <w:t>SK hynix 1Q26 演示</w:t>
        </w:r>
      </w:hyperlink>
      <w:r>
        <w:rPr>
          <w:rFonts w:ascii="Songti SC" w:hAnsi="Songti SC" w:eastAsia="Songti SC"/>
          <w:b w:val="0"/>
          <w:i/>
          <w:color w:val="666666"/>
          <w:sz w:val="15"/>
          <w:lang w:val="zh-CN" w:eastAsia="zh-CN"/>
        </w:rPr>
        <w:t>.</w:t>
      </w:r>
    </w:p>
    <w:p>
      <w:r>
        <w:br w:type="page"/>
      </w:r>
    </w:p>
    <w:p>
      <w:pPr>
        <w:pStyle w:val="Heading1"/>
        <w:spacing w:before="40" w:after="100"/>
      </w:pPr>
      <w:r>
        <w:t>预期差与产品组合</w:t>
      </w:r>
    </w:p>
    <w:p>
      <w:pPr>
        <w:spacing w:before="0" w:after="90" w:line="252" w:lineRule="auto"/>
      </w:pPr>
      <w:r>
        <w:rPr>
          <w:rFonts w:ascii="Songti SC" w:hAnsi="Songti SC" w:eastAsia="Songti SC"/>
          <w:b w:val="0"/>
          <w:i w:val="0"/>
          <w:color w:val="111111"/>
          <w:sz w:val="19"/>
          <w:lang w:val="zh-CN" w:eastAsia="zh-CN"/>
        </w:rPr>
        <w:t>本季不及预期主要体现在规模，而非盈利能力。相对于韩联社在财报前公布的 84.1 万亿韩元收入和 64.1 万亿韩元营业利润平均预期，公司分别低 4.78 万亿和 3.56 万亿韩元。一致预期隐含营业利润率为 76.2%，与实际 76.3% 几乎相同。这表明市场基本判断对单位经济性，却高估了出货节奏或产品组合，也解释了为何经营表现极强、股价反应却可能失望。</w:t>
      </w:r>
    </w:p>
    <w:p>
      <w:pPr>
        <w:keepNext/>
        <w:spacing w:before="0" w:after="40" w:line="252" w:lineRule="auto"/>
      </w:pPr>
      <w:r>
        <w:rPr>
          <w:rFonts w:ascii="Songti SC" w:hAnsi="Songti SC" w:eastAsia="Songti SC"/>
          <w:b/>
          <w:i w:val="0"/>
          <w:color w:val="17365D"/>
          <w:sz w:val="17"/>
          <w:lang w:val="zh-CN" w:eastAsia="zh-CN"/>
        </w:rPr>
        <w:t>图 5：收入与营业利润低于高企预期</w:t>
      </w:r>
    </w:p>
    <w:p>
      <w:pPr>
        <w:spacing w:after="20"/>
        <w:jc w:val="center"/>
      </w:pPr>
      <w:r>
        <w:drawing>
          <wp:inline xmlns:a="http://schemas.openxmlformats.org/drawingml/2006/main" xmlns:pic="http://schemas.openxmlformats.org/drawingml/2006/picture">
            <wp:extent cx="5623560" cy="2217839"/>
            <wp:docPr id="5" name="Picture 5" descr="收入与营业利润低于高企预期"/>
            <wp:cNvGraphicFramePr>
              <a:graphicFrameLocks noChangeAspect="1"/>
            </wp:cNvGraphicFramePr>
            <a:graphic>
              <a:graphicData uri="http://schemas.openxmlformats.org/drawingml/2006/picture">
                <pic:pic>
                  <pic:nvPicPr>
                    <pic:cNvPr id="0" name="skhy_chart5_beat_miss.png"/>
                    <pic:cNvPicPr/>
                  </pic:nvPicPr>
                  <pic:blipFill>
                    <a:blip r:embed="rId19"/>
                    <a:stretch>
                      <a:fillRect/>
                    </a:stretch>
                  </pic:blipFill>
                  <pic:spPr>
                    <a:xfrm>
                      <a:off x="0" y="0"/>
                      <a:ext cx="5623560" cy="2217839"/>
                    </a:xfrm>
                    <a:prstGeom prst="rect"/>
                  </pic:spPr>
                </pic:pic>
              </a:graphicData>
            </a:graphic>
          </wp:inline>
        </w:drawing>
      </w:r>
    </w:p>
    <w:p>
      <w:pPr>
        <w:spacing w:before="20" w:after="80"/>
      </w:pPr>
      <w:r>
        <w:rPr>
          <w:rFonts w:ascii="Songti SC" w:hAnsi="Songti SC" w:eastAsia="Songti SC"/>
          <w:b w:val="0"/>
          <w:i/>
          <w:color w:val="666666"/>
          <w:sz w:val="15"/>
          <w:lang w:val="zh-CN" w:eastAsia="zh-CN"/>
        </w:rPr>
        <w:t>资料来源：</w:t>
      </w:r>
      <w:hyperlink r:id="rId12">
        <w:r>
          <w:rPr>
            <w:color w:val="0563C1"/>
            <w:u w:val="single"/>
            <w:rFonts w:ascii="Songti SC" w:hAnsi="Songti SC" w:eastAsia="Songti SC"/>
            <w:sz w:val="15"/>
            <w:lang w:val="zh-CN" w:eastAsia="zh-CN"/>
          </w:rPr>
          <w:t>韩联社，2026 年 7 月 26 日</w:t>
        </w:r>
      </w:hyperlink>
      <w:r>
        <w:rPr>
          <w:rFonts w:ascii="Songti SC" w:hAnsi="Songti SC" w:eastAsia="Songti SC"/>
          <w:b w:val="0"/>
          <w:i/>
          <w:color w:val="666666"/>
          <w:sz w:val="15"/>
          <w:lang w:val="zh-CN" w:eastAsia="zh-CN"/>
        </w:rPr>
        <w:t xml:space="preserve">; </w:t>
      </w:r>
      <w:hyperlink r:id="rId11">
        <w:r>
          <w:rPr>
            <w:color w:val="0563C1"/>
            <w:u w:val="single"/>
            <w:rFonts w:ascii="Songti SC" w:hAnsi="Songti SC" w:eastAsia="Songti SC"/>
            <w:sz w:val="15"/>
            <w:lang w:val="zh-CN" w:eastAsia="zh-CN"/>
          </w:rPr>
          <w:t>公司财报公告</w:t>
        </w:r>
      </w:hyperlink>
      <w:r>
        <w:rPr>
          <w:rFonts w:ascii="Songti SC" w:hAnsi="Songti SC" w:eastAsia="Songti SC"/>
          <w:b w:val="0"/>
          <w:i/>
          <w:color w:val="666666"/>
          <w:sz w:val="15"/>
          <w:lang w:val="zh-CN" w:eastAsia="zh-CN"/>
        </w:rPr>
        <w:t>.</w:t>
      </w:r>
    </w:p>
    <w:p>
      <w:pPr>
        <w:spacing w:before="0" w:after="90" w:line="252" w:lineRule="auto"/>
      </w:pPr>
      <w:r>
        <w:rPr>
          <w:rFonts w:ascii="Songti SC" w:hAnsi="Songti SC" w:eastAsia="Songti SC"/>
          <w:b w:val="0"/>
          <w:i w:val="0"/>
          <w:color w:val="111111"/>
          <w:sz w:val="19"/>
          <w:lang w:val="zh-CN" w:eastAsia="zh-CN"/>
        </w:rPr>
        <w:t>产品组合向 NAND 倾斜：DRAM 收入占比从第一季度的 78% 降至 73%，NAND 从 21% 升至 27%。这并非负面组合稀释，因为 NAND 涨价幅度远高于 DRAM，321 层产品占比也在提高。管理层预计 321 层产品将成为 NAND 最大生产占比，并在年底前占韩国 NAND 产能约一半。组合变化使盈利引擎更分散，但也提高了对企业级 SSD 需求和行业 NAND 供给反应速度的敏感度。</w:t>
      </w:r>
    </w:p>
    <w:p>
      <w:pPr>
        <w:keepNext/>
        <w:spacing w:before="0" w:after="40" w:line="252" w:lineRule="auto"/>
      </w:pPr>
      <w:r>
        <w:rPr>
          <w:rFonts w:ascii="Songti SC" w:hAnsi="Songti SC" w:eastAsia="Songti SC"/>
          <w:b/>
          <w:i w:val="0"/>
          <w:color w:val="17365D"/>
          <w:sz w:val="17"/>
          <w:lang w:val="zh-CN" w:eastAsia="zh-CN"/>
        </w:rPr>
        <w:t>图 6：NAND 在价格加速中提升收入占比</w:t>
      </w:r>
    </w:p>
    <w:p>
      <w:pPr>
        <w:spacing w:after="20"/>
        <w:jc w:val="center"/>
      </w:pPr>
      <w:r>
        <w:drawing>
          <wp:inline xmlns:a="http://schemas.openxmlformats.org/drawingml/2006/main" xmlns:pic="http://schemas.openxmlformats.org/drawingml/2006/picture">
            <wp:extent cx="5623560" cy="2221272"/>
            <wp:docPr id="6" name="Picture 6" descr="NAND 在价格加速中提升收入占比"/>
            <wp:cNvGraphicFramePr>
              <a:graphicFrameLocks noChangeAspect="1"/>
            </wp:cNvGraphicFramePr>
            <a:graphic>
              <a:graphicData uri="http://schemas.openxmlformats.org/drawingml/2006/picture">
                <pic:pic>
                  <pic:nvPicPr>
                    <pic:cNvPr id="0" name="skhy_chart6_product_mix.png"/>
                    <pic:cNvPicPr/>
                  </pic:nvPicPr>
                  <pic:blipFill>
                    <a:blip r:embed="rId20"/>
                    <a:stretch>
                      <a:fillRect/>
                    </a:stretch>
                  </pic:blipFill>
                  <pic:spPr>
                    <a:xfrm>
                      <a:off x="0" y="0"/>
                      <a:ext cx="5623560" cy="2221272"/>
                    </a:xfrm>
                    <a:prstGeom prst="rect"/>
                  </pic:spPr>
                </pic:pic>
              </a:graphicData>
            </a:graphic>
          </wp:inline>
        </w:drawing>
      </w:r>
    </w:p>
    <w:p>
      <w:pPr>
        <w:spacing w:before="20" w:after="80"/>
      </w:pPr>
      <w:r>
        <w:rPr>
          <w:rFonts w:ascii="Songti SC" w:hAnsi="Songti SC" w:eastAsia="Songti SC"/>
          <w:b w:val="0"/>
          <w:i/>
          <w:color w:val="666666"/>
          <w:sz w:val="15"/>
          <w:lang w:val="zh-CN" w:eastAsia="zh-CN"/>
        </w:rPr>
        <w:t>资料来源：</w:t>
      </w:r>
      <w:hyperlink r:id="rId14">
        <w:r>
          <w:rPr>
            <w:color w:val="0563C1"/>
            <w:u w:val="single"/>
            <w:rFonts w:ascii="Songti SC" w:hAnsi="Songti SC" w:eastAsia="Songti SC"/>
            <w:sz w:val="15"/>
            <w:lang w:val="zh-CN" w:eastAsia="zh-CN"/>
          </w:rPr>
          <w:t>公司历季业绩演示材料</w:t>
        </w:r>
      </w:hyperlink>
      <w:r>
        <w:rPr>
          <w:rFonts w:ascii="Songti SC" w:hAnsi="Songti SC" w:eastAsia="Songti SC"/>
          <w:b w:val="0"/>
          <w:i/>
          <w:color w:val="666666"/>
          <w:sz w:val="15"/>
          <w:lang w:val="zh-CN" w:eastAsia="zh-CN"/>
        </w:rPr>
        <w:t>.</w:t>
      </w:r>
    </w:p>
    <w:p>
      <w:r>
        <w:br w:type="page"/>
      </w:r>
    </w:p>
    <w:p>
      <w:pPr>
        <w:pStyle w:val="Heading1"/>
        <w:spacing w:before="40" w:after="100"/>
      </w:pPr>
      <w:r>
        <w:t>资产负债表与现金流</w:t>
      </w:r>
    </w:p>
    <w:p>
      <w:pPr>
        <w:spacing w:before="0" w:after="90" w:line="252" w:lineRule="auto"/>
      </w:pPr>
      <w:r>
        <w:rPr>
          <w:rFonts w:ascii="Songti SC" w:hAnsi="Songti SC" w:eastAsia="Songti SC"/>
          <w:b w:val="0"/>
          <w:i w:val="0"/>
          <w:color w:val="111111"/>
          <w:sz w:val="19"/>
          <w:lang w:val="zh-CN" w:eastAsia="zh-CN"/>
        </w:rPr>
        <w:t>期末现金及短期投资升至 87.96 万亿韩元，有息负债为 18.59 万亿韩元，净现金约 69.4 万亿韩元。相较两年前的净负债状态，这是结构性改善，为 HBM、先进封装与领先 NAND 投资提供战略能力。美国 ADR 发行进一步补充流动性：最终招股书显示，公司以每份 149 美元发行 1.779 亿份 ADS，每份代表 0.1 股普通股，净募资约 262 亿美元。</w:t>
      </w:r>
    </w:p>
    <w:p>
      <w:pPr>
        <w:keepNext/>
        <w:spacing w:before="0" w:after="40" w:line="252" w:lineRule="auto"/>
      </w:pPr>
      <w:r>
        <w:rPr>
          <w:rFonts w:ascii="Songti SC" w:hAnsi="Songti SC" w:eastAsia="Songti SC"/>
          <w:b/>
          <w:i w:val="0"/>
          <w:color w:val="17365D"/>
          <w:sz w:val="17"/>
          <w:lang w:val="zh-CN" w:eastAsia="zh-CN"/>
        </w:rPr>
        <w:t>图 7：流动性增速明显快于负债</w:t>
      </w:r>
    </w:p>
    <w:p>
      <w:pPr>
        <w:spacing w:after="20"/>
        <w:jc w:val="center"/>
      </w:pPr>
      <w:r>
        <w:drawing>
          <wp:inline xmlns:a="http://schemas.openxmlformats.org/drawingml/2006/main" xmlns:pic="http://schemas.openxmlformats.org/drawingml/2006/picture">
            <wp:extent cx="5623560" cy="2221272"/>
            <wp:docPr id="7" name="Picture 7" descr="流动性增速明显快于负债"/>
            <wp:cNvGraphicFramePr>
              <a:graphicFrameLocks noChangeAspect="1"/>
            </wp:cNvGraphicFramePr>
            <a:graphic>
              <a:graphicData uri="http://schemas.openxmlformats.org/drawingml/2006/picture">
                <pic:pic>
                  <pic:nvPicPr>
                    <pic:cNvPr id="0" name="skhy_chart7_cash_debt.png"/>
                    <pic:cNvPicPr/>
                  </pic:nvPicPr>
                  <pic:blipFill>
                    <a:blip r:embed="rId21"/>
                    <a:stretch>
                      <a:fillRect/>
                    </a:stretch>
                  </pic:blipFill>
                  <pic:spPr>
                    <a:xfrm>
                      <a:off x="0" y="0"/>
                      <a:ext cx="5623560" cy="2221272"/>
                    </a:xfrm>
                    <a:prstGeom prst="rect"/>
                  </pic:spPr>
                </pic:pic>
              </a:graphicData>
            </a:graphic>
          </wp:inline>
        </w:drawing>
      </w:r>
    </w:p>
    <w:p>
      <w:pPr>
        <w:spacing w:before="20" w:after="80"/>
      </w:pPr>
      <w:r>
        <w:rPr>
          <w:rFonts w:ascii="Songti SC" w:hAnsi="Songti SC" w:eastAsia="Songti SC"/>
          <w:b w:val="0"/>
          <w:i/>
          <w:color w:val="666666"/>
          <w:sz w:val="15"/>
          <w:lang w:val="zh-CN" w:eastAsia="zh-CN"/>
        </w:rPr>
        <w:t>资料来源：</w:t>
      </w:r>
      <w:hyperlink r:id="rId14">
        <w:r>
          <w:rPr>
            <w:color w:val="0563C1"/>
            <w:u w:val="single"/>
            <w:rFonts w:ascii="Songti SC" w:hAnsi="Songti SC" w:eastAsia="Songti SC"/>
            <w:sz w:val="15"/>
            <w:lang w:val="zh-CN" w:eastAsia="zh-CN"/>
          </w:rPr>
          <w:t>SK hynix 2Q26 业绩演示</w:t>
        </w:r>
      </w:hyperlink>
      <w:r>
        <w:rPr>
          <w:rFonts w:ascii="Songti SC" w:hAnsi="Songti SC" w:eastAsia="Songti SC"/>
          <w:b w:val="0"/>
          <w:i/>
          <w:color w:val="666666"/>
          <w:sz w:val="15"/>
          <w:lang w:val="zh-CN" w:eastAsia="zh-CN"/>
        </w:rPr>
        <w:t xml:space="preserve">; </w:t>
      </w:r>
      <w:hyperlink r:id="rId22">
        <w:r>
          <w:rPr>
            <w:color w:val="0563C1"/>
            <w:u w:val="single"/>
            <w:rFonts w:ascii="Songti SC" w:hAnsi="Songti SC" w:eastAsia="Songti SC"/>
            <w:sz w:val="15"/>
            <w:lang w:val="zh-CN" w:eastAsia="zh-CN"/>
          </w:rPr>
          <w:t>SEC 最终招股书</w:t>
        </w:r>
      </w:hyperlink>
      <w:r>
        <w:rPr>
          <w:rFonts w:ascii="Songti SC" w:hAnsi="Songti SC" w:eastAsia="Songti SC"/>
          <w:b w:val="0"/>
          <w:i/>
          <w:color w:val="666666"/>
          <w:sz w:val="15"/>
          <w:lang w:val="zh-CN" w:eastAsia="zh-CN"/>
        </w:rPr>
        <w:t>.</w:t>
      </w:r>
    </w:p>
    <w:p>
      <w:pPr>
        <w:spacing w:before="0" w:after="90" w:line="252" w:lineRule="auto"/>
      </w:pPr>
      <w:r>
        <w:rPr>
          <w:rFonts w:ascii="Songti SC" w:hAnsi="Songti SC" w:eastAsia="Songti SC"/>
          <w:b w:val="0"/>
          <w:i w:val="0"/>
          <w:color w:val="111111"/>
          <w:sz w:val="19"/>
          <w:lang w:val="zh-CN" w:eastAsia="zh-CN"/>
        </w:rPr>
        <w:t>经营现金流为 65.71 万亿韩元，购置物业、厂房及设备支出 10.67 万亿韩元，在不考虑其他投资项目之前，示意自由现金流约为 55.04 万亿韩元。强劲转化受益于价格上涨，但营运资本仍占用部分现金：应收账款升至 47.82 万亿韩元，存货为 17.99 万亿韩元。应收账款尤其值得跟踪，因为收入高速增长与客户定金可能使单季解读复杂。我们更倾向以多个季度和资本承诺为尺度判断现金转化，而非用单个峰值利润率季度外推。</w:t>
      </w:r>
    </w:p>
    <w:p>
      <w:pPr>
        <w:keepNext/>
        <w:spacing w:before="0" w:after="40" w:line="252" w:lineRule="auto"/>
      </w:pPr>
      <w:r>
        <w:rPr>
          <w:rFonts w:ascii="Songti SC" w:hAnsi="Songti SC" w:eastAsia="Songti SC"/>
          <w:b/>
          <w:i w:val="0"/>
          <w:color w:val="17365D"/>
          <w:sz w:val="17"/>
          <w:lang w:val="zh-CN" w:eastAsia="zh-CN"/>
        </w:rPr>
        <w:t>图 8：资本开支后现金创造能力仍然强劲</w:t>
      </w:r>
    </w:p>
    <w:p>
      <w:pPr>
        <w:spacing w:after="20"/>
        <w:jc w:val="center"/>
      </w:pPr>
      <w:r>
        <w:drawing>
          <wp:inline xmlns:a="http://schemas.openxmlformats.org/drawingml/2006/main" xmlns:pic="http://schemas.openxmlformats.org/drawingml/2006/picture">
            <wp:extent cx="5623560" cy="2183507"/>
            <wp:docPr id="8" name="Picture 8" descr="资本开支后现金创造能力仍然强劲"/>
            <wp:cNvGraphicFramePr>
              <a:graphicFrameLocks noChangeAspect="1"/>
            </wp:cNvGraphicFramePr>
            <a:graphic>
              <a:graphicData uri="http://schemas.openxmlformats.org/drawingml/2006/picture">
                <pic:pic>
                  <pic:nvPicPr>
                    <pic:cNvPr id="0" name="skhy_chart8_cash_flow.png"/>
                    <pic:cNvPicPr/>
                  </pic:nvPicPr>
                  <pic:blipFill>
                    <a:blip r:embed="rId23"/>
                    <a:stretch>
                      <a:fillRect/>
                    </a:stretch>
                  </pic:blipFill>
                  <pic:spPr>
                    <a:xfrm>
                      <a:off x="0" y="0"/>
                      <a:ext cx="5623560" cy="2183507"/>
                    </a:xfrm>
                    <a:prstGeom prst="rect"/>
                  </pic:spPr>
                </pic:pic>
              </a:graphicData>
            </a:graphic>
          </wp:inline>
        </w:drawing>
      </w:r>
    </w:p>
    <w:p>
      <w:pPr>
        <w:spacing w:before="20" w:after="80"/>
      </w:pPr>
      <w:r>
        <w:rPr>
          <w:rFonts w:ascii="Songti SC" w:hAnsi="Songti SC" w:eastAsia="Songti SC"/>
          <w:b w:val="0"/>
          <w:i/>
          <w:color w:val="666666"/>
          <w:sz w:val="15"/>
          <w:lang w:val="zh-CN" w:eastAsia="zh-CN"/>
        </w:rPr>
        <w:t>资料来源：</w:t>
      </w:r>
      <w:hyperlink r:id="rId14">
        <w:r>
          <w:rPr>
            <w:color w:val="0563C1"/>
            <w:u w:val="single"/>
            <w:rFonts w:ascii="Songti SC" w:hAnsi="Songti SC" w:eastAsia="Songti SC"/>
            <w:sz w:val="15"/>
            <w:lang w:val="zh-CN" w:eastAsia="zh-CN"/>
          </w:rPr>
          <w:t>SK hynix 2Q26 演示第 9–10 页</w:t>
        </w:r>
      </w:hyperlink>
      <w:r>
        <w:rPr>
          <w:rFonts w:ascii="Songti SC" w:hAnsi="Songti SC" w:eastAsia="Songti SC"/>
          <w:b w:val="0"/>
          <w:i/>
          <w:color w:val="666666"/>
          <w:sz w:val="15"/>
          <w:lang w:val="zh-CN" w:eastAsia="zh-CN"/>
        </w:rPr>
        <w:t>.</w:t>
      </w:r>
    </w:p>
    <w:p>
      <w:r>
        <w:br w:type="page"/>
      </w:r>
    </w:p>
    <w:p>
      <w:pPr>
        <w:pStyle w:val="Heading1"/>
        <w:spacing w:before="40" w:after="100"/>
      </w:pPr>
      <w:r>
        <w:t>展望、指引与执行重点</w:t>
      </w:r>
    </w:p>
    <w:p>
      <w:pPr>
        <w:spacing w:before="0" w:after="90" w:line="252" w:lineRule="auto"/>
      </w:pPr>
      <w:r>
        <w:rPr>
          <w:rFonts w:ascii="Songti SC" w:hAnsi="Songti SC" w:eastAsia="Songti SC"/>
          <w:b w:val="0"/>
          <w:i w:val="0"/>
          <w:color w:val="111111"/>
          <w:sz w:val="19"/>
          <w:lang w:val="zh-CN" w:eastAsia="zh-CN"/>
        </w:rPr>
        <w:t>SK hynix 未提供正式的单季收入、每股收益或利润率指引，但给出了运营指标：第三季度 DRAM 位元出货量预计环比增长约 10%，NAND 位元出货量预计低个位数增长。管理层预计 2026 年全年 DRAM 需求同比增长中 20% 区间，NAND 增长高十位数区间。这些指标支持继续扩张，但仍把平均售价与产品组合这两项最大利润敏感因素留给投资者判断。</w:t>
      </w:r>
    </w:p>
    <w:p>
      <w:pPr>
        <w:keepNext/>
        <w:spacing w:before="0" w:after="40" w:line="252" w:lineRule="auto"/>
      </w:pPr>
      <w:r>
        <w:rPr>
          <w:rFonts w:ascii="Songti SC" w:hAnsi="Songti SC" w:eastAsia="Songti SC"/>
          <w:b/>
          <w:i w:val="0"/>
          <w:color w:val="17365D"/>
          <w:sz w:val="17"/>
          <w:lang w:val="zh-CN" w:eastAsia="zh-CN"/>
        </w:rPr>
        <w:t>图 9：管理层预计存储需求保持强劲</w:t>
      </w:r>
    </w:p>
    <w:p>
      <w:pPr>
        <w:spacing w:after="20"/>
        <w:jc w:val="center"/>
      </w:pPr>
      <w:r>
        <w:drawing>
          <wp:inline xmlns:a="http://schemas.openxmlformats.org/drawingml/2006/main" xmlns:pic="http://schemas.openxmlformats.org/drawingml/2006/picture">
            <wp:extent cx="5623560" cy="2221272"/>
            <wp:docPr id="9" name="Picture 9" descr="管理层预计存储需求保持强劲"/>
            <wp:cNvGraphicFramePr>
              <a:graphicFrameLocks noChangeAspect="1"/>
            </wp:cNvGraphicFramePr>
            <a:graphic>
              <a:graphicData uri="http://schemas.openxmlformats.org/drawingml/2006/picture">
                <pic:pic>
                  <pic:nvPicPr>
                    <pic:cNvPr id="0" name="skhy_chart9_outlook.png"/>
                    <pic:cNvPicPr/>
                  </pic:nvPicPr>
                  <pic:blipFill>
                    <a:blip r:embed="rId24"/>
                    <a:stretch>
                      <a:fillRect/>
                    </a:stretch>
                  </pic:blipFill>
                  <pic:spPr>
                    <a:xfrm>
                      <a:off x="0" y="0"/>
                      <a:ext cx="5623560" cy="2221272"/>
                    </a:xfrm>
                    <a:prstGeom prst="rect"/>
                  </pic:spPr>
                </pic:pic>
              </a:graphicData>
            </a:graphic>
          </wp:inline>
        </w:drawing>
      </w:r>
    </w:p>
    <w:p>
      <w:pPr>
        <w:spacing w:before="20" w:after="80"/>
      </w:pPr>
      <w:r>
        <w:rPr>
          <w:rFonts w:ascii="Songti SC" w:hAnsi="Songti SC" w:eastAsia="Songti SC"/>
          <w:b w:val="0"/>
          <w:i/>
          <w:color w:val="666666"/>
          <w:sz w:val="15"/>
          <w:lang w:val="zh-CN" w:eastAsia="zh-CN"/>
        </w:rPr>
        <w:t>资料来源：</w:t>
      </w:r>
      <w:hyperlink r:id="rId14">
        <w:r>
          <w:rPr>
            <w:color w:val="0563C1"/>
            <w:u w:val="single"/>
            <w:rFonts w:ascii="Songti SC" w:hAnsi="Songti SC" w:eastAsia="Songti SC"/>
            <w:sz w:val="15"/>
            <w:lang w:val="zh-CN" w:eastAsia="zh-CN"/>
          </w:rPr>
          <w:t>SK hynix 2Q26 业绩演示</w:t>
        </w:r>
      </w:hyperlink>
      <w:r>
        <w:rPr>
          <w:rFonts w:ascii="Songti SC" w:hAnsi="Songti SC" w:eastAsia="Songti SC"/>
          <w:b w:val="0"/>
          <w:i/>
          <w:color w:val="666666"/>
          <w:sz w:val="15"/>
          <w:lang w:val="zh-CN" w:eastAsia="zh-CN"/>
        </w:rPr>
        <w:t xml:space="preserve">; </w:t>
      </w:r>
      <w:hyperlink r:id="rId25">
        <w:r>
          <w:rPr>
            <w:color w:val="0563C1"/>
            <w:u w:val="single"/>
            <w:rFonts w:ascii="Songti SC" w:hAnsi="Songti SC" w:eastAsia="Songti SC"/>
            <w:sz w:val="15"/>
            <w:lang w:val="zh-CN" w:eastAsia="zh-CN"/>
          </w:rPr>
          <w:t>业绩会音频回放</w:t>
        </w:r>
      </w:hyperlink>
      <w:r>
        <w:rPr>
          <w:rFonts w:ascii="Songti SC" w:hAnsi="Songti SC" w:eastAsia="Songti SC"/>
          <w:b w:val="0"/>
          <w:i/>
          <w:color w:val="666666"/>
          <w:sz w:val="15"/>
          <w:lang w:val="zh-CN" w:eastAsia="zh-CN"/>
        </w:rPr>
        <w:t>.</w:t>
      </w:r>
    </w:p>
    <w:p>
      <w:pPr>
        <w:pStyle w:val="ListBullet"/>
        <w:spacing w:after="90"/>
        <w:ind w:left="288" w:hanging="173"/>
      </w:pPr>
      <w:r>
        <w:rPr>
          <w:rFonts w:ascii="Songti SC" w:hAnsi="Songti SC" w:eastAsia="Songti SC"/>
          <w:b/>
          <w:i w:val="0"/>
          <w:color w:val="17365D"/>
          <w:sz w:val="19"/>
          <w:lang w:val="zh-CN" w:eastAsia="zh-CN"/>
        </w:rPr>
        <w:t xml:space="preserve">HBM 路线图： </w:t>
      </w:r>
      <w:r>
        <w:rPr>
          <w:rFonts w:ascii="Songti SC" w:hAnsi="Songti SC" w:eastAsia="Songti SC"/>
          <w:b w:val="0"/>
          <w:i w:val="0"/>
          <w:color w:val="111111"/>
          <w:sz w:val="19"/>
          <w:lang w:val="zh-CN" w:eastAsia="zh-CN"/>
        </w:rPr>
        <w:t>HBM4 已在第二季度出货，并将在下半年持续爬坡；HBM4E 样品已于上半年交付。随着加速器平台追求更高带宽与能效，公司技术节奏得以延续。</w:t>
      </w:r>
    </w:p>
    <w:p>
      <w:pPr>
        <w:pStyle w:val="ListBullet"/>
        <w:spacing w:after="90"/>
        <w:ind w:left="288" w:hanging="173"/>
      </w:pPr>
      <w:r>
        <w:rPr>
          <w:rFonts w:ascii="Songti SC" w:hAnsi="Songti SC" w:eastAsia="Songti SC"/>
          <w:b/>
          <w:i w:val="0"/>
          <w:color w:val="17365D"/>
          <w:sz w:val="19"/>
          <w:lang w:val="zh-CN" w:eastAsia="zh-CN"/>
        </w:rPr>
        <w:t xml:space="preserve">合同架构： </w:t>
      </w:r>
      <w:r>
        <w:rPr>
          <w:rFonts w:ascii="Songti SC" w:hAnsi="Songti SC" w:eastAsia="Songti SC"/>
          <w:b w:val="0"/>
          <w:i w:val="0"/>
          <w:color w:val="111111"/>
          <w:sz w:val="19"/>
          <w:lang w:val="zh-CN" w:eastAsia="zh-CN"/>
        </w:rPr>
        <w:t>约十份客户长期协议引入定价、波动共担与定金结构。这些机制提升需求可见度和资本规划能力，但若终端需求转弱，风险可能只是推迟而非消失。</w:t>
      </w:r>
    </w:p>
    <w:p>
      <w:pPr>
        <w:pStyle w:val="ListBullet"/>
        <w:spacing w:after="90"/>
        <w:ind w:left="288" w:hanging="173"/>
      </w:pPr>
      <w:r>
        <w:rPr>
          <w:rFonts w:ascii="Songti SC" w:hAnsi="Songti SC" w:eastAsia="Songti SC"/>
          <w:b/>
          <w:i w:val="0"/>
          <w:color w:val="17365D"/>
          <w:sz w:val="19"/>
          <w:lang w:val="zh-CN" w:eastAsia="zh-CN"/>
        </w:rPr>
        <w:t xml:space="preserve">产能与资本开支： </w:t>
      </w:r>
      <w:r>
        <w:rPr>
          <w:rFonts w:ascii="Songti SC" w:hAnsi="Songti SC" w:eastAsia="Songti SC"/>
          <w:b w:val="0"/>
          <w:i w:val="0"/>
          <w:color w:val="111111"/>
          <w:sz w:val="19"/>
          <w:lang w:val="zh-CN" w:eastAsia="zh-CN"/>
        </w:rPr>
        <w:t>2026 年资本开支预计处于 40 万亿韩元高段。M15X 与龙仁第一晶圆厂目标提前至 2027 年初，P&amp;T7 和 M17 将分阶段爬坡。资产负债表足以支持计划，但回报仍取决于竞争对手扩产时的行业纪律。</w:t>
      </w:r>
    </w:p>
    <w:p>
      <w:pPr>
        <w:pStyle w:val="ListBullet"/>
        <w:spacing w:after="90"/>
        <w:ind w:left="288" w:hanging="173"/>
      </w:pPr>
      <w:r>
        <w:rPr>
          <w:rFonts w:ascii="Songti SC" w:hAnsi="Songti SC" w:eastAsia="Songti SC"/>
          <w:b/>
          <w:i w:val="0"/>
          <w:color w:val="17365D"/>
          <w:sz w:val="19"/>
          <w:lang w:val="zh-CN" w:eastAsia="zh-CN"/>
        </w:rPr>
        <w:t xml:space="preserve">产品执行： </w:t>
      </w:r>
      <w:r>
        <w:rPr>
          <w:rFonts w:ascii="Songti SC" w:hAnsi="Songti SC" w:eastAsia="Songti SC"/>
          <w:b w:val="0"/>
          <w:i w:val="0"/>
          <w:color w:val="111111"/>
          <w:sz w:val="19"/>
          <w:lang w:val="zh-CN" w:eastAsia="zh-CN"/>
        </w:rPr>
        <w:t>采用 1c 纳米 DRAM 的 SOCAMM2 已启动，321 层 NAND 将成为最大量产世代。客户认证、良率和先进封装吞吐量是关键运营验证点。</w:t>
      </w:r>
    </w:p>
    <w:p>
      <w:pPr>
        <w:spacing w:before="0" w:after="90" w:line="252" w:lineRule="auto"/>
      </w:pPr>
      <w:r>
        <w:rPr>
          <w:rFonts w:ascii="Songti SC" w:hAnsi="Songti SC" w:eastAsia="Songti SC"/>
          <w:b w:val="0"/>
          <w:i w:val="0"/>
          <w:color w:val="666666"/>
          <w:sz w:val="17"/>
          <w:lang w:val="zh-CN" w:eastAsia="zh-CN"/>
        </w:rPr>
        <w:t>公司未随财报发布书面电话会逐字稿；本报告使用官方演示材料和电话会音频回放。所有管理层表述均为转述，不作直接引语。</w:t>
      </w:r>
    </w:p>
    <w:p>
      <w:pPr>
        <w:spacing w:before="20" w:after="80"/>
      </w:pPr>
      <w:r>
        <w:rPr>
          <w:rFonts w:ascii="Songti SC" w:hAnsi="Songti SC" w:eastAsia="Songti SC"/>
          <w:b w:val="0"/>
          <w:i/>
          <w:color w:val="666666"/>
          <w:sz w:val="15"/>
          <w:lang w:val="zh-CN" w:eastAsia="zh-CN"/>
        </w:rPr>
        <w:t>资料来源：</w:t>
      </w:r>
      <w:hyperlink r:id="rId25">
        <w:r>
          <w:rPr>
            <w:color w:val="0563C1"/>
            <w:u w:val="single"/>
            <w:rFonts w:ascii="Songti SC" w:hAnsi="Songti SC" w:eastAsia="Songti SC"/>
            <w:sz w:val="15"/>
            <w:lang w:val="zh-CN" w:eastAsia="zh-CN"/>
          </w:rPr>
          <w:t>官方电话会回放</w:t>
        </w:r>
      </w:hyperlink>
      <w:r>
        <w:rPr>
          <w:rFonts w:ascii="Songti SC" w:hAnsi="Songti SC" w:eastAsia="Songti SC"/>
          <w:b w:val="0"/>
          <w:i/>
          <w:color w:val="666666"/>
          <w:sz w:val="15"/>
          <w:lang w:val="zh-CN" w:eastAsia="zh-CN"/>
        </w:rPr>
        <w:t xml:space="preserve">; </w:t>
      </w:r>
      <w:hyperlink r:id="rId26">
        <w:r>
          <w:rPr>
            <w:color w:val="0563C1"/>
            <w:u w:val="single"/>
            <w:rFonts w:ascii="Songti SC" w:hAnsi="Songti SC" w:eastAsia="Songti SC"/>
            <w:sz w:val="15"/>
            <w:lang w:val="zh-CN" w:eastAsia="zh-CN"/>
          </w:rPr>
          <w:t>公司投资者关系网页</w:t>
        </w:r>
      </w:hyperlink>
      <w:r>
        <w:rPr>
          <w:rFonts w:ascii="Songti SC" w:hAnsi="Songti SC" w:eastAsia="Songti SC"/>
          <w:b w:val="0"/>
          <w:i/>
          <w:color w:val="666666"/>
          <w:sz w:val="15"/>
          <w:lang w:val="zh-CN" w:eastAsia="zh-CN"/>
        </w:rPr>
        <w:t>.</w:t>
      </w:r>
    </w:p>
    <w:p>
      <w:r>
        <w:br w:type="page"/>
      </w:r>
    </w:p>
    <w:p>
      <w:pPr>
        <w:pStyle w:val="Heading1"/>
        <w:spacing w:before="40" w:after="100"/>
      </w:pPr>
      <w:r>
        <w:t>盈利预测调整</w:t>
      </w:r>
    </w:p>
    <w:p>
      <w:pPr>
        <w:spacing w:before="0" w:after="90" w:line="252" w:lineRule="auto"/>
      </w:pPr>
      <w:r>
        <w:rPr>
          <w:rFonts w:ascii="Songti SC" w:hAnsi="Songti SC" w:eastAsia="Songti SC"/>
          <w:b w:val="0"/>
          <w:i w:val="0"/>
          <w:color w:val="111111"/>
          <w:sz w:val="19"/>
          <w:lang w:val="zh-CN" w:eastAsia="zh-CN"/>
        </w:rPr>
        <w:t>由于这是我们在 ADR 上市后的首份报告，下表“原预测”采用韩华证券 2026 年 6 月 22 日的财报前外部参考情景，并非我们此前发布的预测。新预测纳入第二季度不及预期、第三季度位元出货指标、HBM4 爬坡、当前 NAND 价格，并对投资收益作审慎归一化。我们预计第三季度收入/营业利润为 92/72 万亿韩元，第四季度为 101/78 万亿韩元。</w:t>
      </w:r>
    </w:p>
    <w:tbl>
      <w:tblPr>
        <w:tblStyle w:val="TableGrid"/>
        <w:tblW w:type="dxa" w:w="9994"/>
        <w:jc w:val="center"/>
        <w:tblLayout w:type="fixed"/>
        <w:tblLook w:firstColumn="1" w:firstRow="1" w:lastColumn="0" w:lastRow="0" w:noHBand="0" w:noVBand="1" w:val="04A0"/>
        <w:tblInd w:w="110" w:type="dxa"/>
      </w:tblPr>
      <w:tblGrid>
        <w:gridCol w:w="2244"/>
        <w:gridCol w:w="1326"/>
        <w:gridCol w:w="1326"/>
        <w:gridCol w:w="1224"/>
        <w:gridCol w:w="1326"/>
        <w:gridCol w:w="1326"/>
        <w:gridCol w:w="1222"/>
      </w:tblGrid>
      <w:tr>
        <w:trPr>
          <w:tblHeader w:val="true"/>
        </w:trPr>
        <w:tc>
          <w:tcPr>
            <w:tcW w:type="dxa" w:w="2244"/>
            <w:shd w:fill="17365D"/>
            <w:tcMar>
              <w:top w:w="80" w:type="dxa"/>
              <w:start w:w="110" w:type="dxa"/>
              <w:bottom w:w="80" w:type="dxa"/>
              <w:end w:w="110" w:type="dxa"/>
            </w:tcMar>
            <w:vAlign w:val="center"/>
          </w:tcPr>
          <w:p>
            <w:pPr>
              <w:jc w:val="center"/>
            </w:pPr>
            <w:r>
              <w:rPr>
                <w:rFonts w:ascii="Songti SC" w:hAnsi="Songti SC" w:eastAsia="Songti SC"/>
                <w:b/>
                <w:i w:val="0"/>
                <w:color w:val="FFFFFF"/>
                <w:sz w:val="16"/>
                <w:lang w:val="zh-CN" w:eastAsia="zh-CN"/>
              </w:rPr>
              <w:t>万亿韩元，EPS 除外</w:t>
            </w:r>
          </w:p>
        </w:tc>
        <w:tc>
          <w:tcPr>
            <w:tcW w:type="dxa" w:w="1326"/>
            <w:shd w:fill="17365D"/>
            <w:tcMar>
              <w:top w:w="80" w:type="dxa"/>
              <w:start w:w="110" w:type="dxa"/>
              <w:bottom w:w="80" w:type="dxa"/>
              <w:end w:w="110" w:type="dxa"/>
            </w:tcMar>
            <w:vAlign w:val="center"/>
          </w:tcPr>
          <w:p>
            <w:pPr>
              <w:jc w:val="center"/>
            </w:pPr>
            <w:r>
              <w:rPr>
                <w:rFonts w:ascii="Songti SC" w:hAnsi="Songti SC" w:eastAsia="Songti SC"/>
                <w:b/>
                <w:i w:val="0"/>
                <w:color w:val="FFFFFF"/>
                <w:sz w:val="16"/>
                <w:lang w:val="zh-CN" w:eastAsia="zh-CN"/>
              </w:rPr>
              <w:t>FY26E 原*</w:t>
            </w:r>
          </w:p>
        </w:tc>
        <w:tc>
          <w:tcPr>
            <w:tcW w:type="dxa" w:w="1326"/>
            <w:shd w:fill="17365D"/>
            <w:tcMar>
              <w:top w:w="80" w:type="dxa"/>
              <w:start w:w="110" w:type="dxa"/>
              <w:bottom w:w="80" w:type="dxa"/>
              <w:end w:w="110" w:type="dxa"/>
            </w:tcMar>
            <w:vAlign w:val="center"/>
          </w:tcPr>
          <w:p>
            <w:pPr>
              <w:jc w:val="center"/>
            </w:pPr>
            <w:r>
              <w:rPr>
                <w:rFonts w:ascii="Songti SC" w:hAnsi="Songti SC" w:eastAsia="Songti SC"/>
                <w:b/>
                <w:i w:val="0"/>
                <w:color w:val="FFFFFF"/>
                <w:sz w:val="16"/>
                <w:lang w:val="zh-CN" w:eastAsia="zh-CN"/>
              </w:rPr>
              <w:t>FY26E 新</w:t>
            </w:r>
          </w:p>
        </w:tc>
        <w:tc>
          <w:tcPr>
            <w:tcW w:type="dxa" w:w="1224"/>
            <w:shd w:fill="17365D"/>
            <w:tcMar>
              <w:top w:w="80" w:type="dxa"/>
              <w:start w:w="110" w:type="dxa"/>
              <w:bottom w:w="80" w:type="dxa"/>
              <w:end w:w="110" w:type="dxa"/>
            </w:tcMar>
            <w:vAlign w:val="center"/>
          </w:tcPr>
          <w:p>
            <w:pPr>
              <w:jc w:val="center"/>
            </w:pPr>
            <w:r>
              <w:rPr>
                <w:rFonts w:ascii="Songti SC" w:hAnsi="Songti SC" w:eastAsia="Songti SC"/>
                <w:b/>
                <w:i w:val="0"/>
                <w:color w:val="FFFFFF"/>
                <w:sz w:val="16"/>
                <w:lang w:val="zh-CN" w:eastAsia="zh-CN"/>
              </w:rPr>
              <w:t>变化</w:t>
            </w:r>
          </w:p>
        </w:tc>
        <w:tc>
          <w:tcPr>
            <w:tcW w:type="dxa" w:w="1326"/>
            <w:shd w:fill="17365D"/>
            <w:tcMar>
              <w:top w:w="80" w:type="dxa"/>
              <w:start w:w="110" w:type="dxa"/>
              <w:bottom w:w="80" w:type="dxa"/>
              <w:end w:w="110" w:type="dxa"/>
            </w:tcMar>
            <w:vAlign w:val="center"/>
          </w:tcPr>
          <w:p>
            <w:pPr>
              <w:jc w:val="center"/>
            </w:pPr>
            <w:r>
              <w:rPr>
                <w:rFonts w:ascii="Songti SC" w:hAnsi="Songti SC" w:eastAsia="Songti SC"/>
                <w:b/>
                <w:i w:val="0"/>
                <w:color w:val="FFFFFF"/>
                <w:sz w:val="16"/>
                <w:lang w:val="zh-CN" w:eastAsia="zh-CN"/>
              </w:rPr>
              <w:t>FY27E 原*</w:t>
            </w:r>
          </w:p>
        </w:tc>
        <w:tc>
          <w:tcPr>
            <w:tcW w:type="dxa" w:w="1326"/>
            <w:shd w:fill="17365D"/>
            <w:tcMar>
              <w:top w:w="80" w:type="dxa"/>
              <w:start w:w="110" w:type="dxa"/>
              <w:bottom w:w="80" w:type="dxa"/>
              <w:end w:w="110" w:type="dxa"/>
            </w:tcMar>
            <w:vAlign w:val="center"/>
          </w:tcPr>
          <w:p>
            <w:pPr>
              <w:jc w:val="center"/>
            </w:pPr>
            <w:r>
              <w:rPr>
                <w:rFonts w:ascii="Songti SC" w:hAnsi="Songti SC" w:eastAsia="Songti SC"/>
                <w:b/>
                <w:i w:val="0"/>
                <w:color w:val="FFFFFF"/>
                <w:sz w:val="16"/>
                <w:lang w:val="zh-CN" w:eastAsia="zh-CN"/>
              </w:rPr>
              <w:t>FY27E 新</w:t>
            </w:r>
          </w:p>
        </w:tc>
        <w:tc>
          <w:tcPr>
            <w:tcW w:type="dxa" w:w="1222"/>
            <w:shd w:fill="17365D"/>
            <w:tcMar>
              <w:top w:w="80" w:type="dxa"/>
              <w:start w:w="110" w:type="dxa"/>
              <w:bottom w:w="80" w:type="dxa"/>
              <w:end w:w="110" w:type="dxa"/>
            </w:tcMar>
            <w:vAlign w:val="center"/>
          </w:tcPr>
          <w:p>
            <w:pPr>
              <w:jc w:val="center"/>
            </w:pPr>
            <w:r>
              <w:rPr>
                <w:rFonts w:ascii="Songti SC" w:hAnsi="Songti SC" w:eastAsia="Songti SC"/>
                <w:b/>
                <w:i w:val="0"/>
                <w:color w:val="FFFFFF"/>
                <w:sz w:val="16"/>
                <w:lang w:val="zh-CN" w:eastAsia="zh-CN"/>
              </w:rPr>
              <w:t>变化</w:t>
            </w:r>
          </w:p>
        </w:tc>
      </w:tr>
      <w:tr>
        <w:tc>
          <w:tcPr>
            <w:tcW w:type="dxa" w:w="2244"/>
            <w:tcMar>
              <w:top w:w="80" w:type="dxa"/>
              <w:start w:w="110" w:type="dxa"/>
              <w:bottom w:w="80" w:type="dxa"/>
              <w:end w:w="110" w:type="dxa"/>
            </w:tcMar>
            <w:vAlign w:val="center"/>
          </w:tcPr>
          <w:p>
            <w:pPr>
              <w:jc w:val="left"/>
            </w:pPr>
            <w:r>
              <w:rPr>
                <w:rFonts w:ascii="Songti SC" w:hAnsi="Songti SC" w:eastAsia="Songti SC"/>
                <w:b/>
                <w:i w:val="0"/>
                <w:color w:val="111111"/>
                <w:sz w:val="16"/>
                <w:lang w:val="zh-CN" w:eastAsia="zh-CN"/>
              </w:rPr>
              <w:t>营业收入</w:t>
            </w:r>
          </w:p>
        </w:tc>
        <w:tc>
          <w:tcPr>
            <w:tcW w:type="dxa" w:w="1326"/>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339.4</w:t>
            </w:r>
          </w:p>
        </w:tc>
        <w:tc>
          <w:tcPr>
            <w:tcW w:type="dxa" w:w="1326"/>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324.9</w:t>
            </w:r>
          </w:p>
        </w:tc>
        <w:tc>
          <w:tcPr>
            <w:tcW w:type="dxa" w:w="1224"/>
            <w:tcMar>
              <w:top w:w="80" w:type="dxa"/>
              <w:start w:w="110" w:type="dxa"/>
              <w:bottom w:w="80" w:type="dxa"/>
              <w:end w:w="110" w:type="dxa"/>
            </w:tcMar>
            <w:vAlign w:val="center"/>
          </w:tcPr>
          <w:p>
            <w:pPr>
              <w:jc w:val="center"/>
            </w:pPr>
            <w:r>
              <w:rPr>
                <w:rFonts w:ascii="Songti SC" w:hAnsi="Songti SC" w:eastAsia="Songti SC"/>
                <w:b w:val="0"/>
                <w:i w:val="0"/>
                <w:color w:val="C0392B"/>
                <w:sz w:val="16"/>
                <w:lang w:val="zh-CN" w:eastAsia="zh-CN"/>
              </w:rPr>
              <w:t>-4.3%</w:t>
            </w:r>
          </w:p>
        </w:tc>
        <w:tc>
          <w:tcPr>
            <w:tcW w:type="dxa" w:w="1326"/>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506.8</w:t>
            </w:r>
          </w:p>
        </w:tc>
        <w:tc>
          <w:tcPr>
            <w:tcW w:type="dxa" w:w="1326"/>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420.0</w:t>
            </w:r>
          </w:p>
        </w:tc>
        <w:tc>
          <w:tcPr>
            <w:tcW w:type="dxa" w:w="1222"/>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-17.1%</w:t>
            </w:r>
          </w:p>
        </w:tc>
      </w:tr>
      <w:tr>
        <w:tc>
          <w:tcPr>
            <w:tcW w:type="dxa" w:w="2244"/>
            <w:shd w:fill="F2F4F7"/>
            <w:tcMar>
              <w:top w:w="80" w:type="dxa"/>
              <w:start w:w="110" w:type="dxa"/>
              <w:bottom w:w="80" w:type="dxa"/>
              <w:end w:w="110" w:type="dxa"/>
            </w:tcMar>
            <w:vAlign w:val="center"/>
          </w:tcPr>
          <w:p>
            <w:pPr>
              <w:jc w:val="left"/>
            </w:pPr>
            <w:r>
              <w:rPr>
                <w:rFonts w:ascii="Songti SC" w:hAnsi="Songti SC" w:eastAsia="Songti SC"/>
                <w:b/>
                <w:i w:val="0"/>
                <w:color w:val="111111"/>
                <w:sz w:val="16"/>
                <w:lang w:val="zh-CN" w:eastAsia="zh-CN"/>
              </w:rPr>
              <w:t>营业利润</w:t>
            </w:r>
          </w:p>
        </w:tc>
        <w:tc>
          <w:tcPr>
            <w:tcW w:type="dxa" w:w="1326"/>
            <w:shd w:fill="F2F4F7"/>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266.7</w:t>
            </w:r>
          </w:p>
        </w:tc>
        <w:tc>
          <w:tcPr>
            <w:tcW w:type="dxa" w:w="1326"/>
            <w:shd w:fill="F2F4F7"/>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248.2</w:t>
            </w:r>
          </w:p>
        </w:tc>
        <w:tc>
          <w:tcPr>
            <w:tcW w:type="dxa" w:w="1224"/>
            <w:shd w:fill="F2F4F7"/>
            <w:tcMar>
              <w:top w:w="80" w:type="dxa"/>
              <w:start w:w="110" w:type="dxa"/>
              <w:bottom w:w="80" w:type="dxa"/>
              <w:end w:w="110" w:type="dxa"/>
            </w:tcMar>
            <w:vAlign w:val="center"/>
          </w:tcPr>
          <w:p>
            <w:pPr>
              <w:jc w:val="center"/>
            </w:pPr>
            <w:r>
              <w:rPr>
                <w:rFonts w:ascii="Songti SC" w:hAnsi="Songti SC" w:eastAsia="Songti SC"/>
                <w:b w:val="0"/>
                <w:i w:val="0"/>
                <w:color w:val="C0392B"/>
                <w:sz w:val="16"/>
                <w:lang w:val="zh-CN" w:eastAsia="zh-CN"/>
              </w:rPr>
              <w:t>-6.9%</w:t>
            </w:r>
          </w:p>
        </w:tc>
        <w:tc>
          <w:tcPr>
            <w:tcW w:type="dxa" w:w="1326"/>
            <w:shd w:fill="F2F4F7"/>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419.5</w:t>
            </w:r>
          </w:p>
        </w:tc>
        <w:tc>
          <w:tcPr>
            <w:tcW w:type="dxa" w:w="1326"/>
            <w:shd w:fill="F2F4F7"/>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315.0</w:t>
            </w:r>
          </w:p>
        </w:tc>
        <w:tc>
          <w:tcPr>
            <w:tcW w:type="dxa" w:w="1222"/>
            <w:shd w:fill="F2F4F7"/>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-24.9%</w:t>
            </w:r>
          </w:p>
        </w:tc>
      </w:tr>
      <w:tr>
        <w:tc>
          <w:tcPr>
            <w:tcW w:type="dxa" w:w="2244"/>
            <w:tcMar>
              <w:top w:w="80" w:type="dxa"/>
              <w:start w:w="110" w:type="dxa"/>
              <w:bottom w:w="80" w:type="dxa"/>
              <w:end w:w="110" w:type="dxa"/>
            </w:tcMar>
            <w:vAlign w:val="center"/>
          </w:tcPr>
          <w:p>
            <w:pPr>
              <w:jc w:val="left"/>
            </w:pPr>
            <w:r>
              <w:rPr>
                <w:rFonts w:ascii="Songti SC" w:hAnsi="Songti SC" w:eastAsia="Songti SC"/>
                <w:b/>
                <w:i w:val="0"/>
                <w:color w:val="111111"/>
                <w:sz w:val="16"/>
                <w:lang w:val="zh-CN" w:eastAsia="zh-CN"/>
              </w:rPr>
              <w:t>归一化净利润</w:t>
            </w:r>
          </w:p>
        </w:tc>
        <w:tc>
          <w:tcPr>
            <w:tcW w:type="dxa" w:w="1326"/>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217.3</w:t>
            </w:r>
          </w:p>
        </w:tc>
        <w:tc>
          <w:tcPr>
            <w:tcW w:type="dxa" w:w="1326"/>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190.2</w:t>
            </w:r>
          </w:p>
        </w:tc>
        <w:tc>
          <w:tcPr>
            <w:tcW w:type="dxa" w:w="1224"/>
            <w:tcMar>
              <w:top w:w="80" w:type="dxa"/>
              <w:start w:w="110" w:type="dxa"/>
              <w:bottom w:w="80" w:type="dxa"/>
              <w:end w:w="110" w:type="dxa"/>
            </w:tcMar>
            <w:vAlign w:val="center"/>
          </w:tcPr>
          <w:p>
            <w:pPr>
              <w:jc w:val="center"/>
            </w:pPr>
            <w:r>
              <w:rPr>
                <w:rFonts w:ascii="Songti SC" w:hAnsi="Songti SC" w:eastAsia="Songti SC"/>
                <w:b w:val="0"/>
                <w:i w:val="0"/>
                <w:color w:val="C0392B"/>
                <w:sz w:val="16"/>
                <w:lang w:val="zh-CN" w:eastAsia="zh-CN"/>
              </w:rPr>
              <w:t>-12.5%</w:t>
            </w:r>
          </w:p>
        </w:tc>
        <w:tc>
          <w:tcPr>
            <w:tcW w:type="dxa" w:w="1326"/>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319.0</w:t>
            </w:r>
          </w:p>
        </w:tc>
        <w:tc>
          <w:tcPr>
            <w:tcW w:type="dxa" w:w="1326"/>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242.0</w:t>
            </w:r>
          </w:p>
        </w:tc>
        <w:tc>
          <w:tcPr>
            <w:tcW w:type="dxa" w:w="1222"/>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-24.1%</w:t>
            </w:r>
          </w:p>
        </w:tc>
      </w:tr>
      <w:tr>
        <w:tc>
          <w:tcPr>
            <w:tcW w:type="dxa" w:w="2244"/>
            <w:shd w:fill="F2F4F7"/>
            <w:tcMar>
              <w:top w:w="80" w:type="dxa"/>
              <w:start w:w="110" w:type="dxa"/>
              <w:bottom w:w="80" w:type="dxa"/>
              <w:end w:w="110" w:type="dxa"/>
            </w:tcMar>
            <w:vAlign w:val="center"/>
          </w:tcPr>
          <w:p>
            <w:pPr>
              <w:jc w:val="left"/>
            </w:pPr>
            <w:r>
              <w:rPr>
                <w:rFonts w:ascii="Songti SC" w:hAnsi="Songti SC" w:eastAsia="Songti SC"/>
                <w:b/>
                <w:i w:val="0"/>
                <w:color w:val="111111"/>
                <w:sz w:val="16"/>
                <w:lang w:val="zh-CN" w:eastAsia="zh-CN"/>
              </w:rPr>
              <w:t>归一化 ADR EPS（美元）</w:t>
            </w:r>
          </w:p>
        </w:tc>
        <w:tc>
          <w:tcPr>
            <w:tcW w:type="dxa" w:w="1326"/>
            <w:shd w:fill="F2F4F7"/>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20.75</w:t>
            </w:r>
          </w:p>
        </w:tc>
        <w:tc>
          <w:tcPr>
            <w:tcW w:type="dxa" w:w="1326"/>
            <w:shd w:fill="F2F4F7"/>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18.16</w:t>
            </w:r>
          </w:p>
        </w:tc>
        <w:tc>
          <w:tcPr>
            <w:tcW w:type="dxa" w:w="1224"/>
            <w:shd w:fill="F2F4F7"/>
            <w:tcMar>
              <w:top w:w="80" w:type="dxa"/>
              <w:start w:w="110" w:type="dxa"/>
              <w:bottom w:w="80" w:type="dxa"/>
              <w:end w:w="110" w:type="dxa"/>
            </w:tcMar>
            <w:vAlign w:val="center"/>
          </w:tcPr>
          <w:p>
            <w:pPr>
              <w:jc w:val="center"/>
            </w:pPr>
            <w:r>
              <w:rPr>
                <w:rFonts w:ascii="Songti SC" w:hAnsi="Songti SC" w:eastAsia="Songti SC"/>
                <w:b w:val="0"/>
                <w:i w:val="0"/>
                <w:color w:val="C0392B"/>
                <w:sz w:val="16"/>
                <w:lang w:val="zh-CN" w:eastAsia="zh-CN"/>
              </w:rPr>
              <w:t>-12.5%</w:t>
            </w:r>
          </w:p>
        </w:tc>
        <w:tc>
          <w:tcPr>
            <w:tcW w:type="dxa" w:w="1326"/>
            <w:shd w:fill="F2F4F7"/>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30.46</w:t>
            </w:r>
          </w:p>
        </w:tc>
        <w:tc>
          <w:tcPr>
            <w:tcW w:type="dxa" w:w="1326"/>
            <w:shd w:fill="F2F4F7"/>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23.12</w:t>
            </w:r>
          </w:p>
        </w:tc>
        <w:tc>
          <w:tcPr>
            <w:tcW w:type="dxa" w:w="1222"/>
            <w:shd w:fill="F2F4F7"/>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-24.1%</w:t>
            </w:r>
          </w:p>
        </w:tc>
      </w:tr>
    </w:tbl>
    <w:p>
      <w:pPr>
        <w:spacing w:before="20" w:after="80"/>
      </w:pPr>
      <w:r>
        <w:rPr>
          <w:rFonts w:ascii="Songti SC" w:hAnsi="Songti SC" w:eastAsia="Songti SC"/>
          <w:b w:val="0"/>
          <w:i/>
          <w:color w:val="666666"/>
          <w:sz w:val="15"/>
          <w:lang w:val="zh-CN" w:eastAsia="zh-CN"/>
        </w:rPr>
        <w:t>资料来源：</w:t>
      </w:r>
      <w:hyperlink r:id="rId27">
        <w:r>
          <w:rPr>
            <w:color w:val="0563C1"/>
            <w:u w:val="single"/>
            <w:rFonts w:ascii="Songti SC" w:hAnsi="Songti SC" w:eastAsia="Songti SC"/>
            <w:sz w:val="15"/>
            <w:lang w:val="zh-CN" w:eastAsia="zh-CN"/>
          </w:rPr>
          <w:t>韩华证券财报前研究（原预测*）</w:t>
        </w:r>
      </w:hyperlink>
      <w:r>
        <w:rPr>
          <w:rFonts w:ascii="Songti SC" w:hAnsi="Songti SC" w:eastAsia="Songti SC"/>
          <w:b w:val="0"/>
          <w:i/>
          <w:color w:val="666666"/>
          <w:sz w:val="15"/>
          <w:lang w:val="zh-CN" w:eastAsia="zh-CN"/>
        </w:rPr>
        <w:t xml:space="preserve">; </w:t>
      </w:r>
      <w:hyperlink r:id="rId14">
        <w:r>
          <w:rPr>
            <w:color w:val="0563C1"/>
            <w:u w:val="single"/>
            <w:rFonts w:ascii="Songti SC" w:hAnsi="Songti SC" w:eastAsia="Songti SC"/>
            <w:sz w:val="15"/>
            <w:lang w:val="zh-CN" w:eastAsia="zh-CN"/>
          </w:rPr>
          <w:t>公司第二季度材料</w:t>
        </w:r>
      </w:hyperlink>
      <w:r>
        <w:rPr>
          <w:rFonts w:ascii="Songti SC" w:hAnsi="Songti SC" w:eastAsia="Songti SC"/>
          <w:b w:val="0"/>
          <w:i/>
          <w:color w:val="666666"/>
          <w:sz w:val="15"/>
          <w:lang w:val="zh-CN" w:eastAsia="zh-CN"/>
        </w:rPr>
        <w:t>.</w:t>
      </w:r>
    </w:p>
    <w:p>
      <w:pPr>
        <w:keepNext/>
        <w:spacing w:before="0" w:after="40" w:line="252" w:lineRule="auto"/>
      </w:pPr>
      <w:r>
        <w:rPr>
          <w:rFonts w:ascii="Songti SC" w:hAnsi="Songti SC" w:eastAsia="Songti SC"/>
          <w:b/>
          <w:i w:val="0"/>
          <w:color w:val="17365D"/>
          <w:sz w:val="17"/>
          <w:lang w:val="zh-CN" w:eastAsia="zh-CN"/>
        </w:rPr>
        <w:t>图 10：财报后预测低于外部财报前参考情景</w:t>
      </w:r>
    </w:p>
    <w:p>
      <w:pPr>
        <w:spacing w:after="20"/>
        <w:jc w:val="center"/>
      </w:pPr>
      <w:r>
        <w:drawing>
          <wp:inline xmlns:a="http://schemas.openxmlformats.org/drawingml/2006/main" xmlns:pic="http://schemas.openxmlformats.org/drawingml/2006/picture">
            <wp:extent cx="5623560" cy="2217839"/>
            <wp:docPr id="10" name="Picture 10" descr="财报后预测低于外部财报前参考情景"/>
            <wp:cNvGraphicFramePr>
              <a:graphicFrameLocks noChangeAspect="1"/>
            </wp:cNvGraphicFramePr>
            <a:graphic>
              <a:graphicData uri="http://schemas.openxmlformats.org/drawingml/2006/picture">
                <pic:pic>
                  <pic:nvPicPr>
                    <pic:cNvPr id="0" name="skhy_chart10_estimates.png"/>
                    <pic:cNvPicPr/>
                  </pic:nvPicPr>
                  <pic:blipFill>
                    <a:blip r:embed="rId28"/>
                    <a:stretch>
                      <a:fillRect/>
                    </a:stretch>
                  </pic:blipFill>
                  <pic:spPr>
                    <a:xfrm>
                      <a:off x="0" y="0"/>
                      <a:ext cx="5623560" cy="2217839"/>
                    </a:xfrm>
                    <a:prstGeom prst="rect"/>
                  </pic:spPr>
                </pic:pic>
              </a:graphicData>
            </a:graphic>
          </wp:inline>
        </w:drawing>
      </w:r>
    </w:p>
    <w:p>
      <w:pPr>
        <w:spacing w:before="20" w:after="80"/>
      </w:pPr>
      <w:r>
        <w:rPr>
          <w:rFonts w:ascii="Songti SC" w:hAnsi="Songti SC" w:eastAsia="Songti SC"/>
          <w:b w:val="0"/>
          <w:i/>
          <w:color w:val="666666"/>
          <w:sz w:val="15"/>
          <w:lang w:val="zh-CN" w:eastAsia="zh-CN"/>
        </w:rPr>
        <w:t>资料来源：</w:t>
      </w:r>
      <w:hyperlink r:id="rId27">
        <w:r>
          <w:rPr>
            <w:color w:val="0563C1"/>
            <w:u w:val="single"/>
            <w:rFonts w:ascii="Songti SC" w:hAnsi="Songti SC" w:eastAsia="Songti SC"/>
            <w:sz w:val="15"/>
            <w:lang w:val="zh-CN" w:eastAsia="zh-CN"/>
          </w:rPr>
          <w:t>韩华证券</w:t>
        </w:r>
      </w:hyperlink>
      <w:r>
        <w:rPr>
          <w:rFonts w:ascii="Songti SC" w:hAnsi="Songti SC" w:eastAsia="Songti SC"/>
          <w:b w:val="0"/>
          <w:i/>
          <w:color w:val="666666"/>
          <w:sz w:val="15"/>
          <w:lang w:val="zh-CN" w:eastAsia="zh-CN"/>
        </w:rPr>
        <w:t xml:space="preserve">; </w:t>
      </w:r>
      <w:hyperlink r:id="rId11">
        <w:r>
          <w:rPr>
            <w:color w:val="0563C1"/>
            <w:u w:val="single"/>
            <w:rFonts w:ascii="Songti SC" w:hAnsi="Songti SC" w:eastAsia="Songti SC"/>
            <w:sz w:val="15"/>
            <w:lang w:val="zh-CN" w:eastAsia="zh-CN"/>
          </w:rPr>
          <w:t>本报告预测</w:t>
        </w:r>
      </w:hyperlink>
      <w:r>
        <w:rPr>
          <w:rFonts w:ascii="Songti SC" w:hAnsi="Songti SC" w:eastAsia="Songti SC"/>
          <w:b w:val="0"/>
          <w:i/>
          <w:color w:val="666666"/>
          <w:sz w:val="15"/>
          <w:lang w:val="zh-CN" w:eastAsia="zh-CN"/>
        </w:rPr>
        <w:t>.</w:t>
      </w:r>
    </w:p>
    <w:p>
      <w:pPr>
        <w:spacing w:before="0" w:after="90" w:line="252" w:lineRule="auto"/>
      </w:pPr>
      <w:r>
        <w:rPr>
          <w:rFonts w:ascii="Songti SC" w:hAnsi="Songti SC" w:eastAsia="Songti SC"/>
          <w:b w:val="0"/>
          <w:i w:val="0"/>
          <w:color w:val="111111"/>
          <w:sz w:val="19"/>
          <w:lang w:val="zh-CN" w:eastAsia="zh-CN"/>
        </w:rPr>
        <w:t>最大下调来自 2027 财年营业利润，因为财报前参考情景把当前稀缺性经济延伸得异常久。我们的 2027 财年模型仍假设收入增长 29%、营业利润率 75%，两者都处于极高水平。预测风险双向存在：供给更紧和 HBM 涨价可能带来上行，而更快扩产、客户库存消化或 AI 基础设施周期转弱则可能使利润率更早均值回归。</w:t>
      </w:r>
    </w:p>
    <w:p>
      <w:pPr>
        <w:spacing w:before="0" w:after="90" w:line="252" w:lineRule="auto"/>
      </w:pPr>
      <w:r>
        <w:rPr>
          <w:rFonts w:ascii="Songti SC" w:hAnsi="Songti SC" w:eastAsia="Songti SC"/>
          <w:b w:val="0"/>
          <w:i w:val="0"/>
          <w:color w:val="111111"/>
          <w:sz w:val="19"/>
          <w:lang w:val="zh-CN" w:eastAsia="zh-CN"/>
        </w:rPr>
        <w:t>季度衔接方面，我们预计第三季度收入 92 万亿韩元，基础是假设 DRAM 位元出货增长约 10%、NAND 低个位数增长且平均售价继续获得支撑；第四季度随着 HBM4 放量和年末企业需求扩大，收入升至 101 万亿韩元。第三、第四季度营业利润分别为 72 万亿和 78 万亿韩元，对应利润率约 78% 和 77%。该水平低于对第二季度毛利率扩张的机械外推，因为我们计入新品发布成本、产品迁移低效、更高折旧以及收入基数增大后的增量价差收窄。</w:t>
      </w:r>
    </w:p>
    <w:p>
      <w:pPr>
        <w:spacing w:before="0" w:after="90" w:line="252" w:lineRule="auto"/>
      </w:pPr>
      <w:r>
        <w:rPr>
          <w:rFonts w:ascii="Songti SC" w:hAnsi="Songti SC" w:eastAsia="Songti SC"/>
          <w:b w:val="0"/>
          <w:i w:val="0"/>
          <w:color w:val="111111"/>
          <w:sz w:val="19"/>
          <w:lang w:val="zh-CN" w:eastAsia="zh-CN"/>
        </w:rPr>
        <w:t>2027 财年模型把 HBM 视为结构性溢价产品，但并不假设其永久免于价格谈判。收入增至 420 万亿韩元，营业利润 315 万亿韩元，75% 营业利润率既包含持续技术领先和高产能利用，也包含相对单季峰值的适度回归。归一化净利润 242 万亿韩元来自经营利润和经常性线下项目，不延续第二季度投资收益。这一区分是估值核心：一次性按市值计量收益可以增强账面价值和流动性，却不应像持续性半导体利润一样获得市盈率。</w:t>
      </w:r>
    </w:p>
    <w:p>
      <w:pPr>
        <w:spacing w:before="0" w:after="90" w:line="252" w:lineRule="auto"/>
      </w:pPr>
      <w:r>
        <w:rPr>
          <w:rFonts w:ascii="Songti SC" w:hAnsi="Songti SC" w:eastAsia="Songti SC"/>
          <w:b w:val="0"/>
          <w:i w:val="0"/>
          <w:color w:val="111111"/>
          <w:sz w:val="19"/>
          <w:lang w:val="zh-CN" w:eastAsia="zh-CN"/>
        </w:rPr>
        <w:t>敏感度很高：2027 财年营业利润率每变化 1 个百分点，税前营业利润约变化 4.2 万亿韩元。销量与平均售价也相互作用，更强价格可能降低客户下单紧迫性或吸引供给，更快位元增长也可能要求更低综合价格。因此预测应被视为纪律严谨的中心情景，而非精确点估计。最有价值的验证指标包括 HBM 认证与出货、库存与销售关系、资本开支承诺，以及客户定金能否随长期协议继续增长。</w:t>
      </w:r>
    </w:p>
    <w:p>
      <w:r>
        <w:br w:type="page"/>
      </w:r>
    </w:p>
    <w:p>
      <w:pPr>
        <w:pStyle w:val="Heading1"/>
        <w:spacing w:before="40" w:after="100"/>
      </w:pPr>
      <w:r>
        <w:t>估值与目标价</w:t>
      </w:r>
    </w:p>
    <w:p>
      <w:pPr>
        <w:spacing w:before="0" w:after="90" w:line="252" w:lineRule="auto"/>
      </w:pPr>
      <w:r>
        <w:rPr>
          <w:rFonts w:ascii="Songti SC" w:hAnsi="Songti SC" w:eastAsia="Songti SC"/>
          <w:b w:val="0"/>
          <w:i w:val="0"/>
          <w:color w:val="111111"/>
          <w:sz w:val="19"/>
          <w:lang w:val="zh-CN" w:eastAsia="zh-CN"/>
        </w:rPr>
        <w:t>SKHY 于 7 月 31 日收于 143.73 美元，低于 149 美元 IPO 价格，上市后最高曾达 194.80 美元。价格路径同时反映市场对新上市 AI 存储龙头赋予的稀缺性溢价，以及第二季度未达高预期后的快速重估。由于 ADR 交易历史很短，常规 52 周统计意义有限；本报告所有区间均指上市以来。</w:t>
      </w:r>
    </w:p>
    <w:p>
      <w:pPr>
        <w:keepNext/>
        <w:spacing w:before="0" w:after="40" w:line="252" w:lineRule="auto"/>
      </w:pPr>
      <w:r>
        <w:rPr>
          <w:rFonts w:ascii="Songti SC" w:hAnsi="Songti SC" w:eastAsia="Songti SC"/>
          <w:b/>
          <w:i w:val="0"/>
          <w:color w:val="17365D"/>
          <w:sz w:val="17"/>
          <w:lang w:val="zh-CN" w:eastAsia="zh-CN"/>
        </w:rPr>
        <w:t>图 11：第二季度财报后 SKHY 回吐涨幅</w:t>
      </w:r>
    </w:p>
    <w:p>
      <w:pPr>
        <w:spacing w:after="20"/>
        <w:jc w:val="center"/>
      </w:pPr>
      <w:r>
        <w:drawing>
          <wp:inline xmlns:a="http://schemas.openxmlformats.org/drawingml/2006/main" xmlns:pic="http://schemas.openxmlformats.org/drawingml/2006/picture">
            <wp:extent cx="5623560" cy="2224705"/>
            <wp:docPr id="11" name="Picture 11" descr="第二季度财报后 SKHY 回吐涨幅"/>
            <wp:cNvGraphicFramePr>
              <a:graphicFrameLocks noChangeAspect="1"/>
            </wp:cNvGraphicFramePr>
            <a:graphic>
              <a:graphicData uri="http://schemas.openxmlformats.org/drawingml/2006/picture">
                <pic:pic>
                  <pic:nvPicPr>
                    <pic:cNvPr id="0" name="skhy_chart11_price.png"/>
                    <pic:cNvPicPr/>
                  </pic:nvPicPr>
                  <pic:blipFill>
                    <a:blip r:embed="rId29"/>
                    <a:stretch>
                      <a:fillRect/>
                    </a:stretch>
                  </pic:blipFill>
                  <pic:spPr>
                    <a:xfrm>
                      <a:off x="0" y="0"/>
                      <a:ext cx="5623560" cy="2224705"/>
                    </a:xfrm>
                    <a:prstGeom prst="rect"/>
                  </pic:spPr>
                </pic:pic>
              </a:graphicData>
            </a:graphic>
          </wp:inline>
        </w:drawing>
      </w:r>
    </w:p>
    <w:p>
      <w:pPr>
        <w:spacing w:before="20" w:after="80"/>
      </w:pPr>
      <w:r>
        <w:rPr>
          <w:rFonts w:ascii="Songti SC" w:hAnsi="Songti SC" w:eastAsia="Songti SC"/>
          <w:b w:val="0"/>
          <w:i/>
          <w:color w:val="666666"/>
          <w:sz w:val="15"/>
          <w:lang w:val="zh-CN" w:eastAsia="zh-CN"/>
        </w:rPr>
        <w:t>资料来源：</w:t>
      </w:r>
      <w:hyperlink r:id="rId30">
        <w:r>
          <w:rPr>
            <w:color w:val="0563C1"/>
            <w:u w:val="single"/>
            <w:rFonts w:ascii="Songti SC" w:hAnsi="Songti SC" w:eastAsia="Songti SC"/>
            <w:sz w:val="15"/>
            <w:lang w:val="zh-CN" w:eastAsia="zh-CN"/>
          </w:rPr>
          <w:t>通过 yfinance 获取的 Yahoo Finance 市场数据</w:t>
        </w:r>
      </w:hyperlink>
      <w:r>
        <w:rPr>
          <w:rFonts w:ascii="Songti SC" w:hAnsi="Songti SC" w:eastAsia="Songti SC"/>
          <w:b w:val="0"/>
          <w:i/>
          <w:color w:val="666666"/>
          <w:sz w:val="15"/>
          <w:lang w:val="zh-CN" w:eastAsia="zh-CN"/>
        </w:rPr>
        <w:t xml:space="preserve">; </w:t>
      </w:r>
      <w:hyperlink r:id="rId22">
        <w:r>
          <w:rPr>
            <w:color w:val="0563C1"/>
            <w:u w:val="single"/>
            <w:rFonts w:ascii="Songti SC" w:hAnsi="Songti SC" w:eastAsia="Songti SC"/>
            <w:sz w:val="15"/>
            <w:lang w:val="zh-CN" w:eastAsia="zh-CN"/>
          </w:rPr>
          <w:t>SEC 最终招股书</w:t>
        </w:r>
      </w:hyperlink>
      <w:r>
        <w:rPr>
          <w:rFonts w:ascii="Songti SC" w:hAnsi="Songti SC" w:eastAsia="Songti SC"/>
          <w:b w:val="0"/>
          <w:i/>
          <w:color w:val="666666"/>
          <w:sz w:val="15"/>
          <w:lang w:val="zh-CN" w:eastAsia="zh-CN"/>
        </w:rPr>
        <w:t>.</w:t>
      </w:r>
    </w:p>
    <w:p>
      <w:pPr>
        <w:spacing w:before="0" w:after="90" w:line="252" w:lineRule="auto"/>
      </w:pPr>
      <w:r>
        <w:rPr>
          <w:rFonts w:ascii="Songti SC" w:hAnsi="Songti SC" w:eastAsia="Songti SC"/>
          <w:b w:val="0"/>
          <w:i w:val="0"/>
          <w:color w:val="111111"/>
          <w:sz w:val="19"/>
          <w:lang w:val="zh-CN" w:eastAsia="zh-CN"/>
        </w:rPr>
        <w:t>175 美元目标价来自 2027 财年归一化 ADR 每股收益 23.12 美元的 7.5 倍市盈率，基础测算约 173 美元并取整。该倍数相对轻资产 AI 受益者更保守，因为 SK hynix 需要持续投入晶圆与封装产能，身处历史上强周期行业，以韩元报告，并使 ADR 持有人承担治理与汇率复杂性；但又高于传统存储周期底部倍数，因为 HBM 领先、客户长期协议和净现金改善了盈利久期与韧性。</w:t>
      </w:r>
    </w:p>
    <w:tbl>
      <w:tblPr>
        <w:tblStyle w:val="TableGrid"/>
        <w:tblW w:type="dxa" w:w="9994"/>
        <w:jc w:val="center"/>
        <w:tblLayout w:type="fixed"/>
        <w:tblLook w:firstColumn="1" w:firstRow="1" w:lastColumn="0" w:lastRow="0" w:noHBand="0" w:noVBand="1" w:val="04A0"/>
        <w:tblInd w:w="110" w:type="dxa"/>
      </w:tblPr>
      <w:tblGrid>
        <w:gridCol w:w="1520"/>
        <w:gridCol w:w="1824"/>
        <w:gridCol w:w="1216"/>
        <w:gridCol w:w="1419"/>
        <w:gridCol w:w="4015"/>
      </w:tblGrid>
      <w:tr>
        <w:trPr>
          <w:tblHeader w:val="true"/>
        </w:trPr>
        <w:tc>
          <w:tcPr>
            <w:tcW w:type="dxa" w:w="1520"/>
            <w:shd w:fill="17365D"/>
            <w:tcMar>
              <w:top w:w="80" w:type="dxa"/>
              <w:start w:w="110" w:type="dxa"/>
              <w:bottom w:w="80" w:type="dxa"/>
              <w:end w:w="110" w:type="dxa"/>
            </w:tcMar>
            <w:vAlign w:val="center"/>
          </w:tcPr>
          <w:p>
            <w:pPr>
              <w:jc w:val="center"/>
            </w:pPr>
            <w:r>
              <w:rPr>
                <w:rFonts w:ascii="Songti SC" w:hAnsi="Songti SC" w:eastAsia="Songti SC"/>
                <w:b/>
                <w:i w:val="0"/>
                <w:color w:val="FFFFFF"/>
                <w:sz w:val="16"/>
                <w:lang w:val="zh-CN" w:eastAsia="zh-CN"/>
              </w:rPr>
              <w:t>情景</w:t>
            </w:r>
          </w:p>
        </w:tc>
        <w:tc>
          <w:tcPr>
            <w:tcW w:type="dxa" w:w="1824"/>
            <w:shd w:fill="17365D"/>
            <w:tcMar>
              <w:top w:w="80" w:type="dxa"/>
              <w:start w:w="110" w:type="dxa"/>
              <w:bottom w:w="80" w:type="dxa"/>
              <w:end w:w="110" w:type="dxa"/>
            </w:tcMar>
            <w:vAlign w:val="center"/>
          </w:tcPr>
          <w:p>
            <w:pPr>
              <w:jc w:val="center"/>
            </w:pPr>
            <w:r>
              <w:rPr>
                <w:rFonts w:ascii="Songti SC" w:hAnsi="Songti SC" w:eastAsia="Songti SC"/>
                <w:b/>
                <w:i w:val="0"/>
                <w:color w:val="FFFFFF"/>
                <w:sz w:val="16"/>
                <w:lang w:val="zh-CN" w:eastAsia="zh-CN"/>
              </w:rPr>
              <w:t>FY27E ADR EPS</w:t>
            </w:r>
          </w:p>
        </w:tc>
        <w:tc>
          <w:tcPr>
            <w:tcW w:type="dxa" w:w="1216"/>
            <w:shd w:fill="17365D"/>
            <w:tcMar>
              <w:top w:w="80" w:type="dxa"/>
              <w:start w:w="110" w:type="dxa"/>
              <w:bottom w:w="80" w:type="dxa"/>
              <w:end w:w="110" w:type="dxa"/>
            </w:tcMar>
            <w:vAlign w:val="center"/>
          </w:tcPr>
          <w:p>
            <w:pPr>
              <w:jc w:val="center"/>
            </w:pPr>
            <w:r>
              <w:rPr>
                <w:rFonts w:ascii="Songti SC" w:hAnsi="Songti SC" w:eastAsia="Songti SC"/>
                <w:b/>
                <w:i w:val="0"/>
                <w:color w:val="FFFFFF"/>
                <w:sz w:val="16"/>
                <w:lang w:val="zh-CN" w:eastAsia="zh-CN"/>
              </w:rPr>
              <w:t>市盈率</w:t>
            </w:r>
          </w:p>
        </w:tc>
        <w:tc>
          <w:tcPr>
            <w:tcW w:type="dxa" w:w="1419"/>
            <w:shd w:fill="17365D"/>
            <w:tcMar>
              <w:top w:w="80" w:type="dxa"/>
              <w:start w:w="110" w:type="dxa"/>
              <w:bottom w:w="80" w:type="dxa"/>
              <w:end w:w="110" w:type="dxa"/>
            </w:tcMar>
            <w:vAlign w:val="center"/>
          </w:tcPr>
          <w:p>
            <w:pPr>
              <w:jc w:val="center"/>
            </w:pPr>
            <w:r>
              <w:rPr>
                <w:rFonts w:ascii="Songti SC" w:hAnsi="Songti SC" w:eastAsia="Songti SC"/>
                <w:b/>
                <w:i w:val="0"/>
                <w:color w:val="FFFFFF"/>
                <w:sz w:val="16"/>
                <w:lang w:val="zh-CN" w:eastAsia="zh-CN"/>
              </w:rPr>
              <w:t>价值</w:t>
            </w:r>
          </w:p>
        </w:tc>
        <w:tc>
          <w:tcPr>
            <w:tcW w:type="dxa" w:w="4015"/>
            <w:shd w:fill="17365D"/>
            <w:tcMar>
              <w:top w:w="80" w:type="dxa"/>
              <w:start w:w="110" w:type="dxa"/>
              <w:bottom w:w="80" w:type="dxa"/>
              <w:end w:w="110" w:type="dxa"/>
            </w:tcMar>
            <w:vAlign w:val="center"/>
          </w:tcPr>
          <w:p>
            <w:pPr>
              <w:jc w:val="center"/>
            </w:pPr>
            <w:r>
              <w:rPr>
                <w:rFonts w:ascii="Songti SC" w:hAnsi="Songti SC" w:eastAsia="Songti SC"/>
                <w:b/>
                <w:i w:val="0"/>
                <w:color w:val="FFFFFF"/>
                <w:sz w:val="16"/>
                <w:lang w:val="zh-CN" w:eastAsia="zh-CN"/>
              </w:rPr>
              <w:t>含义</w:t>
            </w:r>
          </w:p>
        </w:tc>
      </w:tr>
      <w:tr>
        <w:tc>
          <w:tcPr>
            <w:tcW w:type="dxa" w:w="1520"/>
            <w:tcMar>
              <w:top w:w="80" w:type="dxa"/>
              <w:start w:w="110" w:type="dxa"/>
              <w:bottom w:w="80" w:type="dxa"/>
              <w:end w:w="110" w:type="dxa"/>
            </w:tcMar>
            <w:vAlign w:val="center"/>
          </w:tcPr>
          <w:p>
            <w:pPr>
              <w:jc w:val="left"/>
            </w:pPr>
            <w:r>
              <w:rPr>
                <w:rFonts w:ascii="Songti SC" w:hAnsi="Songti SC" w:eastAsia="Songti SC"/>
                <w:b/>
                <w:i w:val="0"/>
                <w:color w:val="111111"/>
                <w:sz w:val="16"/>
                <w:lang w:val="zh-CN" w:eastAsia="zh-CN"/>
              </w:rPr>
              <w:t>悲观</w:t>
            </w:r>
          </w:p>
        </w:tc>
        <w:tc>
          <w:tcPr>
            <w:tcW w:type="dxa" w:w="1824"/>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18.50 美元</w:t>
            </w:r>
          </w:p>
        </w:tc>
        <w:tc>
          <w:tcPr>
            <w:tcW w:type="dxa" w:w="1216"/>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6.0 倍</w:t>
            </w:r>
          </w:p>
        </w:tc>
        <w:tc>
          <w:tcPr>
            <w:tcW w:type="dxa" w:w="1419"/>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111 美元</w:t>
            </w:r>
          </w:p>
        </w:tc>
        <w:tc>
          <w:tcPr>
            <w:tcW w:type="dxa" w:w="4015"/>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供给更早反应、利润率回归</w:t>
            </w:r>
          </w:p>
        </w:tc>
      </w:tr>
      <w:tr>
        <w:tc>
          <w:tcPr>
            <w:tcW w:type="dxa" w:w="1520"/>
            <w:shd w:fill="F2F4F7"/>
            <w:tcMar>
              <w:top w:w="80" w:type="dxa"/>
              <w:start w:w="110" w:type="dxa"/>
              <w:bottom w:w="80" w:type="dxa"/>
              <w:end w:w="110" w:type="dxa"/>
            </w:tcMar>
            <w:vAlign w:val="center"/>
          </w:tcPr>
          <w:p>
            <w:pPr>
              <w:jc w:val="left"/>
            </w:pPr>
            <w:r>
              <w:rPr>
                <w:rFonts w:ascii="Songti SC" w:hAnsi="Songti SC" w:eastAsia="Songti SC"/>
                <w:b/>
                <w:i w:val="0"/>
                <w:color w:val="111111"/>
                <w:sz w:val="16"/>
                <w:lang w:val="zh-CN" w:eastAsia="zh-CN"/>
              </w:rPr>
              <w:t>基准</w:t>
            </w:r>
          </w:p>
        </w:tc>
        <w:tc>
          <w:tcPr>
            <w:tcW w:type="dxa" w:w="1824"/>
            <w:shd w:fill="F2F4F7"/>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23.12 美元</w:t>
            </w:r>
          </w:p>
        </w:tc>
        <w:tc>
          <w:tcPr>
            <w:tcW w:type="dxa" w:w="1216"/>
            <w:shd w:fill="F2F4F7"/>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7.5 倍</w:t>
            </w:r>
          </w:p>
        </w:tc>
        <w:tc>
          <w:tcPr>
            <w:tcW w:type="dxa" w:w="1419"/>
            <w:shd w:fill="F2F4F7"/>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173 美元</w:t>
            </w:r>
          </w:p>
        </w:tc>
        <w:tc>
          <w:tcPr>
            <w:tcW w:type="dxa" w:w="4015"/>
            <w:shd w:fill="F2F4F7"/>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取整目标价 175 美元</w:t>
            </w:r>
          </w:p>
        </w:tc>
      </w:tr>
      <w:tr>
        <w:tc>
          <w:tcPr>
            <w:tcW w:type="dxa" w:w="1520"/>
            <w:tcMar>
              <w:top w:w="80" w:type="dxa"/>
              <w:start w:w="110" w:type="dxa"/>
              <w:bottom w:w="80" w:type="dxa"/>
              <w:end w:w="110" w:type="dxa"/>
            </w:tcMar>
            <w:vAlign w:val="center"/>
          </w:tcPr>
          <w:p>
            <w:pPr>
              <w:jc w:val="left"/>
            </w:pPr>
            <w:r>
              <w:rPr>
                <w:rFonts w:ascii="Songti SC" w:hAnsi="Songti SC" w:eastAsia="Songti SC"/>
                <w:b/>
                <w:i w:val="0"/>
                <w:color w:val="111111"/>
                <w:sz w:val="16"/>
                <w:lang w:val="zh-CN" w:eastAsia="zh-CN"/>
              </w:rPr>
              <w:t>乐观</w:t>
            </w:r>
          </w:p>
        </w:tc>
        <w:tc>
          <w:tcPr>
            <w:tcW w:type="dxa" w:w="1824"/>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27.00 美元</w:t>
            </w:r>
          </w:p>
        </w:tc>
        <w:tc>
          <w:tcPr>
            <w:tcW w:type="dxa" w:w="1216"/>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9.0 倍</w:t>
            </w:r>
          </w:p>
        </w:tc>
        <w:tc>
          <w:tcPr>
            <w:tcW w:type="dxa" w:w="1419"/>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243 美元</w:t>
            </w:r>
          </w:p>
        </w:tc>
        <w:tc>
          <w:tcPr>
            <w:tcW w:type="dxa" w:w="4015"/>
            <w:tcMar>
              <w:top w:w="80" w:type="dxa"/>
              <w:start w:w="110" w:type="dxa"/>
              <w:bottom w:w="80" w:type="dxa"/>
              <w:end w:w="110" w:type="dxa"/>
            </w:tcMar>
            <w:vAlign w:val="center"/>
          </w:tcPr>
          <w:p>
            <w:pPr>
              <w:jc w:val="center"/>
            </w:pPr>
            <w:r>
              <w:rPr>
                <w:rFonts w:ascii="Songti SC" w:hAnsi="Songti SC" w:eastAsia="Songti SC"/>
                <w:b w:val="0"/>
                <w:i w:val="0"/>
                <w:color w:val="111111"/>
                <w:sz w:val="16"/>
                <w:lang w:val="zh-CN" w:eastAsia="zh-CN"/>
              </w:rPr>
              <w:t>HBM 稀缺与长期协议延长高盈利</w:t>
            </w:r>
          </w:p>
        </w:tc>
      </w:tr>
    </w:tbl>
    <w:p>
      <w:pPr>
        <w:keepNext/>
        <w:spacing w:before="0" w:after="40" w:line="252" w:lineRule="auto"/>
      </w:pPr>
      <w:r>
        <w:rPr>
          <w:rFonts w:ascii="Songti SC" w:hAnsi="Songti SC" w:eastAsia="Songti SC"/>
          <w:b/>
          <w:i w:val="0"/>
          <w:color w:val="17365D"/>
          <w:sz w:val="17"/>
          <w:lang w:val="zh-CN" w:eastAsia="zh-CN"/>
        </w:rPr>
        <w:t>图 12：情景估值区间为每份 ADS 111–243 美元</w:t>
      </w:r>
    </w:p>
    <w:p>
      <w:pPr>
        <w:spacing w:after="20"/>
        <w:jc w:val="center"/>
      </w:pPr>
      <w:r>
        <w:drawing>
          <wp:inline xmlns:a="http://schemas.openxmlformats.org/drawingml/2006/main" xmlns:pic="http://schemas.openxmlformats.org/drawingml/2006/picture">
            <wp:extent cx="5623560" cy="2226709"/>
            <wp:docPr id="12" name="Picture 12" descr="情景估值区间为每份 ADS 111–243 美元"/>
            <wp:cNvGraphicFramePr>
              <a:graphicFrameLocks noChangeAspect="1"/>
            </wp:cNvGraphicFramePr>
            <a:graphic>
              <a:graphicData uri="http://schemas.openxmlformats.org/drawingml/2006/picture">
                <pic:pic>
                  <pic:nvPicPr>
                    <pic:cNvPr id="0" name="skhy_chart12_valuation.png"/>
                    <pic:cNvPicPr/>
                  </pic:nvPicPr>
                  <pic:blipFill>
                    <a:blip r:embed="rId31"/>
                    <a:stretch>
                      <a:fillRect/>
                    </a:stretch>
                  </pic:blipFill>
                  <pic:spPr>
                    <a:xfrm>
                      <a:off x="0" y="0"/>
                      <a:ext cx="5623560" cy="2226709"/>
                    </a:xfrm>
                    <a:prstGeom prst="rect"/>
                  </pic:spPr>
                </pic:pic>
              </a:graphicData>
            </a:graphic>
          </wp:inline>
        </w:drawing>
      </w:r>
    </w:p>
    <w:p>
      <w:pPr>
        <w:spacing w:before="20" w:after="80"/>
      </w:pPr>
      <w:r>
        <w:rPr>
          <w:rFonts w:ascii="Songti SC" w:hAnsi="Songti SC" w:eastAsia="Songti SC"/>
          <w:b w:val="0"/>
          <w:i/>
          <w:color w:val="666666"/>
          <w:sz w:val="15"/>
          <w:lang w:val="zh-CN" w:eastAsia="zh-CN"/>
        </w:rPr>
        <w:t>资料来源：</w:t>
      </w:r>
      <w:hyperlink r:id="rId22">
        <w:r>
          <w:rPr>
            <w:color w:val="0563C1"/>
            <w:u w:val="single"/>
            <w:rFonts w:ascii="Songti SC" w:hAnsi="Songti SC" w:eastAsia="Songti SC"/>
            <w:sz w:val="15"/>
            <w:lang w:val="zh-CN" w:eastAsia="zh-CN"/>
          </w:rPr>
          <w:t>公司招股书股本数据</w:t>
        </w:r>
      </w:hyperlink>
      <w:r>
        <w:rPr>
          <w:rFonts w:ascii="Songti SC" w:hAnsi="Songti SC" w:eastAsia="Songti SC"/>
          <w:b w:val="0"/>
          <w:i/>
          <w:color w:val="666666"/>
          <w:sz w:val="15"/>
          <w:lang w:val="zh-CN" w:eastAsia="zh-CN"/>
        </w:rPr>
        <w:t xml:space="preserve">; </w:t>
      </w:r>
      <w:hyperlink r:id="rId11">
        <w:r>
          <w:rPr>
            <w:color w:val="0563C1"/>
            <w:u w:val="single"/>
            <w:rFonts w:ascii="Songti SC" w:hAnsi="Songti SC" w:eastAsia="Songti SC"/>
            <w:sz w:val="15"/>
            <w:lang w:val="zh-CN" w:eastAsia="zh-CN"/>
          </w:rPr>
          <w:t>本报告预测与估值</w:t>
        </w:r>
      </w:hyperlink>
      <w:r>
        <w:rPr>
          <w:rFonts w:ascii="Songti SC" w:hAnsi="Songti SC" w:eastAsia="Songti SC"/>
          <w:b w:val="0"/>
          <w:i/>
          <w:color w:val="666666"/>
          <w:sz w:val="15"/>
          <w:lang w:val="zh-CN" w:eastAsia="zh-CN"/>
        </w:rPr>
        <w:t>.</w:t>
      </w:r>
    </w:p>
    <w:p>
      <w:r>
        <w:br w:type="page"/>
      </w:r>
    </w:p>
    <w:p>
      <w:pPr>
        <w:pStyle w:val="Heading1"/>
        <w:spacing w:before="40" w:after="100"/>
      </w:pPr>
      <w:r>
        <w:t>投资逻辑、催化剂与风险</w:t>
      </w:r>
    </w:p>
    <w:p>
      <w:pPr>
        <w:pStyle w:val="Heading2"/>
        <w:spacing w:before="20" w:after="100"/>
      </w:pPr>
      <w:r>
        <w:t>三大投资支柱</w:t>
      </w:r>
    </w:p>
    <w:p>
      <w:pPr>
        <w:pStyle w:val="ListBullet"/>
        <w:spacing w:after="90"/>
        <w:ind w:left="288" w:hanging="173"/>
      </w:pPr>
      <w:r>
        <w:rPr>
          <w:rFonts w:ascii="Songti SC" w:hAnsi="Songti SC" w:eastAsia="Songti SC"/>
          <w:b/>
          <w:i w:val="0"/>
          <w:color w:val="17365D"/>
          <w:sz w:val="19"/>
          <w:lang w:val="zh-CN" w:eastAsia="zh-CN"/>
        </w:rPr>
        <w:t xml:space="preserve">1. AI 存储强度结构性上升。 </w:t>
      </w:r>
      <w:r>
        <w:rPr>
          <w:rFonts w:ascii="Songti SC" w:hAnsi="Songti SC" w:eastAsia="Songti SC"/>
          <w:b w:val="0"/>
          <w:i w:val="0"/>
          <w:color w:val="111111"/>
          <w:sz w:val="19"/>
          <w:lang w:val="zh-CN" w:eastAsia="zh-CN"/>
        </w:rPr>
        <w:t>每颗加速器和每台 AI 服务器所需的存储容量与带宽持续提高。HBM4 出货和 HBM4E 送样使 SK hynix 位于这一趋势中心，SOCAMM2 则开辟低功耗、高容量服务器存储的相邻机会。</w:t>
      </w:r>
    </w:p>
    <w:p>
      <w:pPr>
        <w:pStyle w:val="ListBullet"/>
        <w:spacing w:after="90"/>
        <w:ind w:left="288" w:hanging="173"/>
      </w:pPr>
      <w:r>
        <w:rPr>
          <w:rFonts w:ascii="Songti SC" w:hAnsi="Songti SC" w:eastAsia="Songti SC"/>
          <w:b/>
          <w:i w:val="0"/>
          <w:color w:val="17365D"/>
          <w:sz w:val="19"/>
          <w:lang w:val="zh-CN" w:eastAsia="zh-CN"/>
        </w:rPr>
        <w:t xml:space="preserve">2. 可见度与技术领先。 </w:t>
      </w:r>
      <w:r>
        <w:rPr>
          <w:rFonts w:ascii="Songti SC" w:hAnsi="Songti SC" w:eastAsia="Songti SC"/>
          <w:b w:val="0"/>
          <w:i w:val="0"/>
          <w:color w:val="111111"/>
          <w:sz w:val="19"/>
          <w:lang w:val="zh-CN" w:eastAsia="zh-CN"/>
        </w:rPr>
        <w:t>客户长期协议、定金和波动共担条款使需求规划较以往商品周期更稳定。领先 DRAM 节点、321 层 NAND 和先进封装提供保持价格与成本优势的路径，前提是执行按计划推进。</w:t>
      </w:r>
    </w:p>
    <w:p>
      <w:pPr>
        <w:pStyle w:val="ListBullet"/>
        <w:spacing w:after="90"/>
        <w:ind w:left="288" w:hanging="173"/>
      </w:pPr>
      <w:r>
        <w:rPr>
          <w:rFonts w:ascii="Songti SC" w:hAnsi="Songti SC" w:eastAsia="Songti SC"/>
          <w:b/>
          <w:i w:val="0"/>
          <w:color w:val="17365D"/>
          <w:sz w:val="19"/>
          <w:lang w:val="zh-CN" w:eastAsia="zh-CN"/>
        </w:rPr>
        <w:t xml:space="preserve">3. 资产负债表转型。 </w:t>
      </w:r>
      <w:r>
        <w:rPr>
          <w:rFonts w:ascii="Songti SC" w:hAnsi="Songti SC" w:eastAsia="Songti SC"/>
          <w:b w:val="0"/>
          <w:i w:val="0"/>
          <w:color w:val="111111"/>
          <w:sz w:val="19"/>
          <w:lang w:val="zh-CN" w:eastAsia="zh-CN"/>
        </w:rPr>
        <w:t>69.4 万亿韩元净现金和强劲经营现金流降低融资风险，恰逢公司加速 M15X、龙仁第一晶圆厂与封装产能。更强资产负债表同时支持增长投资和未来下行周期韧性。</w:t>
      </w:r>
    </w:p>
    <w:p>
      <w:pPr>
        <w:pStyle w:val="Heading2"/>
        <w:spacing w:before="20" w:after="100"/>
      </w:pPr>
      <w:r>
        <w:t>催化剂日历</w:t>
      </w:r>
    </w:p>
    <w:p>
      <w:pPr>
        <w:pStyle w:val="ListBullet"/>
        <w:spacing w:after="90"/>
        <w:ind w:left="288" w:hanging="173"/>
      </w:pPr>
      <w:r>
        <w:rPr>
          <w:rFonts w:ascii="Songti SC" w:hAnsi="Songti SC" w:eastAsia="Songti SC"/>
          <w:b/>
          <w:i w:val="0"/>
          <w:color w:val="17365D"/>
          <w:sz w:val="19"/>
          <w:lang w:val="zh-CN" w:eastAsia="zh-CN"/>
        </w:rPr>
        <w:t xml:space="preserve">2026 年 8–10 月： </w:t>
      </w:r>
      <w:r>
        <w:rPr>
          <w:rFonts w:ascii="Songti SC" w:hAnsi="Songti SC" w:eastAsia="Songti SC"/>
          <w:b w:val="0"/>
          <w:i w:val="0"/>
          <w:color w:val="111111"/>
          <w:sz w:val="19"/>
          <w:lang w:val="zh-CN" w:eastAsia="zh-CN"/>
        </w:rPr>
        <w:t>HBM4 放量、1c DRAM 与 SOCAMM2 认证，以及 321 层 NAND 组合提升的证据。第三季度业绩将验证 DRAM 位元出货环比约增 10% 和 NAND 低个位数增长指标。</w:t>
      </w:r>
    </w:p>
    <w:p>
      <w:pPr>
        <w:pStyle w:val="ListBullet"/>
        <w:spacing w:after="90"/>
        <w:ind w:left="288" w:hanging="173"/>
      </w:pPr>
      <w:r>
        <w:rPr>
          <w:rFonts w:ascii="Songti SC" w:hAnsi="Songti SC" w:eastAsia="Songti SC"/>
          <w:b/>
          <w:i w:val="0"/>
          <w:color w:val="17365D"/>
          <w:sz w:val="19"/>
          <w:lang w:val="zh-CN" w:eastAsia="zh-CN"/>
        </w:rPr>
        <w:t xml:space="preserve">2026 年下半年： </w:t>
      </w:r>
      <w:r>
        <w:rPr>
          <w:rFonts w:ascii="Songti SC" w:hAnsi="Songti SC" w:eastAsia="Songti SC"/>
          <w:b w:val="0"/>
          <w:i w:val="0"/>
          <w:color w:val="111111"/>
          <w:sz w:val="19"/>
          <w:lang w:val="zh-CN" w:eastAsia="zh-CN"/>
        </w:rPr>
        <w:t>更多 HBM4/HBM4E 客户认证、长期协议披露与客户定金可能提高 2027 财年可见度。AI 加速器发布时间表是主要外部时点变量。</w:t>
      </w:r>
    </w:p>
    <w:p>
      <w:pPr>
        <w:pStyle w:val="ListBullet"/>
        <w:spacing w:after="90"/>
        <w:ind w:left="288" w:hanging="173"/>
      </w:pPr>
      <w:r>
        <w:rPr>
          <w:rFonts w:ascii="Songti SC" w:hAnsi="Songti SC" w:eastAsia="Songti SC"/>
          <w:b/>
          <w:i w:val="0"/>
          <w:color w:val="17365D"/>
          <w:sz w:val="19"/>
          <w:lang w:val="zh-CN" w:eastAsia="zh-CN"/>
        </w:rPr>
        <w:t xml:space="preserve">2027 年初： </w:t>
      </w:r>
      <w:r>
        <w:rPr>
          <w:rFonts w:ascii="Songti SC" w:hAnsi="Songti SC" w:eastAsia="Songti SC"/>
          <w:b w:val="0"/>
          <w:i w:val="0"/>
          <w:color w:val="111111"/>
          <w:sz w:val="19"/>
          <w:lang w:val="zh-CN" w:eastAsia="zh-CN"/>
        </w:rPr>
        <w:t>M15X 和龙仁第一晶圆厂里程碑将决定供给增长、资本效率和当前利润率的可持续性。P&amp;T7 与 M17 分阶段爬坡将决定封装是瓶颈还是竞争优势。</w:t>
      </w:r>
    </w:p>
    <w:p>
      <w:pPr>
        <w:pStyle w:val="Heading2"/>
        <w:spacing w:before="20" w:after="100"/>
      </w:pPr>
      <w:r>
        <w:t>主要风险</w:t>
      </w:r>
    </w:p>
    <w:p>
      <w:pPr>
        <w:pStyle w:val="ListBullet"/>
        <w:spacing w:after="90"/>
        <w:ind w:left="288" w:hanging="173"/>
      </w:pPr>
      <w:r>
        <w:rPr>
          <w:rFonts w:ascii="Songti SC" w:hAnsi="Songti SC" w:eastAsia="Songti SC"/>
          <w:b/>
          <w:i w:val="0"/>
          <w:color w:val="C0392B"/>
          <w:sz w:val="19"/>
          <w:lang w:val="zh-CN" w:eastAsia="zh-CN"/>
        </w:rPr>
        <w:t xml:space="preserve">存储周期与供给反应： </w:t>
      </w:r>
      <w:r>
        <w:rPr>
          <w:rFonts w:ascii="Songti SC" w:hAnsi="Songti SC" w:eastAsia="Songti SC"/>
          <w:b w:val="0"/>
          <w:i w:val="0"/>
          <w:color w:val="111111"/>
          <w:sz w:val="19"/>
          <w:lang w:val="zh-CN" w:eastAsia="zh-CN"/>
        </w:rPr>
        <w:t>当前利润率异常高。公司或竞争对手激进扩产可能压低平均售价，使经营杠杆比预测更快反转。</w:t>
      </w:r>
    </w:p>
    <w:p>
      <w:pPr>
        <w:pStyle w:val="ListBullet"/>
        <w:spacing w:after="90"/>
        <w:ind w:left="288" w:hanging="173"/>
      </w:pPr>
      <w:r>
        <w:rPr>
          <w:rFonts w:ascii="Songti SC" w:hAnsi="Songti SC" w:eastAsia="Songti SC"/>
          <w:b/>
          <w:i w:val="0"/>
          <w:color w:val="C0392B"/>
          <w:sz w:val="19"/>
          <w:lang w:val="zh-CN" w:eastAsia="zh-CN"/>
        </w:rPr>
        <w:t xml:space="preserve">AI 需求集中与客户议价权： </w:t>
      </w:r>
      <w:r>
        <w:rPr>
          <w:rFonts w:ascii="Songti SC" w:hAnsi="Songti SC" w:eastAsia="Songti SC"/>
          <w:b w:val="0"/>
          <w:i w:val="0"/>
          <w:color w:val="111111"/>
          <w:sz w:val="19"/>
          <w:lang w:val="zh-CN" w:eastAsia="zh-CN"/>
        </w:rPr>
        <w:t>HBM 需求依赖少数加速器和云生态。设计变化、部署延迟或客户议价权增强可能降低销量或价格实现。</w:t>
      </w:r>
    </w:p>
    <w:p>
      <w:pPr>
        <w:pStyle w:val="ListBullet"/>
        <w:spacing w:after="90"/>
        <w:ind w:left="288" w:hanging="173"/>
      </w:pPr>
      <w:r>
        <w:rPr>
          <w:rFonts w:ascii="Songti SC" w:hAnsi="Songti SC" w:eastAsia="Songti SC"/>
          <w:b/>
          <w:i w:val="0"/>
          <w:color w:val="C0392B"/>
          <w:sz w:val="19"/>
          <w:lang w:val="zh-CN" w:eastAsia="zh-CN"/>
        </w:rPr>
        <w:t xml:space="preserve">执行与资本强度： </w:t>
      </w:r>
      <w:r>
        <w:rPr>
          <w:rFonts w:ascii="Songti SC" w:hAnsi="Songti SC" w:eastAsia="Songti SC"/>
          <w:b w:val="0"/>
          <w:i w:val="0"/>
          <w:color w:val="111111"/>
          <w:sz w:val="19"/>
          <w:lang w:val="zh-CN" w:eastAsia="zh-CN"/>
        </w:rPr>
        <w:t>HBM4 良率、先进封装吞吐、节点迁移和晶圆厂进度技术复杂。40 万亿韩元高段资本开支增加折旧和执行失误成本。</w:t>
      </w:r>
    </w:p>
    <w:p>
      <w:pPr>
        <w:pStyle w:val="ListBullet"/>
        <w:spacing w:after="90"/>
        <w:ind w:left="288" w:hanging="173"/>
      </w:pPr>
      <w:r>
        <w:rPr>
          <w:rFonts w:ascii="Songti SC" w:hAnsi="Songti SC" w:eastAsia="Songti SC"/>
          <w:b/>
          <w:i w:val="0"/>
          <w:color w:val="C0392B"/>
          <w:sz w:val="19"/>
          <w:lang w:val="zh-CN" w:eastAsia="zh-CN"/>
        </w:rPr>
        <w:t xml:space="preserve">会计、估值与市场结构： </w:t>
      </w:r>
      <w:r>
        <w:rPr>
          <w:rFonts w:ascii="Songti SC" w:hAnsi="Songti SC" w:eastAsia="Songti SC"/>
          <w:b w:val="0"/>
          <w:i w:val="0"/>
          <w:color w:val="111111"/>
          <w:sz w:val="19"/>
          <w:lang w:val="zh-CN" w:eastAsia="zh-CN"/>
        </w:rPr>
        <w:t>投资收益扭曲报表净利润；ADR 交易历史短；韩元兑美元影响换算 EPS；外国私人发行人披露节奏也不同于美国本土公司的 10-Q。</w:t>
      </w:r>
    </w:p>
    <w:p>
      <w:pPr>
        <w:pStyle w:val="Heading2"/>
        <w:spacing w:before="20" w:after="100"/>
      </w:pPr>
      <w:r>
        <w:t>哪些因素会改变观点</w:t>
      </w:r>
    </w:p>
    <w:p>
      <w:pPr>
        <w:spacing w:before="0" w:after="90" w:line="252" w:lineRule="auto"/>
      </w:pPr>
      <w:r>
        <w:rPr>
          <w:rFonts w:ascii="Songti SC" w:hAnsi="Songti SC" w:eastAsia="Songti SC"/>
          <w:b w:val="0"/>
          <w:i w:val="0"/>
          <w:color w:val="111111"/>
          <w:sz w:val="19"/>
          <w:lang w:val="zh-CN" w:eastAsia="zh-CN"/>
        </w:rPr>
        <w:t>若 HBM4 在更多客户中完成认证且良率代价有限，客户长期协议转化为定金和有约束力的采购量，库存增速低于收入，同时已宣布扩产后的自由现金流仍然强劲，我们会进一步上调观点。若能更清楚证明先进封装而非晶圆供给才是限制因素，也支持更高估值倍数，因为这降低商品式快速过剩概率。反之，若客户重复下单、重议价格公式或延迟加速器部署，即使近期报表收入仍强，也会削弱高盈利持续时间。</w:t>
      </w:r>
    </w:p>
    <w:p>
      <w:pPr>
        <w:spacing w:before="0" w:after="90" w:line="252" w:lineRule="auto"/>
      </w:pPr>
      <w:r>
        <w:rPr>
          <w:rFonts w:ascii="Songti SC" w:hAnsi="Songti SC" w:eastAsia="Songti SC"/>
          <w:b w:val="0"/>
          <w:i w:val="0"/>
          <w:color w:val="111111"/>
          <w:sz w:val="19"/>
          <w:lang w:val="zh-CN" w:eastAsia="zh-CN"/>
        </w:rPr>
        <w:t>最重要的下行触发因素并非单季不及预期，而是价格/成本轨迹发生变化。若平均售价持续环比下降，同时折旧上升，利润率将受到双向挤压。若资本开支在缺乏相应客户承诺时显著高于 40 万亿韩元高段，应收账款或库存连续快于收入增长，或 HBM4E 认证推迟到更晚平台周期，我们也会重新评估评级。因此 175 美元目标价带有明确执行门槛；达成这些门槛可使估值向乐观情景迁移，同时错过多项则会使估值接近悲观情景。</w:t>
      </w:r>
    </w:p>
    <w:p>
      <w:pPr>
        <w:spacing w:before="0" w:after="90" w:line="252" w:lineRule="auto"/>
      </w:pPr>
      <w:r>
        <w:rPr>
          <w:rFonts w:ascii="Songti SC" w:hAnsi="Songti SC" w:eastAsia="Songti SC"/>
          <w:b w:val="0"/>
          <w:i w:val="0"/>
          <w:color w:val="666666"/>
          <w:sz w:val="17"/>
          <w:lang w:val="zh-CN" w:eastAsia="zh-CN"/>
        </w:rPr>
        <w:t>评级定义：“增持”表示未来 12 个月预期总回报高于分析师所选行业基准。评级与目标价是基于情景的观点，并非保证。投资者应按存储周期波动和新上市 ADR 流动性特征控制仓位。</w:t>
      </w:r>
    </w:p>
    <w:p>
      <w:r>
        <w:br w:type="page"/>
      </w:r>
    </w:p>
    <w:p>
      <w:pPr>
        <w:pStyle w:val="Heading1"/>
        <w:spacing w:before="40" w:after="100"/>
      </w:pPr>
      <w:r>
        <w:t>资料来源、方法与披露</w:t>
      </w:r>
    </w:p>
    <w:p>
      <w:pPr>
        <w:spacing w:before="0" w:after="90" w:line="252" w:lineRule="auto"/>
      </w:pPr>
      <w:r>
        <w:rPr>
          <w:rFonts w:ascii="Songti SC" w:hAnsi="Songti SC" w:eastAsia="Songti SC"/>
          <w:b/>
          <w:i w:val="0"/>
          <w:color w:val="17365D"/>
          <w:sz w:val="21"/>
          <w:lang w:val="zh-CN" w:eastAsia="zh-CN"/>
        </w:rPr>
        <w:t>一手资料层级</w:t>
      </w:r>
    </w:p>
    <w:p>
      <w:pPr>
        <w:spacing w:before="0" w:after="90" w:line="252" w:lineRule="auto"/>
      </w:pPr>
      <w:r>
        <w:rPr>
          <w:rFonts w:ascii="Songti SC" w:hAnsi="Songti SC" w:eastAsia="Songti SC"/>
          <w:b w:val="0"/>
          <w:i w:val="0"/>
          <w:color w:val="111111"/>
          <w:sz w:val="19"/>
          <w:lang w:val="zh-CN" w:eastAsia="zh-CN"/>
        </w:rPr>
        <w:t>财务报表、运营指标与管理层展望来自 SK hynix 2026 年 7 月 29 日财报公告、官方第二季度业绩演示和官方电话会音频回放。历史季度序列采用公司对应季度演示材料。SEC Form 6-K 用于确认电话会安排，最终 424B4 招股书提供 ADS 比例、发行规模、价格、发行后股本和净募资数据。报告准备时，公司未提供官方书面电话会逐字稿。</w:t>
      </w:r>
    </w:p>
    <w:p>
      <w:pPr>
        <w:spacing w:before="0" w:after="90" w:line="252" w:lineRule="auto"/>
      </w:pPr>
      <w:r>
        <w:rPr>
          <w:rFonts w:ascii="Songti SC" w:hAnsi="Songti SC" w:eastAsia="Songti SC"/>
          <w:b w:val="0"/>
          <w:i w:val="0"/>
          <w:color w:val="111111"/>
          <w:sz w:val="19"/>
          <w:lang w:val="zh-CN" w:eastAsia="zh-CN"/>
        </w:rPr>
        <w:t>本报告在财报发布后第 4 个日历日完成，晚于理想的当日或 48 小时财报更新窗口。延迟使报告能够纳入财报后两个完整交易日和最终招股书股本数据，但市场价格与一致预期会快速变化。所列股价、市值、汇率和潜在上涨空间应视为 2026 年 7 月 31 日快照；除非明确标注更晚日期，运营与财务数据均对应截至 2026 年 6 月 30 日的季度。</w:t>
      </w:r>
    </w:p>
    <w:p>
      <w:pPr>
        <w:spacing w:before="0" w:after="90" w:line="252" w:lineRule="auto"/>
      </w:pPr>
      <w:r>
        <w:rPr>
          <w:rFonts w:ascii="Songti SC" w:hAnsi="Songti SC" w:eastAsia="Songti SC"/>
          <w:b/>
          <w:i w:val="0"/>
          <w:color w:val="17365D"/>
          <w:sz w:val="21"/>
          <w:lang w:val="zh-CN" w:eastAsia="zh-CN"/>
        </w:rPr>
        <w:t>一致预期与市场数据</w:t>
      </w:r>
    </w:p>
    <w:p>
      <w:pPr>
        <w:spacing w:before="0" w:after="90" w:line="252" w:lineRule="auto"/>
      </w:pPr>
      <w:r>
        <w:rPr>
          <w:rFonts w:ascii="Songti SC" w:hAnsi="Songti SC" w:eastAsia="Songti SC"/>
          <w:b w:val="0"/>
          <w:i w:val="0"/>
          <w:color w:val="111111"/>
          <w:sz w:val="19"/>
          <w:lang w:val="zh-CN" w:eastAsia="zh-CN"/>
        </w:rPr>
        <w:t>财报前一致预期采用韩联社 2026 年 7 月 26 日报道的 14 家韩国券商平均值。“原预测”外部参考来自韩华证券 2026 年 6 月 22 日研究，并非我们此前覆盖。SKHY 股价、市值和交易区间在 7 月 31 日收盘后通过 yfinance 动态获取。由于 ADR 历史很短，展示区间是上市以来而非完整 52 周。</w:t>
      </w:r>
    </w:p>
    <w:p>
      <w:pPr>
        <w:spacing w:before="0" w:after="90" w:line="252" w:lineRule="auto"/>
      </w:pPr>
      <w:r>
        <w:rPr>
          <w:rFonts w:ascii="Songti SC" w:hAnsi="Songti SC" w:eastAsia="Songti SC"/>
          <w:b/>
          <w:i w:val="0"/>
          <w:color w:val="17365D"/>
          <w:sz w:val="21"/>
          <w:lang w:val="zh-CN" w:eastAsia="zh-CN"/>
        </w:rPr>
        <w:t>分析口径</w:t>
      </w:r>
    </w:p>
    <w:p>
      <w:pPr>
        <w:spacing w:before="0" w:after="90" w:line="252" w:lineRule="auto"/>
      </w:pPr>
      <w:r>
        <w:rPr>
          <w:rFonts w:ascii="Songti SC" w:hAnsi="Songti SC" w:eastAsia="Songti SC"/>
          <w:b w:val="0"/>
          <w:i w:val="0"/>
          <w:color w:val="111111"/>
          <w:sz w:val="19"/>
          <w:lang w:val="zh-CN" w:eastAsia="zh-CN"/>
        </w:rPr>
        <w:t>除特别说明外，所有财务数据均以韩元计，合计数可能因四舍五入存在差异。归一化净利润按 23.5% 示意税率剔除公司披露的第一、第二季度投资资产估值收益；这是本报告估算，并非公司非 GAAP 指标。ADR EPS 使用发行后 7.288655 亿股普通股、每份 ADS 代表 0.1 股普通股以及 1 美元兑 1,436.6 韩元。自由现金流定义为经营现金流减购置物业、厂房及设备，不含其他投资现金流。目标价上涨空间不含股息。</w:t>
      </w:r>
    </w:p>
    <w:p>
      <w:pPr>
        <w:spacing w:before="0" w:after="90" w:line="252" w:lineRule="auto"/>
      </w:pPr>
      <w:r>
        <w:rPr>
          <w:rFonts w:ascii="Songti SC" w:hAnsi="Songti SC" w:eastAsia="Songti SC"/>
          <w:b/>
          <w:i w:val="0"/>
          <w:color w:val="17365D"/>
          <w:sz w:val="21"/>
          <w:lang w:val="zh-CN" w:eastAsia="zh-CN"/>
        </w:rPr>
        <w:t>重要披露</w:t>
      </w:r>
    </w:p>
    <w:p>
      <w:pPr>
        <w:spacing w:before="0" w:after="90" w:line="252" w:lineRule="auto"/>
      </w:pPr>
      <w:r>
        <w:rPr>
          <w:rFonts w:ascii="Songti SC" w:hAnsi="Songti SC" w:eastAsia="Songti SC"/>
          <w:b w:val="0"/>
          <w:i w:val="0"/>
          <w:color w:val="111111"/>
          <w:sz w:val="19"/>
          <w:lang w:val="zh-CN" w:eastAsia="zh-CN"/>
        </w:rPr>
        <w:t>本报告为独立分析研究，仅供信息参考，不构成投资建议、要约、招揽或受托建议。预测与估值依赖可能被证伪的假设。存储半导体具有周期性和资本密集特征，并面临技术、地缘政治、客户集中、汇率及供应链风险。读者应核阅一手披露，并根据自身情况获取专业意见。</w:t>
      </w:r>
    </w:p>
    <w:p>
      <w:pPr>
        <w:pStyle w:val="Heading2"/>
        <w:spacing w:before="20" w:after="100"/>
      </w:pPr>
      <w:r>
        <w:t>参考链接</w:t>
      </w:r>
    </w:p>
    <w:p>
      <w:pPr>
        <w:pStyle w:val="ListBullet"/>
        <w:spacing w:after="40"/>
        <w:ind w:left="288"/>
      </w:pPr>
      <w:hyperlink r:id="rId11">
        <w:r>
          <w:rPr>
            <w:color w:val="0563C1"/>
            <w:u w:val="single"/>
            <w:rFonts w:ascii="Songti SC" w:hAnsi="Songti SC" w:eastAsia="Songti SC"/>
            <w:sz w:val="17"/>
            <w:lang w:val="zh-CN" w:eastAsia="zh-CN"/>
          </w:rPr>
          <w:t>SK hynix 2Q26 财报公告</w:t>
        </w:r>
      </w:hyperlink>
    </w:p>
    <w:p>
      <w:pPr>
        <w:pStyle w:val="ListBullet"/>
        <w:spacing w:after="40"/>
        <w:ind w:left="288"/>
      </w:pPr>
      <w:hyperlink r:id="rId14">
        <w:r>
          <w:rPr>
            <w:color w:val="0563C1"/>
            <w:u w:val="single"/>
            <w:rFonts w:ascii="Songti SC" w:hAnsi="Songti SC" w:eastAsia="Songti SC"/>
            <w:sz w:val="17"/>
            <w:lang w:val="zh-CN" w:eastAsia="zh-CN"/>
          </w:rPr>
          <w:t>官方 2Q26 业绩演示</w:t>
        </w:r>
      </w:hyperlink>
    </w:p>
    <w:p>
      <w:pPr>
        <w:pStyle w:val="ListBullet"/>
        <w:spacing w:after="40"/>
        <w:ind w:left="288"/>
      </w:pPr>
      <w:hyperlink r:id="rId25">
        <w:r>
          <w:rPr>
            <w:color w:val="0563C1"/>
            <w:u w:val="single"/>
            <w:rFonts w:ascii="Songti SC" w:hAnsi="Songti SC" w:eastAsia="Songti SC"/>
            <w:sz w:val="17"/>
            <w:lang w:val="zh-CN" w:eastAsia="zh-CN"/>
          </w:rPr>
          <w:t>官方电话会回放</w:t>
        </w:r>
      </w:hyperlink>
    </w:p>
    <w:p>
      <w:pPr>
        <w:pStyle w:val="ListBullet"/>
        <w:spacing w:after="40"/>
        <w:ind w:left="288"/>
      </w:pPr>
      <w:hyperlink r:id="rId26">
        <w:r>
          <w:rPr>
            <w:color w:val="0563C1"/>
            <w:u w:val="single"/>
            <w:rFonts w:ascii="Songti SC" w:hAnsi="Songti SC" w:eastAsia="Songti SC"/>
            <w:sz w:val="17"/>
            <w:lang w:val="zh-CN" w:eastAsia="zh-CN"/>
          </w:rPr>
          <w:t>SK hynix 投资者关系</w:t>
        </w:r>
      </w:hyperlink>
    </w:p>
    <w:p>
      <w:pPr>
        <w:pStyle w:val="ListBullet"/>
        <w:spacing w:after="40"/>
        <w:ind w:left="288"/>
      </w:pPr>
      <w:hyperlink r:id="rId32">
        <w:r>
          <w:rPr>
            <w:color w:val="0563C1"/>
            <w:u w:val="single"/>
            <w:rFonts w:ascii="Songti SC" w:hAnsi="Songti SC" w:eastAsia="Songti SC"/>
            <w:sz w:val="17"/>
            <w:lang w:val="zh-CN" w:eastAsia="zh-CN"/>
          </w:rPr>
          <w:t>SEC Form 6-K</w:t>
        </w:r>
      </w:hyperlink>
    </w:p>
    <w:p>
      <w:pPr>
        <w:pStyle w:val="ListBullet"/>
        <w:spacing w:after="40"/>
        <w:ind w:left="288"/>
      </w:pPr>
      <w:hyperlink r:id="rId22">
        <w:r>
          <w:rPr>
            <w:color w:val="0563C1"/>
            <w:u w:val="single"/>
            <w:rFonts w:ascii="Songti SC" w:hAnsi="Songti SC" w:eastAsia="Songti SC"/>
            <w:sz w:val="17"/>
            <w:lang w:val="zh-CN" w:eastAsia="zh-CN"/>
          </w:rPr>
          <w:t>SEC 最终 424B4 招股书</w:t>
        </w:r>
      </w:hyperlink>
    </w:p>
    <w:p>
      <w:pPr>
        <w:pStyle w:val="ListBullet"/>
        <w:spacing w:after="40"/>
        <w:ind w:left="288"/>
      </w:pPr>
      <w:hyperlink r:id="rId12">
        <w:r>
          <w:rPr>
            <w:color w:val="0563C1"/>
            <w:u w:val="single"/>
            <w:rFonts w:ascii="Songti SC" w:hAnsi="Songti SC" w:eastAsia="Songti SC"/>
            <w:sz w:val="17"/>
            <w:lang w:val="zh-CN" w:eastAsia="zh-CN"/>
          </w:rPr>
          <w:t>韩联社财报前一致预期</w:t>
        </w:r>
      </w:hyperlink>
    </w:p>
    <w:p>
      <w:pPr>
        <w:pStyle w:val="ListBullet"/>
        <w:spacing w:after="40"/>
        <w:ind w:left="288"/>
      </w:pPr>
      <w:hyperlink r:id="rId27">
        <w:r>
          <w:rPr>
            <w:color w:val="0563C1"/>
            <w:u w:val="single"/>
            <w:rFonts w:ascii="Songti SC" w:hAnsi="Songti SC" w:eastAsia="Songti SC"/>
            <w:sz w:val="17"/>
            <w:lang w:val="zh-CN" w:eastAsia="zh-CN"/>
          </w:rPr>
          <w:t>韩华证券财报前研究</w:t>
        </w:r>
      </w:hyperlink>
    </w:p>
    <w:p>
      <w:pPr>
        <w:pStyle w:val="ListBullet"/>
        <w:spacing w:after="40"/>
        <w:ind w:left="288"/>
      </w:pPr>
      <w:hyperlink r:id="rId16">
        <w:r>
          <w:rPr>
            <w:color w:val="0563C1"/>
            <w:u w:val="single"/>
            <w:rFonts w:ascii="Songti SC" w:hAnsi="Songti SC" w:eastAsia="Songti SC"/>
            <w:sz w:val="17"/>
            <w:lang w:val="zh-CN" w:eastAsia="zh-CN"/>
          </w:rPr>
          <w:t>SK hynix 1Q26 演示</w:t>
        </w:r>
      </w:hyperlink>
    </w:p>
    <w:p>
      <w:pPr>
        <w:pStyle w:val="ListBullet"/>
        <w:spacing w:after="40"/>
        <w:ind w:left="288"/>
      </w:pPr>
      <w:hyperlink r:id="rId33">
        <w:r>
          <w:rPr>
            <w:color w:val="0563C1"/>
            <w:u w:val="single"/>
            <w:rFonts w:ascii="Songti SC" w:hAnsi="Songti SC" w:eastAsia="Songti SC"/>
            <w:sz w:val="17"/>
            <w:lang w:val="zh-CN" w:eastAsia="zh-CN"/>
          </w:rPr>
          <w:t>SK hynix 4Q25 演示</w:t>
        </w:r>
      </w:hyperlink>
    </w:p>
    <w:p>
      <w:pPr>
        <w:pStyle w:val="ListBullet"/>
        <w:spacing w:after="40"/>
        <w:ind w:left="288"/>
      </w:pPr>
      <w:hyperlink r:id="rId34">
        <w:r>
          <w:rPr>
            <w:color w:val="0563C1"/>
            <w:u w:val="single"/>
            <w:rFonts w:ascii="Songti SC" w:hAnsi="Songti SC" w:eastAsia="Songti SC"/>
            <w:sz w:val="17"/>
            <w:lang w:val="zh-CN" w:eastAsia="zh-CN"/>
          </w:rPr>
          <w:t>SK hynix 3Q25 演示</w:t>
        </w:r>
      </w:hyperlink>
    </w:p>
    <w:p>
      <w:pPr>
        <w:pStyle w:val="ListBullet"/>
        <w:spacing w:after="40"/>
        <w:ind w:left="288"/>
      </w:pPr>
      <w:hyperlink r:id="rId35">
        <w:r>
          <w:rPr>
            <w:color w:val="0563C1"/>
            <w:u w:val="single"/>
            <w:rFonts w:ascii="Songti SC" w:hAnsi="Songti SC" w:eastAsia="Songti SC"/>
            <w:sz w:val="17"/>
            <w:lang w:val="zh-CN" w:eastAsia="zh-CN"/>
          </w:rPr>
          <w:t>SK hynix 2Q25 演示</w:t>
        </w:r>
      </w:hyperlink>
    </w:p>
    <w:p>
      <w:pPr>
        <w:pStyle w:val="ListBullet"/>
        <w:spacing w:after="40"/>
        <w:ind w:left="288"/>
      </w:pPr>
      <w:hyperlink r:id="rId36">
        <w:r>
          <w:rPr>
            <w:color w:val="0563C1"/>
            <w:u w:val="single"/>
            <w:rFonts w:ascii="Songti SC" w:hAnsi="Songti SC" w:eastAsia="Songti SC"/>
            <w:sz w:val="17"/>
            <w:lang w:val="zh-CN" w:eastAsia="zh-CN"/>
          </w:rPr>
          <w:t>SK hynix 1Q25 演示</w:t>
        </w:r>
      </w:hyperlink>
    </w:p>
    <w:p>
      <w:pPr>
        <w:pStyle w:val="ListBullet"/>
        <w:spacing w:after="40"/>
        <w:ind w:left="288"/>
      </w:pPr>
      <w:hyperlink r:id="rId37">
        <w:r>
          <w:rPr>
            <w:color w:val="0563C1"/>
            <w:u w:val="single"/>
            <w:rFonts w:ascii="Songti SC" w:hAnsi="Songti SC" w:eastAsia="Songti SC"/>
            <w:sz w:val="17"/>
            <w:lang w:val="zh-CN" w:eastAsia="zh-CN"/>
          </w:rPr>
          <w:t>SK hynix 4Q24 演示</w:t>
        </w:r>
      </w:hyperlink>
    </w:p>
    <w:p>
      <w:pPr>
        <w:pStyle w:val="ListBullet"/>
        <w:spacing w:after="40"/>
        <w:ind w:left="288"/>
      </w:pPr>
      <w:hyperlink r:id="rId38">
        <w:r>
          <w:rPr>
            <w:color w:val="0563C1"/>
            <w:u w:val="single"/>
            <w:rFonts w:ascii="Songti SC" w:hAnsi="Songti SC" w:eastAsia="Songti SC"/>
            <w:sz w:val="17"/>
            <w:lang w:val="zh-CN" w:eastAsia="zh-CN"/>
          </w:rPr>
          <w:t>SK hynix 3Q24 演示</w:t>
        </w:r>
      </w:hyperlink>
    </w:p>
    <w:sectPr w:rsidR="00FC693F" w:rsidRPr="0006063C" w:rsidSect="00034616">
      <w:headerReference w:type="default" r:id="rId9"/>
      <w:footerReference w:type="default" r:id="rId10"/>
      <w:pgSz w:w="12240" w:h="15840"/>
      <w:pgMar w:top="1008" w:right="1123" w:bottom="936"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ongti SC" w:hAnsi="Songti SC" w:eastAsia="Songti SC"/>
        <w:b w:val="0"/>
        <w:i w:val="0"/>
        <w:color w:val="666666"/>
        <w:sz w:val="16"/>
        <w:lang w:val="zh-CN" w:eastAsia="zh-CN"/>
      </w:rPr>
      <w:t xml:space="preserve">SKHY Research  |  2 August 2026     </w:t>
    </w:r>
    <w:r>
      <w:rPr>
        <w:rFonts w:ascii="Times New Roman" w:hAnsi="Times New Roman" w:eastAsia="Times New Roman"/>
        <w:b w:val="0"/>
        <w:i w:val="0"/>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Songti SC" w:hAnsi="Songti SC" w:eastAsia="Songti SC"/>
        <w:b/>
        <w:i w:val="0"/>
        <w:color w:val="17365D"/>
        <w:sz w:val="16"/>
        <w:lang w:val="zh-CN" w:eastAsia="zh-CN"/>
      </w:rPr>
      <w:t>SK hynix（纳斯达克：SKHY）｜2026 财年第二季度业绩更新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Songti SC" w:hAnsi="Songti SC" w:eastAsia="Songti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iti SC" w:hAnsi="Heiti SC" w:eastAsia="Heiti SC"/>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iti SC" w:hAnsi="Heiti SC" w:eastAsia="Heiti SC"/>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Heiti SC" w:hAnsi="Heiti SC" w:eastAsia="Heiti SC"/>
      <w:b/>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ews.skhynix.com/en/q2-2026-business-results/" TargetMode="External"/><Relationship Id="rId12" Type="http://schemas.openxmlformats.org/officeDocument/2006/relationships/hyperlink" Target="https://en.yna.co.kr/view/AEN20260726000800320" TargetMode="External"/><Relationship Id="rId13" Type="http://schemas.openxmlformats.org/officeDocument/2006/relationships/image" Target="media/image1.png"/><Relationship Id="rId14" Type="http://schemas.openxmlformats.org/officeDocument/2006/relationships/hyperlink" Target="https://mis-prod-koce-homepage-cdn-01-blob-ep.azureedge.net/web/attach/13571040283022005.pdf" TargetMode="External"/><Relationship Id="rId15" Type="http://schemas.openxmlformats.org/officeDocument/2006/relationships/image" Target="media/image2.png"/><Relationship Id="rId16" Type="http://schemas.openxmlformats.org/officeDocument/2006/relationships/hyperlink" Target="https://mis-prod-koce-homepage-cdn-01-blob-ep.azureedge.net/web/attach/18333727317328069.pdf" TargetMode="Externa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yperlink" Target="https://www.sec.gov/Archives/edgar/data/2120882/000119312526299963/d32785d424b4.htm" TargetMode="External"/><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hyperlink" Target="https://irsvc.teletogether.com/hynix/hynix2026Q2_eng.php" TargetMode="External"/><Relationship Id="rId26" Type="http://schemas.openxmlformats.org/officeDocument/2006/relationships/hyperlink" Target="https://www.skhynix.com/ir/UI-FR-IR01/" TargetMode="External"/><Relationship Id="rId27" Type="http://schemas.openxmlformats.org/officeDocument/2006/relationships/hyperlink" Target="https://stock.mk.co.kr/uploads/20260622/1782105203_d85b7cf4d33e7d029f34.pdf" TargetMode="External"/><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hyperlink" Target="https://finance.yahoo.com/quote/SKHY/" TargetMode="External"/><Relationship Id="rId31" Type="http://schemas.openxmlformats.org/officeDocument/2006/relationships/image" Target="media/image12.png"/><Relationship Id="rId32" Type="http://schemas.openxmlformats.org/officeDocument/2006/relationships/hyperlink" Target="https://www.sec.gov/Archives/edgar/data/2120882/000119312526303983/d19380d6k.htm" TargetMode="External"/><Relationship Id="rId33" Type="http://schemas.openxmlformats.org/officeDocument/2006/relationships/hyperlink" Target="https://mis-prod-koce-homepage-cdn-01-blob-ep.azureedge.net/web/attach/116964051831620258.pdf" TargetMode="External"/><Relationship Id="rId34" Type="http://schemas.openxmlformats.org/officeDocument/2006/relationships/hyperlink" Target="https://mis-prod-koce-homepage-cdn-01-blob-ep.azureedge.net/web/attach/3127648149034921.pdf" TargetMode="External"/><Relationship Id="rId35" Type="http://schemas.openxmlformats.org/officeDocument/2006/relationships/hyperlink" Target="https://mis-prod-koce-homepage-cdn-01-blob-ep.azureedge.net/web/attach/40103454849895488.pdf" TargetMode="External"/><Relationship Id="rId36" Type="http://schemas.openxmlformats.org/officeDocument/2006/relationships/hyperlink" Target="https://mis-prod-koce-homepage-cdn-01-blob-ep.azureedge.net/web/attach/5001632852769028.pdf" TargetMode="External"/><Relationship Id="rId37" Type="http://schemas.openxmlformats.org/officeDocument/2006/relationships/hyperlink" Target="https://mis-prod-koce-homepage-cdn-01-blob-ep.azureedge.net/web/attach/81727201766385339.pdf" TargetMode="External"/><Relationship Id="rId38" Type="http://schemas.openxmlformats.org/officeDocument/2006/relationships/hyperlink" Target="https://mis-prod-koce-homepage-cdn-01-blob-ep.azureedge.net/web/attach/7704574190243381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 hynix 2026 财年第二季度业绩更新报告</dc:title>
  <dc:subject>Post-earnings equity research</dc:subject>
  <dc:creator>SKHY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