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47" w:lineRule="auto"/>
      </w:pPr>
      <w:r>
        <w:rPr>
          <w:rFonts w:ascii="Heiti SC" w:hAnsi="Heiti SC" w:eastAsia="Heiti SC"/>
          <w:b/>
          <w:i w:val="0"/>
          <w:color w:val="123B5D"/>
          <w:sz w:val="18"/>
          <w:lang w:val="zh-CN" w:eastAsia="zh-CN"/>
        </w:rPr>
        <w:t>西部数据公司</w:t>
      </w:r>
    </w:p>
    <w:p>
      <w:pPr>
        <w:pStyle w:val="Title"/>
        <w:keepNext w:val="0"/>
        <w:spacing w:before="0" w:after="40" w:line="247" w:lineRule="auto"/>
      </w:pPr>
      <w:r>
        <w:rPr>
          <w:rFonts w:ascii="Heiti SC" w:hAnsi="Heiti SC" w:eastAsia="Heiti SC"/>
          <w:b/>
          <w:i w:val="0"/>
          <w:color w:val="000000"/>
          <w:sz w:val="35"/>
          <w:lang w:val="zh-CN" w:eastAsia="zh-CN"/>
        </w:rPr>
        <w:t>2027 财年第一季度业绩更新</w:t>
      </w:r>
    </w:p>
    <w:p>
      <w:pPr>
        <w:keepNext w:val="0"/>
        <w:spacing w:before="0" w:after="100" w:line="247" w:lineRule="auto"/>
      </w:pPr>
      <w:r>
        <w:rPr>
          <w:rFonts w:ascii="Heiti SC" w:hAnsi="Heiti SC" w:eastAsia="Heiti SC"/>
          <w:b/>
          <w:i w:val="0"/>
          <w:color w:val="000000"/>
          <w:sz w:val="22"/>
          <w:lang w:val="zh-CN" w:eastAsia="zh-CN"/>
        </w:rPr>
        <w:t>业绩与指引双超预期验证 AI 存储周期 投资强度则限制估值扩张</w:t>
      </w:r>
    </w:p>
    <w:p>
      <w:pPr>
        <w:keepNext w:val="0"/>
        <w:spacing w:before="0" w:after="100" w:line="247" w:lineRule="auto"/>
      </w:pPr>
      <w:r>
        <w:rPr>
          <w:rFonts w:ascii="Songti SC" w:hAnsi="Songti SC" w:eastAsia="Songti SC"/>
          <w:b w:val="0"/>
          <w:i w:val="0"/>
          <w:color w:val="667085"/>
          <w:sz w:val="16"/>
          <w:lang w:val="zh-CN" w:eastAsia="zh-CN"/>
        </w:rPr>
        <w:t>2026 年 10 月 24 日｜业绩于 2026 年 10 月 22 日发布</w:t>
      </w:r>
    </w:p>
    <w:p>
      <w:pPr>
        <w:keepNext w:val="0"/>
        <w:spacing w:before="0" w:after="120" w:line="247" w:lineRule="auto"/>
      </w:pPr>
      <w:r>
        <w:rPr>
          <w:rFonts w:ascii="Heiti SC" w:hAnsi="Heiti SC" w:eastAsia="Heiti SC"/>
          <w:b/>
          <w:i w:val="0"/>
          <w:color w:val="123B5D"/>
          <w:sz w:val="20"/>
          <w:lang w:val="zh-CN" w:eastAsia="zh-CN"/>
        </w:rPr>
        <w:t>评级：跑赢大盘｜目标价：620 美元（此前 600 美元）｜股价：343.67 美元（10 月 23 日收盘）</w:t>
      </w:r>
    </w:p>
    <w:p>
      <w:pPr>
        <w:pStyle w:val="Heading2"/>
        <w:keepNext/>
        <w:spacing w:before="20" w:after="80"/>
      </w:pPr>
      <w:r>
        <w:t>业绩摘要</w:t>
      </w:r>
    </w:p>
    <w:tbl>
      <w:tblPr>
        <w:tblStyle w:val="TableGrid"/>
        <w:tblW w:type="dxa" w:w="10050"/>
        <w:jc w:val="left"/>
        <w:tblLayout w:type="fixed"/>
        <w:tblLook w:firstColumn="1" w:firstRow="1" w:lastColumn="0" w:lastRow="0" w:noHBand="0" w:noVBand="1" w:val="04A0"/>
        <w:tblInd w:type="dxa" w:w="100"/>
      </w:tblPr>
      <w:tblGrid>
        <w:gridCol w:w="2342"/>
        <w:gridCol w:w="1738"/>
        <w:gridCol w:w="2191"/>
        <w:gridCol w:w="2342"/>
        <w:gridCol w:w="1437"/>
      </w:tblGrid>
      <w:tr>
        <w:trPr>
          <w:tblHeader w:val="true"/>
        </w:trPr>
        <w:tc>
          <w:tcPr>
            <w:tcW w:type="dxa" w:w="2342"/>
            <w:shd w:fill="123B5D"/>
            <w:tcMar>
              <w:top w:w="80" w:type="dxa"/>
              <w:start w:w="120" w:type="dxa"/>
              <w:bottom w:w="80" w:type="dxa"/>
              <w:end w:w="120" w:type="dxa"/>
            </w:tcMar>
            <w:vAlign w:val="center"/>
          </w:tcPr>
          <w:p>
            <w:pPr>
              <w:jc w:val="center"/>
            </w:pPr>
            <w:r>
              <w:rPr>
                <w:rFonts w:ascii="Heiti SC" w:hAnsi="Heiti SC" w:eastAsia="Heiti SC"/>
                <w:b/>
                <w:i w:val="0"/>
                <w:color w:val="FFFFFF"/>
                <w:sz w:val="15"/>
                <w:lang w:val="zh-CN" w:eastAsia="zh-CN"/>
              </w:rPr>
              <w:t>指标</w:t>
            </w:r>
          </w:p>
        </w:tc>
        <w:tc>
          <w:tcPr>
            <w:tcW w:type="dxa" w:w="1738"/>
            <w:shd w:fill="123B5D"/>
            <w:tcMar>
              <w:top w:w="80" w:type="dxa"/>
              <w:start w:w="120" w:type="dxa"/>
              <w:bottom w:w="80" w:type="dxa"/>
              <w:end w:w="120" w:type="dxa"/>
            </w:tcMar>
            <w:vAlign w:val="center"/>
          </w:tcPr>
          <w:p>
            <w:pPr>
              <w:jc w:val="center"/>
            </w:pPr>
            <w:r>
              <w:rPr>
                <w:rFonts w:ascii="Heiti SC" w:hAnsi="Heiti SC" w:eastAsia="Heiti SC"/>
                <w:b/>
                <w:i w:val="0"/>
                <w:color w:val="FFFFFF"/>
                <w:sz w:val="15"/>
                <w:lang w:val="zh-CN" w:eastAsia="zh-CN"/>
              </w:rPr>
              <w:t>实际</w:t>
            </w:r>
          </w:p>
        </w:tc>
        <w:tc>
          <w:tcPr>
            <w:tcW w:type="dxa" w:w="2191"/>
            <w:shd w:fill="123B5D"/>
            <w:tcMar>
              <w:top w:w="80" w:type="dxa"/>
              <w:start w:w="120" w:type="dxa"/>
              <w:bottom w:w="80" w:type="dxa"/>
              <w:end w:w="120" w:type="dxa"/>
            </w:tcMar>
            <w:vAlign w:val="center"/>
          </w:tcPr>
          <w:p>
            <w:pPr>
              <w:jc w:val="center"/>
            </w:pPr>
            <w:r>
              <w:rPr>
                <w:rFonts w:ascii="Heiti SC" w:hAnsi="Heiti SC" w:eastAsia="Heiti SC"/>
                <w:b/>
                <w:i w:val="0"/>
                <w:color w:val="FFFFFF"/>
                <w:sz w:val="15"/>
                <w:lang w:val="zh-CN" w:eastAsia="zh-CN"/>
              </w:rPr>
              <w:t>一致预期</w:t>
            </w:r>
          </w:p>
        </w:tc>
        <w:tc>
          <w:tcPr>
            <w:tcW w:type="dxa" w:w="2342"/>
            <w:shd w:fill="123B5D"/>
            <w:tcMar>
              <w:top w:w="80" w:type="dxa"/>
              <w:start w:w="120" w:type="dxa"/>
              <w:bottom w:w="80" w:type="dxa"/>
              <w:end w:w="120" w:type="dxa"/>
            </w:tcMar>
            <w:vAlign w:val="center"/>
          </w:tcPr>
          <w:p>
            <w:pPr>
              <w:jc w:val="center"/>
            </w:pPr>
            <w:r>
              <w:rPr>
                <w:rFonts w:ascii="Heiti SC" w:hAnsi="Heiti SC" w:eastAsia="Heiti SC"/>
                <w:b/>
                <w:i w:val="0"/>
                <w:color w:val="FFFFFF"/>
                <w:sz w:val="15"/>
                <w:lang w:val="zh-CN" w:eastAsia="zh-CN"/>
              </w:rPr>
              <w:t>差异</w:t>
            </w:r>
          </w:p>
        </w:tc>
        <w:tc>
          <w:tcPr>
            <w:tcW w:type="dxa" w:w="1437"/>
            <w:shd w:fill="123B5D"/>
            <w:tcMar>
              <w:top w:w="80" w:type="dxa"/>
              <w:start w:w="120" w:type="dxa"/>
              <w:bottom w:w="80" w:type="dxa"/>
              <w:end w:w="120" w:type="dxa"/>
            </w:tcMar>
            <w:vAlign w:val="center"/>
          </w:tcPr>
          <w:p>
            <w:pPr>
              <w:jc w:val="center"/>
            </w:pPr>
            <w:r>
              <w:rPr>
                <w:rFonts w:ascii="Heiti SC" w:hAnsi="Heiti SC" w:eastAsia="Heiti SC"/>
                <w:b/>
                <w:i w:val="0"/>
                <w:color w:val="FFFFFF"/>
                <w:sz w:val="15"/>
                <w:lang w:val="zh-CN" w:eastAsia="zh-CN"/>
              </w:rPr>
              <w:t>同比</w:t>
            </w:r>
          </w:p>
        </w:tc>
      </w:tr>
      <w:tr>
        <w:trPr/>
        <w:tc>
          <w:tcPr>
            <w:tcW w:type="dxa" w:w="2342"/>
            <w:tcMar>
              <w:top w:w="80" w:type="dxa"/>
              <w:start w:w="120" w:type="dxa"/>
              <w:bottom w:w="80" w:type="dxa"/>
              <w:end w:w="120" w:type="dxa"/>
            </w:tcMar>
            <w:vAlign w:val="center"/>
          </w:tcPr>
          <w:p>
            <w:pPr>
              <w:jc w:val="left"/>
            </w:pPr>
            <w:r>
              <w:rPr>
                <w:rFonts w:ascii="Songti SC" w:hAnsi="Songti SC" w:eastAsia="Songti SC"/>
                <w:b/>
                <w:i w:val="0"/>
                <w:color w:val="000000"/>
                <w:sz w:val="15"/>
                <w:lang w:val="zh-CN" w:eastAsia="zh-CN"/>
              </w:rPr>
              <w:t>收入</w:t>
            </w:r>
          </w:p>
        </w:tc>
        <w:tc>
          <w:tcPr>
            <w:tcW w:type="dxa" w:w="1738"/>
            <w:tcMar>
              <w:top w:w="80" w:type="dxa"/>
              <w:start w:w="120" w:type="dxa"/>
              <w:bottom w:w="80" w:type="dxa"/>
              <w:end w:w="120" w:type="dxa"/>
            </w:tcMar>
            <w:vAlign w:val="center"/>
          </w:tcPr>
          <w:p>
            <w:pPr>
              <w:jc w:val="center"/>
            </w:pPr>
            <w:r>
              <w:rPr>
                <w:rFonts w:ascii="Songti SC" w:hAnsi="Songti SC" w:eastAsia="Songti SC"/>
                <w:b w:val="0"/>
                <w:i w:val="0"/>
                <w:color w:val="000000"/>
                <w:sz w:val="15"/>
                <w:lang w:val="zh-CN" w:eastAsia="zh-CN"/>
              </w:rPr>
              <w:t>43.81 亿美元</w:t>
            </w:r>
          </w:p>
        </w:tc>
        <w:tc>
          <w:tcPr>
            <w:tcW w:type="dxa" w:w="2191"/>
            <w:tcMar>
              <w:top w:w="80" w:type="dxa"/>
              <w:start w:w="120" w:type="dxa"/>
              <w:bottom w:w="80" w:type="dxa"/>
              <w:end w:w="120" w:type="dxa"/>
            </w:tcMar>
            <w:vAlign w:val="center"/>
          </w:tcPr>
          <w:p>
            <w:pPr>
              <w:jc w:val="center"/>
            </w:pPr>
            <w:r>
              <w:rPr>
                <w:rFonts w:ascii="Songti SC" w:hAnsi="Songti SC" w:eastAsia="Songti SC"/>
                <w:b w:val="0"/>
                <w:i w:val="0"/>
                <w:color w:val="000000"/>
                <w:sz w:val="15"/>
                <w:lang w:val="zh-CN" w:eastAsia="zh-CN"/>
              </w:rPr>
              <w:t>41.45 亿美元</w:t>
            </w:r>
          </w:p>
        </w:tc>
        <w:tc>
          <w:tcPr>
            <w:tcW w:type="dxa" w:w="2342"/>
            <w:tcMar>
              <w:top w:w="80" w:type="dxa"/>
              <w:start w:w="120" w:type="dxa"/>
              <w:bottom w:w="80" w:type="dxa"/>
              <w:end w:w="120" w:type="dxa"/>
            </w:tcMar>
            <w:vAlign w:val="center"/>
          </w:tcPr>
          <w:p>
            <w:pPr>
              <w:jc w:val="center"/>
            </w:pPr>
            <w:r>
              <w:rPr>
                <w:rFonts w:ascii="Songti SC" w:hAnsi="Songti SC" w:eastAsia="Songti SC"/>
                <w:b w:val="0"/>
                <w:i w:val="0"/>
                <w:color w:val="2F7D32"/>
                <w:sz w:val="15"/>
                <w:lang w:val="zh-CN" w:eastAsia="zh-CN"/>
              </w:rPr>
              <w:t>+2.36 亿 / +5.7%</w:t>
            </w:r>
          </w:p>
        </w:tc>
        <w:tc>
          <w:tcPr>
            <w:tcW w:type="dxa" w:w="1437"/>
            <w:tcMar>
              <w:top w:w="80" w:type="dxa"/>
              <w:start w:w="120" w:type="dxa"/>
              <w:bottom w:w="80" w:type="dxa"/>
              <w:end w:w="120" w:type="dxa"/>
            </w:tcMar>
            <w:vAlign w:val="center"/>
          </w:tcPr>
          <w:p>
            <w:pPr>
              <w:jc w:val="center"/>
            </w:pPr>
            <w:r>
              <w:rPr>
                <w:rFonts w:ascii="Songti SC" w:hAnsi="Songti SC" w:eastAsia="Songti SC"/>
                <w:b w:val="0"/>
                <w:i w:val="0"/>
                <w:color w:val="000000"/>
                <w:sz w:val="15"/>
                <w:lang w:val="zh-CN" w:eastAsia="zh-CN"/>
              </w:rPr>
              <w:t>+55%</w:t>
            </w:r>
          </w:p>
        </w:tc>
      </w:tr>
      <w:tr>
        <w:trPr/>
        <w:tc>
          <w:tcPr>
            <w:tcW w:type="dxa" w:w="2342"/>
            <w:tcMar>
              <w:top w:w="80" w:type="dxa"/>
              <w:start w:w="120" w:type="dxa"/>
              <w:bottom w:w="80" w:type="dxa"/>
              <w:end w:w="120" w:type="dxa"/>
            </w:tcMar>
            <w:shd w:fill="F2F4F7"/>
            <w:vAlign w:val="center"/>
          </w:tcPr>
          <w:p>
            <w:pPr>
              <w:jc w:val="left"/>
            </w:pPr>
            <w:r>
              <w:rPr>
                <w:rFonts w:ascii="Songti SC" w:hAnsi="Songti SC" w:eastAsia="Songti SC"/>
                <w:b/>
                <w:i w:val="0"/>
                <w:color w:val="000000"/>
                <w:sz w:val="15"/>
                <w:lang w:val="zh-CN" w:eastAsia="zh-CN"/>
              </w:rPr>
              <w:t>Non-GAAP EPS</w:t>
            </w:r>
          </w:p>
        </w:tc>
        <w:tc>
          <w:tcPr>
            <w:tcW w:type="dxa" w:w="1738"/>
            <w:tcMar>
              <w:top w:w="80" w:type="dxa"/>
              <w:start w:w="120" w:type="dxa"/>
              <w:bottom w:w="80" w:type="dxa"/>
              <w:end w:w="120" w:type="dxa"/>
            </w:tcMar>
            <w:shd w:fill="F2F4F7"/>
            <w:vAlign w:val="center"/>
          </w:tcPr>
          <w:p>
            <w:pPr>
              <w:jc w:val="center"/>
            </w:pPr>
            <w:r>
              <w:rPr>
                <w:rFonts w:ascii="Songti SC" w:hAnsi="Songti SC" w:eastAsia="Songti SC"/>
                <w:b w:val="0"/>
                <w:i w:val="0"/>
                <w:color w:val="000000"/>
                <w:sz w:val="15"/>
                <w:lang w:val="zh-CN" w:eastAsia="zh-CN"/>
              </w:rPr>
              <w:t>4.64 美元</w:t>
            </w:r>
          </w:p>
        </w:tc>
        <w:tc>
          <w:tcPr>
            <w:tcW w:type="dxa" w:w="2191"/>
            <w:tcMar>
              <w:top w:w="80" w:type="dxa"/>
              <w:start w:w="120" w:type="dxa"/>
              <w:bottom w:w="80" w:type="dxa"/>
              <w:end w:w="120" w:type="dxa"/>
            </w:tcMar>
            <w:shd w:fill="F2F4F7"/>
            <w:vAlign w:val="center"/>
          </w:tcPr>
          <w:p>
            <w:pPr>
              <w:jc w:val="center"/>
            </w:pPr>
            <w:r>
              <w:rPr>
                <w:rFonts w:ascii="Songti SC" w:hAnsi="Songti SC" w:eastAsia="Songti SC"/>
                <w:b w:val="0"/>
                <w:i w:val="0"/>
                <w:color w:val="000000"/>
                <w:sz w:val="15"/>
                <w:lang w:val="zh-CN" w:eastAsia="zh-CN"/>
              </w:rPr>
              <w:t>4.10 美元</w:t>
            </w:r>
          </w:p>
        </w:tc>
        <w:tc>
          <w:tcPr>
            <w:tcW w:type="dxa" w:w="2342"/>
            <w:tcMar>
              <w:top w:w="80" w:type="dxa"/>
              <w:start w:w="120" w:type="dxa"/>
              <w:bottom w:w="80" w:type="dxa"/>
              <w:end w:w="120" w:type="dxa"/>
            </w:tcMar>
            <w:shd w:fill="F2F4F7"/>
            <w:vAlign w:val="center"/>
          </w:tcPr>
          <w:p>
            <w:pPr>
              <w:jc w:val="center"/>
            </w:pPr>
            <w:r>
              <w:rPr>
                <w:rFonts w:ascii="Songti SC" w:hAnsi="Songti SC" w:eastAsia="Songti SC"/>
                <w:b w:val="0"/>
                <w:i w:val="0"/>
                <w:color w:val="2F7D32"/>
                <w:sz w:val="15"/>
                <w:lang w:val="zh-CN" w:eastAsia="zh-CN"/>
              </w:rPr>
              <w:t>+0.54 / +13.2%</w:t>
            </w:r>
          </w:p>
        </w:tc>
        <w:tc>
          <w:tcPr>
            <w:tcW w:type="dxa" w:w="1437"/>
            <w:tcMar>
              <w:top w:w="80" w:type="dxa"/>
              <w:start w:w="120" w:type="dxa"/>
              <w:bottom w:w="80" w:type="dxa"/>
              <w:end w:w="120" w:type="dxa"/>
            </w:tcMar>
            <w:shd w:fill="F2F4F7"/>
            <w:vAlign w:val="center"/>
          </w:tcPr>
          <w:p>
            <w:pPr>
              <w:jc w:val="center"/>
            </w:pPr>
            <w:r>
              <w:rPr>
                <w:rFonts w:ascii="Songti SC" w:hAnsi="Songti SC" w:eastAsia="Songti SC"/>
                <w:b w:val="0"/>
                <w:i w:val="0"/>
                <w:color w:val="000000"/>
                <w:sz w:val="15"/>
                <w:lang w:val="zh-CN" w:eastAsia="zh-CN"/>
              </w:rPr>
              <w:t>+161%</w:t>
            </w:r>
          </w:p>
        </w:tc>
      </w:tr>
      <w:tr>
        <w:trPr/>
        <w:tc>
          <w:tcPr>
            <w:tcW w:type="dxa" w:w="2342"/>
            <w:tcMar>
              <w:top w:w="80" w:type="dxa"/>
              <w:start w:w="120" w:type="dxa"/>
              <w:bottom w:w="80" w:type="dxa"/>
              <w:end w:w="120" w:type="dxa"/>
            </w:tcMar>
            <w:vAlign w:val="center"/>
          </w:tcPr>
          <w:p>
            <w:pPr>
              <w:jc w:val="left"/>
            </w:pPr>
            <w:r>
              <w:rPr>
                <w:rFonts w:ascii="Songti SC" w:hAnsi="Songti SC" w:eastAsia="Songti SC"/>
                <w:b/>
                <w:i w:val="0"/>
                <w:color w:val="000000"/>
                <w:sz w:val="15"/>
                <w:lang w:val="zh-CN" w:eastAsia="zh-CN"/>
              </w:rPr>
              <w:t>Non-GAAP 毛利率</w:t>
            </w:r>
          </w:p>
        </w:tc>
        <w:tc>
          <w:tcPr>
            <w:tcW w:type="dxa" w:w="1738"/>
            <w:tcMar>
              <w:top w:w="80" w:type="dxa"/>
              <w:start w:w="120" w:type="dxa"/>
              <w:bottom w:w="80" w:type="dxa"/>
              <w:end w:w="120" w:type="dxa"/>
            </w:tcMar>
            <w:vAlign w:val="center"/>
          </w:tcPr>
          <w:p>
            <w:pPr>
              <w:jc w:val="center"/>
            </w:pPr>
            <w:r>
              <w:rPr>
                <w:rFonts w:ascii="Songti SC" w:hAnsi="Songti SC" w:eastAsia="Songti SC"/>
                <w:b w:val="0"/>
                <w:i w:val="0"/>
                <w:color w:val="000000"/>
                <w:sz w:val="15"/>
                <w:lang w:val="zh-CN" w:eastAsia="zh-CN"/>
              </w:rPr>
              <w:t>58.1%</w:t>
            </w:r>
          </w:p>
        </w:tc>
        <w:tc>
          <w:tcPr>
            <w:tcW w:type="dxa" w:w="2191"/>
            <w:tcMar>
              <w:top w:w="80" w:type="dxa"/>
              <w:start w:w="120" w:type="dxa"/>
              <w:bottom w:w="80" w:type="dxa"/>
              <w:end w:w="120" w:type="dxa"/>
            </w:tcMar>
            <w:vAlign w:val="center"/>
          </w:tcPr>
          <w:p>
            <w:pPr>
              <w:jc w:val="center"/>
            </w:pPr>
            <w:r>
              <w:rPr>
                <w:rFonts w:ascii="Songti SC" w:hAnsi="Songti SC" w:eastAsia="Songti SC"/>
                <w:b w:val="0"/>
                <w:i w:val="0"/>
                <w:color w:val="000000"/>
                <w:sz w:val="15"/>
                <w:lang w:val="zh-CN" w:eastAsia="zh-CN"/>
              </w:rPr>
              <w:t>此前指引 55%-56%</w:t>
            </w:r>
          </w:p>
        </w:tc>
        <w:tc>
          <w:tcPr>
            <w:tcW w:type="dxa" w:w="2342"/>
            <w:tcMar>
              <w:top w:w="80" w:type="dxa"/>
              <w:start w:w="120" w:type="dxa"/>
              <w:bottom w:w="80" w:type="dxa"/>
              <w:end w:w="120" w:type="dxa"/>
            </w:tcMar>
            <w:vAlign w:val="center"/>
          </w:tcPr>
          <w:p>
            <w:pPr>
              <w:jc w:val="center"/>
            </w:pPr>
            <w:r>
              <w:rPr>
                <w:rFonts w:ascii="Songti SC" w:hAnsi="Songti SC" w:eastAsia="Songti SC"/>
                <w:b w:val="0"/>
                <w:i w:val="0"/>
                <w:color w:val="2F7D32"/>
                <w:sz w:val="15"/>
                <w:lang w:val="zh-CN" w:eastAsia="zh-CN"/>
              </w:rPr>
              <w:t>+210 至 310 基点</w:t>
            </w:r>
          </w:p>
        </w:tc>
        <w:tc>
          <w:tcPr>
            <w:tcW w:type="dxa" w:w="1437"/>
            <w:tcMar>
              <w:top w:w="80" w:type="dxa"/>
              <w:start w:w="120" w:type="dxa"/>
              <w:bottom w:w="80" w:type="dxa"/>
              <w:end w:w="120" w:type="dxa"/>
            </w:tcMar>
            <w:vAlign w:val="center"/>
          </w:tcPr>
          <w:p>
            <w:pPr>
              <w:jc w:val="center"/>
            </w:pPr>
            <w:r>
              <w:rPr>
                <w:rFonts w:ascii="Songti SC" w:hAnsi="Songti SC" w:eastAsia="Songti SC"/>
                <w:b w:val="0"/>
                <w:i w:val="0"/>
                <w:color w:val="000000"/>
                <w:sz w:val="15"/>
                <w:lang w:val="zh-CN" w:eastAsia="zh-CN"/>
              </w:rPr>
              <w:t>+1,420 基点</w:t>
            </w:r>
          </w:p>
        </w:tc>
      </w:tr>
    </w:tbl>
    <w:p>
      <w:pPr>
        <w:spacing w:before="4" w:after="54" w:line="240" w:lineRule="auto"/>
      </w:pPr>
      <w:r>
        <w:rPr>
          <w:rFonts w:ascii="Songti SC" w:hAnsi="Songti SC" w:eastAsia="Songti SC"/>
          <w:b w:val="0"/>
          <w:i/>
          <w:color w:val="667085"/>
          <w:sz w:val="14"/>
          <w:lang w:val="zh-CN" w:eastAsia="zh-CN"/>
        </w:rPr>
        <w:t>资料来源：</w:t>
      </w:r>
      <w:hyperlink r:id="rId11">
        <w:r>
          <w:rPr>
            <w:rFonts w:ascii="Songti SC" w:hAnsi="Songti SC" w:eastAsia="Songti SC"/>
            <w:color w:val="0563C1"/>
            <w:u w:val="single"/>
            <w:sz w:val="15"/>
          </w:rPr>
          <w:t>WDC 2027 财年 Q1 业绩公告，2026-10-22</w:t>
        </w:r>
      </w:hyperlink>
      <w:r>
        <w:rPr>
          <w:rFonts w:ascii="Songti SC" w:hAnsi="Songti SC" w:eastAsia="Songti SC"/>
          <w:b w:val="0"/>
          <w:i/>
          <w:color w:val="667085"/>
          <w:sz w:val="14"/>
          <w:lang w:val="zh-CN" w:eastAsia="zh-CN"/>
        </w:rPr>
        <w:t xml:space="preserve">; </w:t>
      </w:r>
      <w:hyperlink r:id="rId12">
        <w:r>
          <w:rPr>
            <w:rFonts w:ascii="Songti SC" w:hAnsi="Songti SC" w:eastAsia="Songti SC"/>
            <w:color w:val="0563C1"/>
            <w:u w:val="single"/>
            <w:sz w:val="15"/>
          </w:rPr>
          <w:t>MarketBeat 一致预期快照，2026-10-22</w:t>
        </w:r>
      </w:hyperlink>
      <w:r>
        <w:rPr>
          <w:rFonts w:ascii="Songti SC" w:hAnsi="Songti SC" w:eastAsia="Songti SC"/>
          <w:b w:val="0"/>
          <w:i/>
          <w:color w:val="667085"/>
          <w:sz w:val="14"/>
          <w:lang w:val="zh-CN" w:eastAsia="zh-CN"/>
        </w:rPr>
        <w:t>.</w:t>
      </w:r>
    </w:p>
    <w:p>
      <w:pPr>
        <w:spacing w:after="60" w:line="247" w:lineRule="auto"/>
        <w:ind w:left="43" w:hanging="43"/>
      </w:pPr>
      <w:r>
        <w:rPr>
          <w:rFonts w:ascii="Heiti SC" w:hAnsi="Heiti SC" w:eastAsia="Heiti SC"/>
          <w:b/>
          <w:i w:val="0"/>
          <w:color w:val="123B5D"/>
          <w:sz w:val="17"/>
          <w:lang w:val="zh-CN" w:eastAsia="zh-CN"/>
        </w:rPr>
        <w:t xml:space="preserve">■ </w:t>
      </w:r>
      <w:r>
        <w:rPr>
          <w:rFonts w:ascii="Heiti SC" w:hAnsi="Heiti SC" w:eastAsia="Heiti SC"/>
          <w:b/>
          <w:i w:val="0"/>
          <w:color w:val="000000"/>
          <w:sz w:val="17"/>
          <w:lang w:val="zh-CN" w:eastAsia="zh-CN"/>
        </w:rPr>
        <w:t xml:space="preserve">收入与盈利均明显超预期。 </w:t>
      </w:r>
      <w:r>
        <w:rPr>
          <w:rFonts w:ascii="Songti SC" w:hAnsi="Songti SC" w:eastAsia="Songti SC"/>
          <w:b w:val="0"/>
          <w:i w:val="0"/>
          <w:color w:val="000000"/>
          <w:sz w:val="17"/>
          <w:lang w:val="zh-CN" w:eastAsia="zh-CN"/>
        </w:rPr>
        <w:t>收入较财报前一致预期高 2.36 亿美元，Non-GAAP EPS 高 0.54 美元。58.1% 的毛利率比 EPS 更关键：它高出此前指引上限 210 个基点，显示提价、高容量产品组合与供给纪律正形成正反馈。</w:t>
      </w:r>
    </w:p>
    <w:p>
      <w:pPr>
        <w:spacing w:after="60" w:line="247" w:lineRule="auto"/>
        <w:ind w:left="43" w:hanging="43"/>
      </w:pPr>
      <w:r>
        <w:rPr>
          <w:rFonts w:ascii="Heiti SC" w:hAnsi="Heiti SC" w:eastAsia="Heiti SC"/>
          <w:b/>
          <w:i w:val="0"/>
          <w:color w:val="123B5D"/>
          <w:sz w:val="17"/>
          <w:lang w:val="zh-CN" w:eastAsia="zh-CN"/>
        </w:rPr>
        <w:t xml:space="preserve">■ </w:t>
      </w:r>
      <w:r>
        <w:rPr>
          <w:rFonts w:ascii="Heiti SC" w:hAnsi="Heiti SC" w:eastAsia="Heiti SC"/>
          <w:b/>
          <w:i w:val="0"/>
          <w:color w:val="000000"/>
          <w:sz w:val="17"/>
          <w:lang w:val="zh-CN" w:eastAsia="zh-CN"/>
        </w:rPr>
        <w:t xml:space="preserve">Q2 指引把盈利运行水平再推高一档。 </w:t>
      </w:r>
      <w:r>
        <w:rPr>
          <w:rFonts w:ascii="Songti SC" w:hAnsi="Songti SC" w:eastAsia="Songti SC"/>
          <w:b w:val="0"/>
          <w:i w:val="0"/>
          <w:color w:val="000000"/>
          <w:sz w:val="17"/>
          <w:lang w:val="zh-CN" w:eastAsia="zh-CN"/>
        </w:rPr>
        <w:t>管理层给出 51 亿美元收入、60%-61% Non-GAAP 毛利率与 5.80 美元 Non-GAAP EPS 中值。目前市场预期已大体上修至这一范围，但新指引仍显著高于我们上一期 FY2027 预测所隐含的基础。</w:t>
      </w:r>
    </w:p>
    <w:p>
      <w:pPr>
        <w:spacing w:after="60" w:line="247" w:lineRule="auto"/>
        <w:ind w:left="43" w:hanging="43"/>
      </w:pPr>
      <w:r>
        <w:rPr>
          <w:rFonts w:ascii="Heiti SC" w:hAnsi="Heiti SC" w:eastAsia="Heiti SC"/>
          <w:b/>
          <w:i w:val="0"/>
          <w:color w:val="123B5D"/>
          <w:sz w:val="17"/>
          <w:lang w:val="zh-CN" w:eastAsia="zh-CN"/>
        </w:rPr>
        <w:t xml:space="preserve">■ </w:t>
      </w:r>
      <w:r>
        <w:rPr>
          <w:rFonts w:ascii="Heiti SC" w:hAnsi="Heiti SC" w:eastAsia="Heiti SC"/>
          <w:b/>
          <w:i w:val="0"/>
          <w:color w:val="000000"/>
          <w:sz w:val="17"/>
          <w:lang w:val="zh-CN" w:eastAsia="zh-CN"/>
        </w:rPr>
        <w:t xml:space="preserve">投资争议从需求转向执行。 </w:t>
      </w:r>
      <w:r>
        <w:rPr>
          <w:rFonts w:ascii="Songti SC" w:hAnsi="Songti SC" w:eastAsia="Songti SC"/>
          <w:b w:val="0"/>
          <w:i w:val="0"/>
          <w:color w:val="000000"/>
          <w:sz w:val="17"/>
          <w:lang w:val="zh-CN" w:eastAsia="zh-CN"/>
        </w:rPr>
        <w:t>云业务仍占收入 88%，主要客户需求可见度已延伸至 2030-2031 年。核心问题转为 40TB ePMR 与 HAMR 爬坡能否把需求可见度转化为 EB 供给，同时控制资本强度、良率损失与成本通胀。</w:t>
      </w:r>
    </w:p>
    <w:p>
      <w:pPr>
        <w:spacing w:after="60" w:line="247" w:lineRule="auto"/>
        <w:ind w:left="43" w:hanging="43"/>
      </w:pPr>
      <w:r>
        <w:rPr>
          <w:rFonts w:ascii="Heiti SC" w:hAnsi="Heiti SC" w:eastAsia="Heiti SC"/>
          <w:b/>
          <w:i w:val="0"/>
          <w:color w:val="123B5D"/>
          <w:sz w:val="17"/>
          <w:lang w:val="zh-CN" w:eastAsia="zh-CN"/>
        </w:rPr>
        <w:t xml:space="preserve">■ </w:t>
      </w:r>
      <w:r>
        <w:rPr>
          <w:rFonts w:ascii="Heiti SC" w:hAnsi="Heiti SC" w:eastAsia="Heiti SC"/>
          <w:b/>
          <w:i w:val="0"/>
          <w:color w:val="000000"/>
          <w:sz w:val="17"/>
          <w:lang w:val="zh-CN" w:eastAsia="zh-CN"/>
        </w:rPr>
        <w:t xml:space="preserve">目标价上调至 620 美元，维持跑赢大盘。 </w:t>
      </w:r>
      <w:r>
        <w:rPr>
          <w:rFonts w:ascii="Songti SC" w:hAnsi="Songti SC" w:eastAsia="Songti SC"/>
          <w:b w:val="0"/>
          <w:i w:val="0"/>
          <w:color w:val="000000"/>
          <w:sz w:val="17"/>
          <w:lang w:val="zh-CN" w:eastAsia="zh-CN"/>
        </w:rPr>
        <w:t>我们把 FY2027 收入与 Non-GAAP EPS 预测上调至 213 亿美元与 25.00 美元。以 24.8 倍市盈率计，目标价为 620 美元，较 10 月 23 日收盘价高约 80%。未来两年资本开支占收入比将略高于 4%-6% 常态区间，因此我们没有给予更高倍数。</w:t>
      </w:r>
    </w:p>
    <w:p>
      <w:r>
        <w:br w:type="page"/>
      </w:r>
    </w:p>
    <w:p>
      <w:pPr>
        <w:pStyle w:val="Heading1"/>
        <w:keepNext/>
        <w:spacing w:before="20" w:after="80"/>
      </w:pPr>
      <w:r>
        <w:t>收入分析</w:t>
      </w:r>
    </w:p>
    <w:p>
      <w:pPr>
        <w:keepNext w:val="0"/>
        <w:spacing w:before="0" w:after="82" w:line="247" w:lineRule="auto"/>
      </w:pPr>
      <w:r>
        <w:rPr>
          <w:rFonts w:ascii="Songti SC" w:hAnsi="Songti SC" w:eastAsia="Songti SC"/>
          <w:b w:val="0"/>
          <w:i w:val="0"/>
          <w:color w:val="000000"/>
          <w:sz w:val="18"/>
          <w:lang w:val="zh-CN" w:eastAsia="zh-CN"/>
        </w:rPr>
        <w:t>收入为 43.81 亿美元，同比增长 55%、环比增长 17%，较财报前 41.45 亿美元一致预期高 2.36 亿美元，即 5.7%；同时比此前 40 亿至 42 亿美元指引上限高 1.81 亿美元。超预期并非依赖单一会计项目：EB 出货同比增长 22% 至 248EB，每 TB 综合售价同比上升 28%，最新一代 ePMR 平台开始贡献近线产品结构。供给增长与定价提升可以同时出现，原因是更高容量降低了客户的总体拥有成本。</w:t>
      </w:r>
    </w:p>
    <w:p>
      <w:pPr>
        <w:keepNext w:val="0"/>
        <w:spacing w:before="0" w:after="82" w:line="247" w:lineRule="auto"/>
      </w:pPr>
      <w:r>
        <w:rPr>
          <w:rFonts w:ascii="Songti SC" w:hAnsi="Songti SC" w:eastAsia="Songti SC"/>
          <w:b w:val="0"/>
          <w:i w:val="0"/>
          <w:color w:val="000000"/>
          <w:sz w:val="18"/>
          <w:lang w:val="zh-CN" w:eastAsia="zh-CN"/>
        </w:rPr>
        <w:t>云业务收入达到 38.68 亿美元，同比增长 54%，占总收入 88%。10-Q 将增长归因于 EB 出货超过 20% 的增幅以及每 EB 平均售价约 25% 的提升。客户端收入增长 119% 至 3.20 亿美元，EB 约增 15%、每 EB 售价约增 90%；消费端收入增长 19% 至 1.93 亿美元，尽管 EB 下降约 30%，更高容量组合与售价仍推动收入增长。消费端销量疲弱反映价格弹性，但其仅占收入 5%，不会改变云业务主导的投资逻辑。</w:t>
      </w:r>
    </w:p>
    <w:p>
      <w:pPr>
        <w:keepNext w:val="0"/>
        <w:spacing w:before="0" w:after="82" w:line="247" w:lineRule="auto"/>
      </w:pPr>
      <w:r>
        <w:rPr>
          <w:rFonts w:ascii="Songti SC" w:hAnsi="Songti SC" w:eastAsia="Songti SC"/>
          <w:b w:val="0"/>
          <w:i w:val="0"/>
          <w:color w:val="000000"/>
          <w:sz w:val="18"/>
          <w:lang w:val="zh-CN" w:eastAsia="zh-CN"/>
        </w:rPr>
        <w:t>本季度也提高了分拆后 WDC 数据的可比性。这里的数据代表 2025 年 2 月 Sandisk 分拆后的 HDD 持续经营业务，不含闪存业务。分析时应采用 WDC 重述后的持续经营口径，而不能把当前 HDD 数据与历史合并闪存收入直接相加。在一致口径下，季度收入已由 FY2026 Q1 的 28.18 亿美元连续增长至 FY2027 Q1 的 43.81 亿美元。</w:t>
      </w:r>
    </w:p>
    <w:p>
      <w:pPr>
        <w:keepNext/>
        <w:spacing w:before="0" w:after="16" w:line="247" w:lineRule="auto"/>
      </w:pPr>
      <w:r>
        <w:rPr>
          <w:rFonts w:ascii="Heiti SC" w:hAnsi="Heiti SC" w:eastAsia="Heiti SC"/>
          <w:b/>
          <w:i w:val="0"/>
          <w:color w:val="000000"/>
          <w:sz w:val="16"/>
          <w:lang w:val="zh-CN" w:eastAsia="zh-CN"/>
        </w:rPr>
        <w:t>图 1：季度收入走势</w:t>
      </w:r>
    </w:p>
    <w:p>
      <w:pPr>
        <w:spacing w:after="4"/>
        <w:jc w:val="center"/>
      </w:pPr>
      <w:r>
        <w:drawing>
          <wp:inline xmlns:a="http://schemas.openxmlformats.org/drawingml/2006/main" xmlns:pic="http://schemas.openxmlformats.org/drawingml/2006/picture">
            <wp:extent cx="5120640" cy="2442481"/>
            <wp:docPr id="1" name="Picture 1" descr="季度收入走势" title="季度收入走势"/>
            <wp:cNvGraphicFramePr>
              <a:graphicFrameLocks noChangeAspect="1"/>
            </wp:cNvGraphicFramePr>
            <a:graphic>
              <a:graphicData uri="http://schemas.openxmlformats.org/drawingml/2006/picture">
                <pic:pic>
                  <pic:nvPicPr>
                    <pic:cNvPr id="0" name="wdc_q1fy27_chart1_revenue.png"/>
                    <pic:cNvPicPr/>
                  </pic:nvPicPr>
                  <pic:blipFill>
                    <a:blip r:embed="rId13"/>
                    <a:stretch>
                      <a:fillRect/>
                    </a:stretch>
                  </pic:blipFill>
                  <pic:spPr>
                    <a:xfrm>
                      <a:off x="0" y="0"/>
                      <a:ext cx="5120640" cy="2442481"/>
                    </a:xfrm>
                    <a:prstGeom prst="rect"/>
                  </pic:spPr>
                </pic:pic>
              </a:graphicData>
            </a:graphic>
          </wp:inline>
        </w:drawing>
      </w:r>
    </w:p>
    <w:p>
      <w:pPr>
        <w:spacing w:before="4" w:after="54" w:line="240" w:lineRule="auto"/>
      </w:pPr>
      <w:r>
        <w:rPr>
          <w:rFonts w:ascii="Songti SC" w:hAnsi="Songti SC" w:eastAsia="Songti SC"/>
          <w:b w:val="0"/>
          <w:i/>
          <w:color w:val="667085"/>
          <w:sz w:val="14"/>
          <w:lang w:val="zh-CN" w:eastAsia="zh-CN"/>
        </w:rPr>
        <w:t>资料来源：</w:t>
      </w:r>
      <w:hyperlink r:id="rId14">
        <w:r>
          <w:rPr>
            <w:rFonts w:ascii="Songti SC" w:hAnsi="Songti SC" w:eastAsia="Songti SC"/>
            <w:color w:val="0563C1"/>
            <w:u w:val="single"/>
            <w:sz w:val="15"/>
          </w:rPr>
          <w:t>Q1 FY2027 presentation, slides 4-6</w:t>
        </w:r>
      </w:hyperlink>
      <w:r>
        <w:rPr>
          <w:rFonts w:ascii="Songti SC" w:hAnsi="Songti SC" w:eastAsia="Songti SC"/>
          <w:b w:val="0"/>
          <w:i/>
          <w:color w:val="667085"/>
          <w:sz w:val="14"/>
          <w:lang w:val="zh-CN" w:eastAsia="zh-CN"/>
        </w:rPr>
        <w:t xml:space="preserve">; </w:t>
      </w:r>
      <w:hyperlink r:id="rId15">
        <w:r>
          <w:rPr>
            <w:rFonts w:ascii="Songti SC" w:hAnsi="Songti SC" w:eastAsia="Songti SC"/>
            <w:color w:val="0563C1"/>
            <w:u w:val="single"/>
            <w:sz w:val="15"/>
          </w:rPr>
          <w:t>Q1 FY2027 Form 10-Q, filed 23 Oct. 2026</w:t>
        </w:r>
      </w:hyperlink>
      <w:r>
        <w:rPr>
          <w:rFonts w:ascii="Songti SC" w:hAnsi="Songti SC" w:eastAsia="Songti SC"/>
          <w:b w:val="0"/>
          <w:i/>
          <w:color w:val="667085"/>
          <w:sz w:val="14"/>
          <w:lang w:val="zh-CN" w:eastAsia="zh-CN"/>
        </w:rPr>
        <w:t>.</w:t>
      </w:r>
    </w:p>
    <w:p>
      <w:r>
        <w:br w:type="page"/>
      </w:r>
    </w:p>
    <w:p>
      <w:pPr>
        <w:pStyle w:val="Heading1"/>
        <w:keepNext/>
        <w:spacing w:before="20" w:after="80"/>
      </w:pPr>
      <w:r>
        <w:t>盈利能力与盈利质量</w:t>
      </w:r>
    </w:p>
    <w:p>
      <w:pPr>
        <w:keepNext w:val="0"/>
        <w:spacing w:before="0" w:after="82" w:line="247" w:lineRule="auto"/>
      </w:pPr>
      <w:r>
        <w:rPr>
          <w:rFonts w:ascii="Songti SC" w:hAnsi="Songti SC" w:eastAsia="Songti SC"/>
          <w:b w:val="0"/>
          <w:i w:val="0"/>
          <w:color w:val="000000"/>
          <w:sz w:val="18"/>
          <w:lang w:val="zh-CN" w:eastAsia="zh-CN"/>
        </w:rPr>
        <w:t>Non-GAAP 毛利率达到 58.1%，环比提升 370 个基点、同比提升 1,420 个基点；Non-GAAP 营业利润率达到 49.1%，环比提升 490 个基点、同比提升 1,870 个基点。利润率提升由三方面共同驱动：高容量产品提高单盘收入，合同与现货定价改善每 TB 售价，面密度提升则无需等比例增加整盘产能即可增加 EB。管理层称同比增量毛利率超过 80%，因此定价持续性与技术切换执行比单纯销量增长更关键。</w:t>
      </w:r>
    </w:p>
    <w:p>
      <w:pPr>
        <w:keepNext w:val="0"/>
        <w:spacing w:before="0" w:after="82" w:line="247" w:lineRule="auto"/>
      </w:pPr>
      <w:r>
        <w:rPr>
          <w:rFonts w:ascii="Songti SC" w:hAnsi="Songti SC" w:eastAsia="Songti SC"/>
          <w:b w:val="0"/>
          <w:i w:val="0"/>
          <w:color w:val="000000"/>
          <w:sz w:val="18"/>
          <w:lang w:val="zh-CN" w:eastAsia="zh-CN"/>
        </w:rPr>
        <w:t>Non-GAAP 营业费用为 3.91 亿美元，在收入增长 55% 的情况下仅同比增加 3%，推动 Non-GAAP 营业利润增长 152% 至 21.53 亿美元。扣除 0.70 亿美元股权薪酬与 0.27 亿美元业务调整费用后，GAAP 营业利润为 20.46 亿美元。本季度 GAAP 与 Non-GAAP 摊薄 EPS 仅相差 0.01 美元，远小于此前受 Sandisk 保留权益重估收益及债务股权交易影响的季度，因此 4.63 美元 GAAP EPS 与 4.64 美元 Non-GAAP EPS 更能反映当前经营质量。</w:t>
      </w:r>
    </w:p>
    <w:p>
      <w:pPr>
        <w:keepNext w:val="0"/>
        <w:spacing w:before="0" w:after="82" w:line="247" w:lineRule="auto"/>
      </w:pPr>
      <w:r>
        <w:rPr>
          <w:rFonts w:ascii="Songti SC" w:hAnsi="Songti SC" w:eastAsia="Songti SC"/>
          <w:b w:val="0"/>
          <w:i w:val="0"/>
          <w:color w:val="000000"/>
          <w:sz w:val="18"/>
          <w:lang w:val="zh-CN" w:eastAsia="zh-CN"/>
        </w:rPr>
        <w:t>近期利润率风险主要不是需求，而是满足需求的成本。管理层预计 DRAM 与 NAND 投入品通胀将限制部分每 TB 成本改善，同时 HAMR 磁头需要更多生产循环。不过，Q2 60%-61% 毛利率指引仍意味着环比再提升 190 至 290 个基点。我们认为该指引具备可实现性，但不会自动延续：LTA 重定价、现货市场纪律与 40TB ePMR 爬坡必须抵消技术切换成本和零部件涨价。</w:t>
      </w:r>
    </w:p>
    <w:p>
      <w:pPr>
        <w:keepNext/>
        <w:spacing w:before="0" w:after="16" w:line="247" w:lineRule="auto"/>
      </w:pPr>
      <w:r>
        <w:rPr>
          <w:rFonts w:ascii="Heiti SC" w:hAnsi="Heiti SC" w:eastAsia="Heiti SC"/>
          <w:b/>
          <w:i w:val="0"/>
          <w:color w:val="000000"/>
          <w:sz w:val="16"/>
          <w:lang w:val="zh-CN" w:eastAsia="zh-CN"/>
        </w:rPr>
        <w:t>图 2：GAAP 与 Non-GAAP 摊薄 EPS</w:t>
      </w:r>
    </w:p>
    <w:p>
      <w:pPr>
        <w:spacing w:after="4"/>
        <w:jc w:val="center"/>
      </w:pPr>
      <w:r>
        <w:drawing>
          <wp:inline xmlns:a="http://schemas.openxmlformats.org/drawingml/2006/main" xmlns:pic="http://schemas.openxmlformats.org/drawingml/2006/picture">
            <wp:extent cx="4526280" cy="2158979"/>
            <wp:docPr id="2" name="Picture 2" descr="GAAP 与 Non-GAAP 摊薄 EPS" title="GAAP 与 Non-GAAP 摊薄 EPS"/>
            <wp:cNvGraphicFramePr>
              <a:graphicFrameLocks noChangeAspect="1"/>
            </wp:cNvGraphicFramePr>
            <a:graphic>
              <a:graphicData uri="http://schemas.openxmlformats.org/drawingml/2006/picture">
                <pic:pic>
                  <pic:nvPicPr>
                    <pic:cNvPr id="0" name="wdc_q1fy27_chart2_eps.png"/>
                    <pic:cNvPicPr/>
                  </pic:nvPicPr>
                  <pic:blipFill>
                    <a:blip r:embed="rId16"/>
                    <a:stretch>
                      <a:fillRect/>
                    </a:stretch>
                  </pic:blipFill>
                  <pic:spPr>
                    <a:xfrm>
                      <a:off x="0" y="0"/>
                      <a:ext cx="4526280" cy="2158979"/>
                    </a:xfrm>
                    <a:prstGeom prst="rect"/>
                  </pic:spPr>
                </pic:pic>
              </a:graphicData>
            </a:graphic>
          </wp:inline>
        </w:drawing>
      </w:r>
    </w:p>
    <w:p>
      <w:pPr>
        <w:spacing w:before="4" w:after="54" w:line="240" w:lineRule="auto"/>
      </w:pPr>
      <w:r>
        <w:rPr>
          <w:rFonts w:ascii="Songti SC" w:hAnsi="Songti SC" w:eastAsia="Songti SC"/>
          <w:b w:val="0"/>
          <w:i/>
          <w:color w:val="667085"/>
          <w:sz w:val="14"/>
          <w:lang w:val="zh-CN" w:eastAsia="zh-CN"/>
        </w:rPr>
        <w:t>资料来源：</w:t>
      </w:r>
      <w:hyperlink r:id="rId14">
        <w:r>
          <w:rPr>
            <w:rFonts w:ascii="Songti SC" w:hAnsi="Songti SC" w:eastAsia="Songti SC"/>
            <w:color w:val="0563C1"/>
            <w:u w:val="single"/>
            <w:sz w:val="15"/>
          </w:rPr>
          <w:t>Q1 FY2027 presentation, slides 6 and 10</w:t>
        </w:r>
      </w:hyperlink>
      <w:r>
        <w:rPr>
          <w:rFonts w:ascii="Songti SC" w:hAnsi="Songti SC" w:eastAsia="Songti SC"/>
          <w:b w:val="0"/>
          <w:i/>
          <w:color w:val="667085"/>
          <w:sz w:val="14"/>
          <w:lang w:val="zh-CN" w:eastAsia="zh-CN"/>
        </w:rPr>
        <w:t xml:space="preserve">; </w:t>
      </w:r>
      <w:hyperlink r:id="rId17">
        <w:r>
          <w:rPr>
            <w:rFonts w:ascii="Songti SC" w:hAnsi="Songti SC" w:eastAsia="Songti SC"/>
            <w:color w:val="0563C1"/>
            <w:u w:val="single"/>
            <w:sz w:val="15"/>
          </w:rPr>
          <w:t>Q1 FY2027 earnings release</w:t>
        </w:r>
      </w:hyperlink>
      <w:r>
        <w:rPr>
          <w:rFonts w:ascii="Songti SC" w:hAnsi="Songti SC" w:eastAsia="Songti SC"/>
          <w:b w:val="0"/>
          <w:i/>
          <w:color w:val="667085"/>
          <w:sz w:val="14"/>
          <w:lang w:val="zh-CN" w:eastAsia="zh-CN"/>
        </w:rPr>
        <w:t>.</w:t>
      </w:r>
    </w:p>
    <w:p>
      <w:pPr>
        <w:keepNext/>
        <w:spacing w:before="0" w:after="16" w:line="247" w:lineRule="auto"/>
      </w:pPr>
      <w:r>
        <w:rPr>
          <w:rFonts w:ascii="Heiti SC" w:hAnsi="Heiti SC" w:eastAsia="Heiti SC"/>
          <w:b/>
          <w:i w:val="0"/>
          <w:color w:val="000000"/>
          <w:sz w:val="16"/>
          <w:lang w:val="zh-CN" w:eastAsia="zh-CN"/>
        </w:rPr>
        <w:t>图 3：Non-GAAP 利润率走势</w:t>
      </w:r>
    </w:p>
    <w:p>
      <w:pPr>
        <w:spacing w:after="4"/>
        <w:jc w:val="center"/>
      </w:pPr>
      <w:r>
        <w:drawing>
          <wp:inline xmlns:a="http://schemas.openxmlformats.org/drawingml/2006/main" xmlns:pic="http://schemas.openxmlformats.org/drawingml/2006/picture">
            <wp:extent cx="4526280" cy="2142840"/>
            <wp:docPr id="3" name="Picture 3" descr="Non-GAAP 利润率走势" title="Non-GAAP 利润率走势"/>
            <wp:cNvGraphicFramePr>
              <a:graphicFrameLocks noChangeAspect="1"/>
            </wp:cNvGraphicFramePr>
            <a:graphic>
              <a:graphicData uri="http://schemas.openxmlformats.org/drawingml/2006/picture">
                <pic:pic>
                  <pic:nvPicPr>
                    <pic:cNvPr id="0" name="wdc_q1fy27_chart3_margins.png"/>
                    <pic:cNvPicPr/>
                  </pic:nvPicPr>
                  <pic:blipFill>
                    <a:blip r:embed="rId18"/>
                    <a:stretch>
                      <a:fillRect/>
                    </a:stretch>
                  </pic:blipFill>
                  <pic:spPr>
                    <a:xfrm>
                      <a:off x="0" y="0"/>
                      <a:ext cx="4526280" cy="2142840"/>
                    </a:xfrm>
                    <a:prstGeom prst="rect"/>
                  </pic:spPr>
                </pic:pic>
              </a:graphicData>
            </a:graphic>
          </wp:inline>
        </w:drawing>
      </w:r>
    </w:p>
    <w:p>
      <w:pPr>
        <w:spacing w:before="4" w:after="54" w:line="240" w:lineRule="auto"/>
      </w:pPr>
      <w:r>
        <w:rPr>
          <w:rFonts w:ascii="Songti SC" w:hAnsi="Songti SC" w:eastAsia="Songti SC"/>
          <w:b w:val="0"/>
          <w:i/>
          <w:color w:val="667085"/>
          <w:sz w:val="14"/>
          <w:lang w:val="zh-CN" w:eastAsia="zh-CN"/>
        </w:rPr>
        <w:t>资料来源：</w:t>
      </w:r>
      <w:hyperlink r:id="rId14">
        <w:r>
          <w:rPr>
            <w:rFonts w:ascii="Songti SC" w:hAnsi="Songti SC" w:eastAsia="Songti SC"/>
            <w:color w:val="0563C1"/>
            <w:u w:val="single"/>
            <w:sz w:val="15"/>
          </w:rPr>
          <w:t>Q1 FY2027 presentation, slides 5-6</w:t>
        </w:r>
      </w:hyperlink>
      <w:r>
        <w:rPr>
          <w:rFonts w:ascii="Songti SC" w:hAnsi="Songti SC" w:eastAsia="Songti SC"/>
          <w:b w:val="0"/>
          <w:i/>
          <w:color w:val="667085"/>
          <w:sz w:val="14"/>
          <w:lang w:val="zh-CN" w:eastAsia="zh-CN"/>
        </w:rPr>
        <w:t xml:space="preserve">; </w:t>
      </w:r>
      <w:hyperlink r:id="rId15">
        <w:r>
          <w:rPr>
            <w:rFonts w:ascii="Songti SC" w:hAnsi="Songti SC" w:eastAsia="Songti SC"/>
            <w:color w:val="0563C1"/>
            <w:u w:val="single"/>
            <w:sz w:val="15"/>
          </w:rPr>
          <w:t>Q1 FY2027 Form 10-Q</w:t>
        </w:r>
      </w:hyperlink>
      <w:r>
        <w:rPr>
          <w:rFonts w:ascii="Songti SC" w:hAnsi="Songti SC" w:eastAsia="Songti SC"/>
          <w:b w:val="0"/>
          <w:i/>
          <w:color w:val="667085"/>
          <w:sz w:val="14"/>
          <w:lang w:val="zh-CN" w:eastAsia="zh-CN"/>
        </w:rPr>
        <w:t>.</w:t>
      </w:r>
    </w:p>
    <w:p>
      <w:r>
        <w:br w:type="page"/>
      </w:r>
    </w:p>
    <w:p>
      <w:pPr>
        <w:pStyle w:val="Heading1"/>
        <w:keepNext/>
        <w:spacing w:before="20" w:after="80"/>
      </w:pPr>
      <w:r>
        <w:t>现金流与终端市场结构</w:t>
      </w:r>
    </w:p>
    <w:p>
      <w:pPr>
        <w:keepNext w:val="0"/>
        <w:spacing w:before="0" w:after="82" w:line="247" w:lineRule="auto"/>
      </w:pPr>
      <w:r>
        <w:rPr>
          <w:rFonts w:ascii="Songti SC" w:hAnsi="Songti SC" w:eastAsia="Songti SC"/>
          <w:b w:val="0"/>
          <w:i w:val="0"/>
          <w:color w:val="000000"/>
          <w:sz w:val="18"/>
          <w:lang w:val="zh-CN" w:eastAsia="zh-CN"/>
        </w:rPr>
        <w:t>经营现金流同比增长 139% 至 16.04 亿美元，自由现金流增长 130% 至 13.77 亿美元，相当于收入的 31.4%。资本开支为 2.27 亿美元，高于上年同期的 0.73 亿美元，反映生产技术与自动化投入。营运资本消耗 3.31 亿美元，主要来自 2.69 亿美元库存增加与 2.06 亿美元应收增加，部分被应付与税务时点抵消。因此，现金转化在主动备货满足更高需求的同时仍然强劲，并非依靠营运资本暂时性释放。</w:t>
      </w:r>
    </w:p>
    <w:p>
      <w:pPr>
        <w:keepNext w:val="0"/>
        <w:spacing w:before="0" w:after="82" w:line="247" w:lineRule="auto"/>
      </w:pPr>
      <w:r>
        <w:rPr>
          <w:rFonts w:ascii="Songti SC" w:hAnsi="Songti SC" w:eastAsia="Songti SC"/>
          <w:b w:val="0"/>
          <w:i w:val="0"/>
          <w:color w:val="000000"/>
          <w:sz w:val="18"/>
          <w:lang w:val="zh-CN" w:eastAsia="zh-CN"/>
        </w:rPr>
        <w:t>资本配置规模较大：公司回购 10.01 亿美元股票，支付 0.56 亿美元普通股股息，并以 5.70 亿美元结算可转债交易。期末现金为 13.14 亿美元，循环信贷余额 6.50 亿美元，可转债本金仅剩 1.41 亿美元。约 5 亿美元净现金支持季度股息上调至每股 0.175 美元与定向投资，但可转债相关增发及股权薪酬会影响每股价值创造，因此我们更关注摊薄股数与每股自由现金流，而不仅是名义回购金额。</w:t>
      </w:r>
    </w:p>
    <w:p>
      <w:pPr>
        <w:keepNext w:val="0"/>
        <w:spacing w:before="0" w:after="82" w:line="247" w:lineRule="auto"/>
      </w:pPr>
      <w:r>
        <w:rPr>
          <w:rFonts w:ascii="Songti SC" w:hAnsi="Songti SC" w:eastAsia="Songti SC"/>
          <w:b w:val="0"/>
          <w:i w:val="0"/>
          <w:color w:val="000000"/>
          <w:sz w:val="18"/>
          <w:lang w:val="zh-CN" w:eastAsia="zh-CN"/>
        </w:rPr>
        <w:t>云业务仍占收入 88%，客户端占 7%，消费端占 5%。云业务集中度带来客户与议价风险，但在超大规模云厂商和 AI 工作负载持续拉动高容量需求时，这一结构具备较高经济价值。248EB 总出货由 223EB 近线与 25EB 非近线构成，分别高于上年同期的 183EB 与 21EB，说明核心销量引擎仍是企业与云存储，而非 PC 换机。</w:t>
      </w:r>
    </w:p>
    <w:p>
      <w:pPr>
        <w:keepNext/>
        <w:spacing w:before="0" w:after="16" w:line="247" w:lineRule="auto"/>
      </w:pPr>
      <w:r>
        <w:rPr>
          <w:rFonts w:ascii="Heiti SC" w:hAnsi="Heiti SC" w:eastAsia="Heiti SC"/>
          <w:b/>
          <w:i w:val="0"/>
          <w:color w:val="000000"/>
          <w:sz w:val="16"/>
          <w:lang w:val="zh-CN" w:eastAsia="zh-CN"/>
        </w:rPr>
        <w:t>图 4：季度自由现金流</w:t>
      </w:r>
    </w:p>
    <w:p>
      <w:pPr>
        <w:spacing w:after="4"/>
        <w:jc w:val="center"/>
      </w:pPr>
      <w:r>
        <w:drawing>
          <wp:inline xmlns:a="http://schemas.openxmlformats.org/drawingml/2006/main" xmlns:pic="http://schemas.openxmlformats.org/drawingml/2006/picture">
            <wp:extent cx="4343400" cy="2049452"/>
            <wp:docPr id="4" name="Picture 4" descr="季度自由现金流" title="季度自由现金流"/>
            <wp:cNvGraphicFramePr>
              <a:graphicFrameLocks noChangeAspect="1"/>
            </wp:cNvGraphicFramePr>
            <a:graphic>
              <a:graphicData uri="http://schemas.openxmlformats.org/drawingml/2006/picture">
                <pic:pic>
                  <pic:nvPicPr>
                    <pic:cNvPr id="0" name="wdc_q1fy27_chart4_fcf.png"/>
                    <pic:cNvPicPr/>
                  </pic:nvPicPr>
                  <pic:blipFill>
                    <a:blip r:embed="rId19"/>
                    <a:stretch>
                      <a:fillRect/>
                    </a:stretch>
                  </pic:blipFill>
                  <pic:spPr>
                    <a:xfrm>
                      <a:off x="0" y="0"/>
                      <a:ext cx="4343400" cy="2049452"/>
                    </a:xfrm>
                    <a:prstGeom prst="rect"/>
                  </pic:spPr>
                </pic:pic>
              </a:graphicData>
            </a:graphic>
          </wp:inline>
        </w:drawing>
      </w:r>
    </w:p>
    <w:p>
      <w:pPr>
        <w:spacing w:before="4" w:after="54" w:line="240" w:lineRule="auto"/>
      </w:pPr>
      <w:r>
        <w:rPr>
          <w:rFonts w:ascii="Songti SC" w:hAnsi="Songti SC" w:eastAsia="Songti SC"/>
          <w:b w:val="0"/>
          <w:i/>
          <w:color w:val="667085"/>
          <w:sz w:val="14"/>
          <w:lang w:val="zh-CN" w:eastAsia="zh-CN"/>
        </w:rPr>
        <w:t>资料来源：</w:t>
      </w:r>
      <w:hyperlink r:id="rId14">
        <w:r>
          <w:rPr>
            <w:rFonts w:ascii="Songti SC" w:hAnsi="Songti SC" w:eastAsia="Songti SC"/>
            <w:color w:val="0563C1"/>
            <w:u w:val="single"/>
            <w:sz w:val="15"/>
          </w:rPr>
          <w:t>Q1 FY2027 presentation, slides 6 and 10</w:t>
        </w:r>
      </w:hyperlink>
      <w:r>
        <w:rPr>
          <w:rFonts w:ascii="Songti SC" w:hAnsi="Songti SC" w:eastAsia="Songti SC"/>
          <w:b w:val="0"/>
          <w:i/>
          <w:color w:val="667085"/>
          <w:sz w:val="14"/>
          <w:lang w:val="zh-CN" w:eastAsia="zh-CN"/>
        </w:rPr>
        <w:t xml:space="preserve">; </w:t>
      </w:r>
      <w:hyperlink r:id="rId15">
        <w:r>
          <w:rPr>
            <w:rFonts w:ascii="Songti SC" w:hAnsi="Songti SC" w:eastAsia="Songti SC"/>
            <w:color w:val="0563C1"/>
            <w:u w:val="single"/>
            <w:sz w:val="15"/>
          </w:rPr>
          <w:t>Q1 FY2027 Form 10-Q, cash-flow statement</w:t>
        </w:r>
      </w:hyperlink>
      <w:r>
        <w:rPr>
          <w:rFonts w:ascii="Songti SC" w:hAnsi="Songti SC" w:eastAsia="Songti SC"/>
          <w:b w:val="0"/>
          <w:i/>
          <w:color w:val="667085"/>
          <w:sz w:val="14"/>
          <w:lang w:val="zh-CN" w:eastAsia="zh-CN"/>
        </w:rPr>
        <w:t>.</w:t>
      </w:r>
    </w:p>
    <w:p>
      <w:pPr>
        <w:keepNext/>
        <w:spacing w:before="0" w:after="16" w:line="247" w:lineRule="auto"/>
      </w:pPr>
      <w:r>
        <w:rPr>
          <w:rFonts w:ascii="Heiti SC" w:hAnsi="Heiti SC" w:eastAsia="Heiti SC"/>
          <w:b/>
          <w:i w:val="0"/>
          <w:color w:val="000000"/>
          <w:sz w:val="16"/>
          <w:lang w:val="zh-CN" w:eastAsia="zh-CN"/>
        </w:rPr>
        <w:t>图 5：按终端市场划分的收入结构</w:t>
      </w:r>
    </w:p>
    <w:p>
      <w:pPr>
        <w:spacing w:after="4"/>
        <w:jc w:val="center"/>
      </w:pPr>
      <w:r>
        <w:drawing>
          <wp:inline xmlns:a="http://schemas.openxmlformats.org/drawingml/2006/main" xmlns:pic="http://schemas.openxmlformats.org/drawingml/2006/picture">
            <wp:extent cx="4343400" cy="2211120"/>
            <wp:docPr id="5" name="Picture 5" descr="按终端市场划分的收入结构" title="按终端市场划分的收入结构"/>
            <wp:cNvGraphicFramePr>
              <a:graphicFrameLocks noChangeAspect="1"/>
            </wp:cNvGraphicFramePr>
            <a:graphic>
              <a:graphicData uri="http://schemas.openxmlformats.org/drawingml/2006/picture">
                <pic:pic>
                  <pic:nvPicPr>
                    <pic:cNvPr id="0" name="wdc_q1fy27_chart5_mix.png"/>
                    <pic:cNvPicPr/>
                  </pic:nvPicPr>
                  <pic:blipFill>
                    <a:blip r:embed="rId20"/>
                    <a:stretch>
                      <a:fillRect/>
                    </a:stretch>
                  </pic:blipFill>
                  <pic:spPr>
                    <a:xfrm>
                      <a:off x="0" y="0"/>
                      <a:ext cx="4343400" cy="2211120"/>
                    </a:xfrm>
                    <a:prstGeom prst="rect"/>
                  </pic:spPr>
                </pic:pic>
              </a:graphicData>
            </a:graphic>
          </wp:inline>
        </w:drawing>
      </w:r>
    </w:p>
    <w:p>
      <w:pPr>
        <w:spacing w:before="4" w:after="54" w:line="240" w:lineRule="auto"/>
      </w:pPr>
      <w:r>
        <w:rPr>
          <w:rFonts w:ascii="Songti SC" w:hAnsi="Songti SC" w:eastAsia="Songti SC"/>
          <w:b w:val="0"/>
          <w:i/>
          <w:color w:val="667085"/>
          <w:sz w:val="14"/>
          <w:lang w:val="zh-CN" w:eastAsia="zh-CN"/>
        </w:rPr>
        <w:t>资料来源：</w:t>
      </w:r>
      <w:hyperlink r:id="rId14">
        <w:r>
          <w:rPr>
            <w:rFonts w:ascii="Songti SC" w:hAnsi="Songti SC" w:eastAsia="Songti SC"/>
            <w:color w:val="0563C1"/>
            <w:u w:val="single"/>
            <w:sz w:val="15"/>
          </w:rPr>
          <w:t>Q1 FY2027 presentation, slide 4</w:t>
        </w:r>
      </w:hyperlink>
      <w:r>
        <w:rPr>
          <w:rFonts w:ascii="Songti SC" w:hAnsi="Songti SC" w:eastAsia="Songti SC"/>
          <w:b w:val="0"/>
          <w:i/>
          <w:color w:val="667085"/>
          <w:sz w:val="14"/>
          <w:lang w:val="zh-CN" w:eastAsia="zh-CN"/>
        </w:rPr>
        <w:t xml:space="preserve">; </w:t>
      </w:r>
      <w:hyperlink r:id="rId15">
        <w:r>
          <w:rPr>
            <w:rFonts w:ascii="Songti SC" w:hAnsi="Songti SC" w:eastAsia="Songti SC"/>
            <w:color w:val="0563C1"/>
            <w:u w:val="single"/>
            <w:sz w:val="15"/>
          </w:rPr>
          <w:t>Q1 FY2027 Form 10-Q, revenue note</w:t>
        </w:r>
      </w:hyperlink>
      <w:r>
        <w:rPr>
          <w:rFonts w:ascii="Songti SC" w:hAnsi="Songti SC" w:eastAsia="Songti SC"/>
          <w:b w:val="0"/>
          <w:i/>
          <w:color w:val="667085"/>
          <w:sz w:val="14"/>
          <w:lang w:val="zh-CN" w:eastAsia="zh-CN"/>
        </w:rPr>
        <w:t>.</w:t>
      </w:r>
    </w:p>
    <w:p>
      <w:r>
        <w:br w:type="page"/>
      </w:r>
    </w:p>
    <w:p>
      <w:pPr>
        <w:pStyle w:val="Heading1"/>
        <w:keepNext/>
        <w:spacing w:before="20" w:after="80"/>
      </w:pPr>
      <w:r>
        <w:t>指引与近期展望</w:t>
      </w:r>
    </w:p>
    <w:p>
      <w:pPr>
        <w:keepNext w:val="0"/>
        <w:spacing w:before="0" w:after="82" w:line="247" w:lineRule="auto"/>
      </w:pPr>
      <w:r>
        <w:rPr>
          <w:rFonts w:ascii="Songti SC" w:hAnsi="Songti SC" w:eastAsia="Songti SC"/>
          <w:b w:val="0"/>
          <w:i w:val="0"/>
          <w:color w:val="000000"/>
          <w:sz w:val="18"/>
          <w:lang w:val="zh-CN" w:eastAsia="zh-CN"/>
        </w:rPr>
        <w:t>管理层预计 FY2027 Q2 收入为 51 亿美元，上下浮动 1 亿美元，即同比增长 66%-72%、中值环比增长约 16%。Non-GAAP 毛利率预计为 60%-61%，营业费用 4.00 亿至 4.10 亿美元，其他净费用约 0.15 亿美元，税率约 17%，摊薄股数约 3.80 亿股；对应 Non-GAAP EPS 为 5.80 美元，上下浮动 0.20 美元，中值环比再增长 25%。与 10 月 23 日当前市场预期的 51.27 亿美元收入和 5.87 美元 EPS 相比，新指引在财报后上修后已大体被市场吸收。</w:t>
      </w:r>
    </w:p>
    <w:p>
      <w:pPr>
        <w:keepNext w:val="0"/>
        <w:spacing w:before="0" w:after="82" w:line="247" w:lineRule="auto"/>
      </w:pPr>
      <w:r>
        <w:rPr>
          <w:rFonts w:ascii="Songti SC" w:hAnsi="Songti SC" w:eastAsia="Songti SC"/>
          <w:b w:val="0"/>
          <w:i w:val="0"/>
          <w:color w:val="000000"/>
          <w:sz w:val="18"/>
          <w:lang w:val="zh-CN" w:eastAsia="zh-CN"/>
        </w:rPr>
        <w:t>与此前指引的比较更有信息量。Q1 实际收入较旧指引中值高 6.9%，实际毛利率高 260 个基点，Non-GAAP EPS 高 16%。公司持续利用技术切换、长期协议与整盘供给约束来提高每 TB 售价，Q2 利润率指引假设这一机制延续。下一步验证点包括最新 ePMR 平台占近线出货比例、LTA 续签时的定价调整，以及成本通胀能否受控。</w:t>
      </w:r>
    </w:p>
    <w:p>
      <w:pPr>
        <w:keepNext w:val="0"/>
        <w:spacing w:before="0" w:after="82" w:line="247" w:lineRule="auto"/>
      </w:pPr>
      <w:r>
        <w:rPr>
          <w:rFonts w:ascii="Songti SC" w:hAnsi="Songti SC" w:eastAsia="Songti SC"/>
          <w:b w:val="0"/>
          <w:i w:val="0"/>
          <w:color w:val="000000"/>
          <w:sz w:val="18"/>
          <w:lang w:val="zh-CN" w:eastAsia="zh-CN"/>
        </w:rPr>
        <w:t>我们不会把 Q2 收入同比增长 69% 机械外推。基准情景假设 Q3 与 Q4 因基数抬高而增速放缓，但高容量组合支撑毛利率保持在 60% 以上。管理层称客户需求可见度已延伸至 2030-2031 年，这对战略有利，却不等同于确定的量价指引。分析上必须区分需求可见度与合同经济性：部分 LTA 数量带有定价条款，部分 EB 尚未签约，而且期限越远，合同覆盖越低。</w:t>
      </w:r>
    </w:p>
    <w:p>
      <w:pPr>
        <w:keepNext/>
        <w:spacing w:before="0" w:after="16" w:line="247" w:lineRule="auto"/>
      </w:pPr>
      <w:r>
        <w:rPr>
          <w:rFonts w:ascii="Heiti SC" w:hAnsi="Heiti SC" w:eastAsia="Heiti SC"/>
          <w:b/>
          <w:i w:val="0"/>
          <w:color w:val="000000"/>
          <w:sz w:val="16"/>
          <w:lang w:val="zh-CN" w:eastAsia="zh-CN"/>
        </w:rPr>
        <w:t>图 7：Q1 实际业绩与此前指引及一致预期</w:t>
      </w:r>
    </w:p>
    <w:p>
      <w:pPr>
        <w:spacing w:after="4"/>
        <w:jc w:val="center"/>
      </w:pPr>
      <w:r>
        <w:drawing>
          <wp:inline xmlns:a="http://schemas.openxmlformats.org/drawingml/2006/main" xmlns:pic="http://schemas.openxmlformats.org/drawingml/2006/picture">
            <wp:extent cx="4389120" cy="1832650"/>
            <wp:docPr id="6" name="Picture 6" descr="Q1 实际业绩与此前指引及一致预期" title="Q1 实际业绩与此前指引及一致预期"/>
            <wp:cNvGraphicFramePr>
              <a:graphicFrameLocks noChangeAspect="1"/>
            </wp:cNvGraphicFramePr>
            <a:graphic>
              <a:graphicData uri="http://schemas.openxmlformats.org/drawingml/2006/picture">
                <pic:pic>
                  <pic:nvPicPr>
                    <pic:cNvPr id="0" name="wdc_q1fy27_chart7_beat.png"/>
                    <pic:cNvPicPr/>
                  </pic:nvPicPr>
                  <pic:blipFill>
                    <a:blip r:embed="rId21"/>
                    <a:stretch>
                      <a:fillRect/>
                    </a:stretch>
                  </pic:blipFill>
                  <pic:spPr>
                    <a:xfrm>
                      <a:off x="0" y="0"/>
                      <a:ext cx="4389120" cy="1832650"/>
                    </a:xfrm>
                    <a:prstGeom prst="rect"/>
                  </pic:spPr>
                </pic:pic>
              </a:graphicData>
            </a:graphic>
          </wp:inline>
        </w:drawing>
      </w:r>
    </w:p>
    <w:p>
      <w:pPr>
        <w:spacing w:before="4" w:after="54" w:line="240" w:lineRule="auto"/>
      </w:pPr>
      <w:r>
        <w:rPr>
          <w:rFonts w:ascii="Songti SC" w:hAnsi="Songti SC" w:eastAsia="Songti SC"/>
          <w:b w:val="0"/>
          <w:i/>
          <w:color w:val="667085"/>
          <w:sz w:val="14"/>
          <w:lang w:val="zh-CN" w:eastAsia="zh-CN"/>
        </w:rPr>
        <w:t>资料来源：</w:t>
      </w:r>
      <w:hyperlink r:id="rId22">
        <w:r>
          <w:rPr>
            <w:rFonts w:ascii="Songti SC" w:hAnsi="Songti SC" w:eastAsia="Songti SC"/>
            <w:color w:val="0563C1"/>
            <w:u w:val="single"/>
            <w:sz w:val="15"/>
          </w:rPr>
          <w:t>Q4 FY2026 release and Q1 guidance, 5 Aug. 2026</w:t>
        </w:r>
      </w:hyperlink>
      <w:r>
        <w:rPr>
          <w:rFonts w:ascii="Songti SC" w:hAnsi="Songti SC" w:eastAsia="Songti SC"/>
          <w:b w:val="0"/>
          <w:i/>
          <w:color w:val="667085"/>
          <w:sz w:val="14"/>
          <w:lang w:val="zh-CN" w:eastAsia="zh-CN"/>
        </w:rPr>
        <w:t xml:space="preserve">; </w:t>
      </w:r>
      <w:hyperlink r:id="rId11">
        <w:r>
          <w:rPr>
            <w:rFonts w:ascii="Songti SC" w:hAnsi="Songti SC" w:eastAsia="Songti SC"/>
            <w:color w:val="0563C1"/>
            <w:u w:val="single"/>
            <w:sz w:val="15"/>
          </w:rPr>
          <w:t>Q1 FY2027 release, 22 Oct. 2026</w:t>
        </w:r>
      </w:hyperlink>
      <w:r>
        <w:rPr>
          <w:rFonts w:ascii="Songti SC" w:hAnsi="Songti SC" w:eastAsia="Songti SC"/>
          <w:b w:val="0"/>
          <w:i/>
          <w:color w:val="667085"/>
          <w:sz w:val="14"/>
          <w:lang w:val="zh-CN" w:eastAsia="zh-CN"/>
        </w:rPr>
        <w:t xml:space="preserve">; </w:t>
      </w:r>
      <w:hyperlink r:id="rId12">
        <w:r>
          <w:rPr>
            <w:rFonts w:ascii="Songti SC" w:hAnsi="Songti SC" w:eastAsia="Songti SC"/>
            <w:color w:val="0563C1"/>
            <w:u w:val="single"/>
            <w:sz w:val="15"/>
          </w:rPr>
          <w:t>MarketBeat pre-release consensus</w:t>
        </w:r>
      </w:hyperlink>
      <w:r>
        <w:rPr>
          <w:rFonts w:ascii="Songti SC" w:hAnsi="Songti SC" w:eastAsia="Songti SC"/>
          <w:b w:val="0"/>
          <w:i/>
          <w:color w:val="667085"/>
          <w:sz w:val="14"/>
          <w:lang w:val="zh-CN" w:eastAsia="zh-CN"/>
        </w:rPr>
        <w:t>.</w:t>
      </w:r>
    </w:p>
    <w:p>
      <w:pPr>
        <w:keepNext/>
        <w:spacing w:before="0" w:after="16" w:line="247" w:lineRule="auto"/>
      </w:pPr>
      <w:r>
        <w:rPr>
          <w:rFonts w:ascii="Heiti SC" w:hAnsi="Heiti SC" w:eastAsia="Heiti SC"/>
          <w:b/>
          <w:i w:val="0"/>
          <w:color w:val="000000"/>
          <w:sz w:val="16"/>
          <w:lang w:val="zh-CN" w:eastAsia="zh-CN"/>
        </w:rPr>
        <w:t>图 8：FY2027 Q2 指引与当前市场预期</w:t>
      </w:r>
    </w:p>
    <w:p>
      <w:pPr>
        <w:spacing w:after="4"/>
        <w:jc w:val="center"/>
      </w:pPr>
      <w:r>
        <w:drawing>
          <wp:inline xmlns:a="http://schemas.openxmlformats.org/drawingml/2006/main" xmlns:pic="http://schemas.openxmlformats.org/drawingml/2006/picture">
            <wp:extent cx="4389120" cy="1832650"/>
            <wp:docPr id="7" name="Picture 7" descr="FY2027 Q2 指引与当前市场预期" title="FY2027 Q2 指引与当前市场预期"/>
            <wp:cNvGraphicFramePr>
              <a:graphicFrameLocks noChangeAspect="1"/>
            </wp:cNvGraphicFramePr>
            <a:graphic>
              <a:graphicData uri="http://schemas.openxmlformats.org/drawingml/2006/picture">
                <pic:pic>
                  <pic:nvPicPr>
                    <pic:cNvPr id="0" name="wdc_q1fy27_chart8_guidance.png"/>
                    <pic:cNvPicPr/>
                  </pic:nvPicPr>
                  <pic:blipFill>
                    <a:blip r:embed="rId23"/>
                    <a:stretch>
                      <a:fillRect/>
                    </a:stretch>
                  </pic:blipFill>
                  <pic:spPr>
                    <a:xfrm>
                      <a:off x="0" y="0"/>
                      <a:ext cx="4389120" cy="1832650"/>
                    </a:xfrm>
                    <a:prstGeom prst="rect"/>
                  </pic:spPr>
                </pic:pic>
              </a:graphicData>
            </a:graphic>
          </wp:inline>
        </w:drawing>
      </w:r>
    </w:p>
    <w:p>
      <w:pPr>
        <w:spacing w:before="4" w:after="54" w:line="240" w:lineRule="auto"/>
      </w:pPr>
      <w:r>
        <w:rPr>
          <w:rFonts w:ascii="Songti SC" w:hAnsi="Songti SC" w:eastAsia="Songti SC"/>
          <w:b w:val="0"/>
          <w:i/>
          <w:color w:val="667085"/>
          <w:sz w:val="14"/>
          <w:lang w:val="zh-CN" w:eastAsia="zh-CN"/>
        </w:rPr>
        <w:t>资料来源：</w:t>
      </w:r>
      <w:hyperlink r:id="rId14">
        <w:r>
          <w:rPr>
            <w:rFonts w:ascii="Songti SC" w:hAnsi="Songti SC" w:eastAsia="Songti SC"/>
            <w:color w:val="0563C1"/>
            <w:u w:val="single"/>
            <w:sz w:val="15"/>
          </w:rPr>
          <w:t>Q1 FY2027 presentation, slide 7</w:t>
        </w:r>
      </w:hyperlink>
      <w:r>
        <w:rPr>
          <w:rFonts w:ascii="Songti SC" w:hAnsi="Songti SC" w:eastAsia="Songti SC"/>
          <w:b w:val="0"/>
          <w:i/>
          <w:color w:val="667085"/>
          <w:sz w:val="14"/>
          <w:lang w:val="zh-CN" w:eastAsia="zh-CN"/>
        </w:rPr>
        <w:t xml:space="preserve">; </w:t>
      </w:r>
      <w:hyperlink r:id="rId24">
        <w:r>
          <w:rPr>
            <w:rFonts w:ascii="Songti SC" w:hAnsi="Songti SC" w:eastAsia="Songti SC"/>
            <w:color w:val="0563C1"/>
            <w:u w:val="single"/>
            <w:sz w:val="15"/>
          </w:rPr>
          <w:t>Longbridge consensus snapshot, 23 Oct. 2026</w:t>
        </w:r>
      </w:hyperlink>
      <w:r>
        <w:rPr>
          <w:rFonts w:ascii="Songti SC" w:hAnsi="Songti SC" w:eastAsia="Songti SC"/>
          <w:b w:val="0"/>
          <w:i/>
          <w:color w:val="667085"/>
          <w:sz w:val="14"/>
          <w:lang w:val="zh-CN" w:eastAsia="zh-CN"/>
        </w:rPr>
        <w:t>.</w:t>
      </w:r>
    </w:p>
    <w:p>
      <w:r>
        <w:br w:type="page"/>
      </w:r>
    </w:p>
    <w:p>
      <w:pPr>
        <w:pStyle w:val="Heading1"/>
        <w:keepNext/>
        <w:spacing w:before="20" w:after="80"/>
      </w:pPr>
      <w:r>
        <w:t>更新后的投资逻辑</w:t>
      </w:r>
    </w:p>
    <w:p>
      <w:pPr>
        <w:spacing w:after="80" w:line="247" w:lineRule="auto"/>
        <w:ind w:left="43" w:hanging="43"/>
      </w:pPr>
      <w:r>
        <w:rPr>
          <w:rFonts w:ascii="Heiti SC" w:hAnsi="Heiti SC" w:eastAsia="Heiti SC"/>
          <w:b/>
          <w:i w:val="0"/>
          <w:color w:val="123B5D"/>
          <w:sz w:val="18"/>
          <w:lang w:val="zh-CN" w:eastAsia="zh-CN"/>
        </w:rPr>
        <w:t xml:space="preserve">■ </w:t>
      </w:r>
      <w:r>
        <w:rPr>
          <w:rFonts w:ascii="Heiti SC" w:hAnsi="Heiti SC" w:eastAsia="Heiti SC"/>
          <w:b/>
          <w:i w:val="0"/>
          <w:color w:val="000000"/>
          <w:sz w:val="18"/>
          <w:lang w:val="zh-CN" w:eastAsia="zh-CN"/>
        </w:rPr>
        <w:t xml:space="preserve">AI 存储需求与客户可见度  逻辑增强。 </w:t>
      </w:r>
      <w:r>
        <w:rPr>
          <w:rFonts w:ascii="Songti SC" w:hAnsi="Songti SC" w:eastAsia="Songti SC"/>
          <w:b w:val="0"/>
          <w:i w:val="0"/>
          <w:color w:val="000000"/>
          <w:sz w:val="18"/>
          <w:lang w:val="zh-CN" w:eastAsia="zh-CN"/>
        </w:rPr>
        <w:t>云业务收入增长 54%，占比维持 88%；管理层提到需求来自超大规模云厂商、AI 前沿实验室、NeoCloud、企业客户与混合云 OEM。主要客户需求可见度延伸至 2030-2031 年，覆盖面扩大降低了对单一 AI 训练周期的依赖，但客户集中度仍高，长期可见度也不等于刚性采购量。</w:t>
      </w:r>
    </w:p>
    <w:p>
      <w:pPr>
        <w:spacing w:after="80" w:line="247" w:lineRule="auto"/>
        <w:ind w:left="43" w:hanging="43"/>
      </w:pPr>
      <w:r>
        <w:rPr>
          <w:rFonts w:ascii="Heiti SC" w:hAnsi="Heiti SC" w:eastAsia="Heiti SC"/>
          <w:b/>
          <w:i w:val="0"/>
          <w:color w:val="123B5D"/>
          <w:sz w:val="18"/>
          <w:lang w:val="zh-CN" w:eastAsia="zh-CN"/>
        </w:rPr>
        <w:t xml:space="preserve">■ </w:t>
      </w:r>
      <w:r>
        <w:rPr>
          <w:rFonts w:ascii="Heiti SC" w:hAnsi="Heiti SC" w:eastAsia="Heiti SC"/>
          <w:b/>
          <w:i w:val="0"/>
          <w:color w:val="000000"/>
          <w:sz w:val="18"/>
          <w:lang w:val="zh-CN" w:eastAsia="zh-CN"/>
        </w:rPr>
        <w:t xml:space="preserve">技术驱动的容量增长  逻辑增强但依赖执行。 </w:t>
      </w:r>
      <w:r>
        <w:rPr>
          <w:rFonts w:ascii="Songti SC" w:hAnsi="Songti SC" w:eastAsia="Songti SC"/>
          <w:b w:val="0"/>
          <w:i w:val="0"/>
          <w:color w:val="000000"/>
          <w:sz w:val="18"/>
          <w:lang w:val="zh-CN" w:eastAsia="zh-CN"/>
        </w:rPr>
        <w:t>最高 40TB 的最新 ePMR 平台切换速度快于以往，管理层预计其占近线出货比例在 FY2027 Q2 约为 30%、Q3 达 50%。HAMR 量产出货仍计划于 2027 年上半年开始。若两项切换顺利，WDC 可在维持整盘供给纪律的同时，于 FY2027-FY2028 加速 EB 增长。</w:t>
      </w:r>
    </w:p>
    <w:p>
      <w:pPr>
        <w:spacing w:after="80" w:line="247" w:lineRule="auto"/>
        <w:ind w:left="43" w:hanging="43"/>
      </w:pPr>
      <w:r>
        <w:rPr>
          <w:rFonts w:ascii="Heiti SC" w:hAnsi="Heiti SC" w:eastAsia="Heiti SC"/>
          <w:b/>
          <w:i w:val="0"/>
          <w:color w:val="123B5D"/>
          <w:sz w:val="18"/>
          <w:lang w:val="zh-CN" w:eastAsia="zh-CN"/>
        </w:rPr>
        <w:t xml:space="preserve">■ </w:t>
      </w:r>
      <w:r>
        <w:rPr>
          <w:rFonts w:ascii="Heiti SC" w:hAnsi="Heiti SC" w:eastAsia="Heiti SC"/>
          <w:b/>
          <w:i w:val="0"/>
          <w:color w:val="000000"/>
          <w:sz w:val="18"/>
          <w:lang w:val="zh-CN" w:eastAsia="zh-CN"/>
        </w:rPr>
        <w:t xml:space="preserve">定价与利润率持续性  逻辑增强。 </w:t>
      </w:r>
      <w:r>
        <w:rPr>
          <w:rFonts w:ascii="Songti SC" w:hAnsi="Songti SC" w:eastAsia="Songti SC"/>
          <w:b w:val="0"/>
          <w:i w:val="0"/>
          <w:color w:val="000000"/>
          <w:sz w:val="18"/>
          <w:lang w:val="zh-CN" w:eastAsia="zh-CN"/>
        </w:rPr>
        <w:t>每 TB 综合售价同比增长 28%，Q2 毛利率指引升至 60%-61%。定价由 LTA 合同调价、高容量产品带来的客户总体拥有成本优势，以及未签约 EB 的紧张现货供给共同支撑。主要挑战是定价可见度短于需求可见度：合同仅覆盖部分未来产量，行业若激进扩产，当前稀缺溢价最终可能回落。</w:t>
      </w:r>
    </w:p>
    <w:p>
      <w:pPr>
        <w:spacing w:after="80" w:line="247" w:lineRule="auto"/>
        <w:ind w:left="43" w:hanging="43"/>
      </w:pPr>
      <w:r>
        <w:rPr>
          <w:rFonts w:ascii="Heiti SC" w:hAnsi="Heiti SC" w:eastAsia="Heiti SC"/>
          <w:b/>
          <w:i w:val="0"/>
          <w:color w:val="123B5D"/>
          <w:sz w:val="18"/>
          <w:lang w:val="zh-CN" w:eastAsia="zh-CN"/>
        </w:rPr>
        <w:t xml:space="preserve">■ </w:t>
      </w:r>
      <w:r>
        <w:rPr>
          <w:rFonts w:ascii="Heiti SC" w:hAnsi="Heiti SC" w:eastAsia="Heiti SC"/>
          <w:b/>
          <w:i w:val="0"/>
          <w:color w:val="000000"/>
          <w:sz w:val="18"/>
          <w:lang w:val="zh-CN" w:eastAsia="zh-CN"/>
        </w:rPr>
        <w:t xml:space="preserve">资本配置与每股复利  表现中性。 </w:t>
      </w:r>
      <w:r>
        <w:rPr>
          <w:rFonts w:ascii="Songti SC" w:hAnsi="Songti SC" w:eastAsia="Songti SC"/>
          <w:b w:val="0"/>
          <w:i w:val="0"/>
          <w:color w:val="000000"/>
          <w:sz w:val="18"/>
          <w:lang w:val="zh-CN" w:eastAsia="zh-CN"/>
        </w:rPr>
        <w:t>自由现金流可支持股息、回购与技术投入，但未来两年资本开支占收入比将略高于 4%-6% 常态范围。可转债结算也因转换溢价发行股份，股权薪酬持续存在。正确评价指标应是完成必要技术投入后的摊薄每股自由现金流增长，而非名义回购总额。</w:t>
      </w:r>
    </w:p>
    <w:p>
      <w:pPr>
        <w:keepNext w:val="0"/>
        <w:spacing w:before="0" w:after="82" w:line="247" w:lineRule="auto"/>
      </w:pPr>
      <w:r>
        <w:rPr>
          <w:rFonts w:ascii="Songti SC" w:hAnsi="Songti SC" w:eastAsia="Songti SC"/>
          <w:b w:val="0"/>
          <w:i w:val="0"/>
          <w:color w:val="000000"/>
          <w:sz w:val="18"/>
          <w:lang w:val="zh-CN" w:eastAsia="zh-CN"/>
        </w:rPr>
        <w:t>整体看，本次财报对经营逻辑的强化程度高于股价反应。10 月 23 日下跌 2.97%，更像是市场担忧资本开支与投入成本上升代表周期见顶。我们认为电话会传递的是面向磁头、介质与自动化的密度升级，而非大规模增加整盘产能。二者差别至关重要：在整盘量受控时，通过更多盘片和更高容量提高 EB 的投资可维持价格纪律；传统工厂扩张则会带来更严重的供给过剩风险。</w:t>
      </w:r>
    </w:p>
    <w:p>
      <w:pPr>
        <w:keepNext/>
        <w:spacing w:before="0" w:after="16" w:line="247" w:lineRule="auto"/>
      </w:pPr>
      <w:r>
        <w:rPr>
          <w:rFonts w:ascii="Heiti SC" w:hAnsi="Heiti SC" w:eastAsia="Heiti SC"/>
          <w:b/>
          <w:i w:val="0"/>
          <w:color w:val="000000"/>
          <w:sz w:val="16"/>
          <w:lang w:val="zh-CN" w:eastAsia="zh-CN"/>
        </w:rPr>
        <w:t>图 6：近线与非近线 EB 出货</w:t>
      </w:r>
    </w:p>
    <w:p>
      <w:pPr>
        <w:spacing w:after="4"/>
        <w:jc w:val="center"/>
      </w:pPr>
      <w:r>
        <w:drawing>
          <wp:inline xmlns:a="http://schemas.openxmlformats.org/drawingml/2006/main" xmlns:pic="http://schemas.openxmlformats.org/drawingml/2006/picture">
            <wp:extent cx="4754880" cy="2236206"/>
            <wp:docPr id="8" name="Picture 8" descr="近线与非近线 EB 出货" title="近线与非近线 EB 出货"/>
            <wp:cNvGraphicFramePr>
              <a:graphicFrameLocks noChangeAspect="1"/>
            </wp:cNvGraphicFramePr>
            <a:graphic>
              <a:graphicData uri="http://schemas.openxmlformats.org/drawingml/2006/picture">
                <pic:pic>
                  <pic:nvPicPr>
                    <pic:cNvPr id="0" name="wdc_q1fy27_chart6_exabytes.png"/>
                    <pic:cNvPicPr/>
                  </pic:nvPicPr>
                  <pic:blipFill>
                    <a:blip r:embed="rId25"/>
                    <a:stretch>
                      <a:fillRect/>
                    </a:stretch>
                  </pic:blipFill>
                  <pic:spPr>
                    <a:xfrm>
                      <a:off x="0" y="0"/>
                      <a:ext cx="4754880" cy="2236206"/>
                    </a:xfrm>
                    <a:prstGeom prst="rect"/>
                  </pic:spPr>
                </pic:pic>
              </a:graphicData>
            </a:graphic>
          </wp:inline>
        </w:drawing>
      </w:r>
    </w:p>
    <w:p>
      <w:pPr>
        <w:spacing w:before="4" w:after="54" w:line="240" w:lineRule="auto"/>
      </w:pPr>
      <w:r>
        <w:rPr>
          <w:rFonts w:ascii="Songti SC" w:hAnsi="Songti SC" w:eastAsia="Songti SC"/>
          <w:b w:val="0"/>
          <w:i/>
          <w:color w:val="667085"/>
          <w:sz w:val="14"/>
          <w:lang w:val="zh-CN" w:eastAsia="zh-CN"/>
        </w:rPr>
        <w:t>资料来源：</w:t>
      </w:r>
      <w:hyperlink r:id="rId14">
        <w:r>
          <w:rPr>
            <w:rFonts w:ascii="Songti SC" w:hAnsi="Songti SC" w:eastAsia="Songti SC"/>
            <w:color w:val="0563C1"/>
            <w:u w:val="single"/>
            <w:sz w:val="15"/>
          </w:rPr>
          <w:t>Q1 FY2027 presentation, slide 5</w:t>
        </w:r>
      </w:hyperlink>
      <w:r>
        <w:rPr>
          <w:rFonts w:ascii="Songti SC" w:hAnsi="Songti SC" w:eastAsia="Songti SC"/>
          <w:b w:val="0"/>
          <w:i/>
          <w:color w:val="667085"/>
          <w:sz w:val="14"/>
          <w:lang w:val="zh-CN" w:eastAsia="zh-CN"/>
        </w:rPr>
        <w:t xml:space="preserve">; </w:t>
      </w:r>
      <w:hyperlink r:id="rId26">
        <w:r>
          <w:rPr>
            <w:rFonts w:ascii="Songti SC" w:hAnsi="Songti SC" w:eastAsia="Songti SC"/>
            <w:color w:val="0563C1"/>
            <w:u w:val="single"/>
            <w:sz w:val="15"/>
          </w:rPr>
          <w:t>Q1 FY2027 earnings-call transcript, 22 Oct. 2026</w:t>
        </w:r>
      </w:hyperlink>
      <w:r>
        <w:rPr>
          <w:rFonts w:ascii="Songti SC" w:hAnsi="Songti SC" w:eastAsia="Songti SC"/>
          <w:b w:val="0"/>
          <w:i/>
          <w:color w:val="667085"/>
          <w:sz w:val="14"/>
          <w:lang w:val="zh-CN" w:eastAsia="zh-CN"/>
        </w:rPr>
        <w:t>.</w:t>
      </w:r>
    </w:p>
    <w:p>
      <w:r>
        <w:br w:type="page"/>
      </w:r>
    </w:p>
    <w:p>
      <w:pPr>
        <w:pStyle w:val="Heading1"/>
        <w:keepNext/>
        <w:spacing w:before="20" w:after="80"/>
      </w:pPr>
      <w:r>
        <w:t>预测调整</w:t>
      </w:r>
    </w:p>
    <w:p>
      <w:pPr>
        <w:keepNext w:val="0"/>
        <w:spacing w:before="0" w:after="82" w:line="247" w:lineRule="auto"/>
      </w:pPr>
      <w:r>
        <w:rPr>
          <w:rFonts w:ascii="Songti SC" w:hAnsi="Songti SC" w:eastAsia="Songti SC"/>
          <w:b w:val="0"/>
          <w:i w:val="0"/>
          <w:color w:val="000000"/>
          <w:sz w:val="18"/>
          <w:lang w:val="zh-CN" w:eastAsia="zh-CN"/>
        </w:rPr>
        <w:t>我们把 FY2027 收入预测由 196 亿美元上调至 213 亿美元，把 Non-GAAP EPS 由 20.50 美元上调至 25.00 美元。收入调整纳入 Q1 较一致预期高 2.36 亿美元、Q2 51 亿美元指引中值，以及 40TB ePMR 爬坡带来的更高下半年基础。EPS 上调幅度更大，因为毛利率杠杆与受控营业费用使增量收入以较高贡献率转化为利润。FY2028 预计收入 250 亿美元、EPS 31.00 美元，假设 EB 供给加速、HAMR 通过认证及定价纪律延续，但不假设 Q2 69% 的同比增速长期持续。</w:t>
      </w:r>
    </w:p>
    <w:tbl>
      <w:tblPr>
        <w:tblStyle w:val="TableGrid"/>
        <w:tblW w:type="dxa" w:w="10050"/>
        <w:jc w:val="left"/>
        <w:tblLayout w:type="fixed"/>
        <w:tblLook w:firstColumn="1" w:firstRow="1" w:lastColumn="0" w:lastRow="0" w:noHBand="0" w:noVBand="1" w:val="04A0"/>
        <w:tblInd w:type="dxa" w:w="100"/>
      </w:tblPr>
      <w:tblGrid>
        <w:gridCol w:w="2410"/>
        <w:gridCol w:w="1388"/>
        <w:gridCol w:w="1724"/>
        <w:gridCol w:w="1724"/>
        <w:gridCol w:w="1344"/>
        <w:gridCol w:w="1460"/>
      </w:tblGrid>
      <w:tr>
        <w:trPr>
          <w:tblHeader w:val="true"/>
        </w:trPr>
        <w:tc>
          <w:tcPr>
            <w:tcW w:type="dxa" w:w="2410"/>
            <w:shd w:fill="123B5D"/>
            <w:tcMar>
              <w:top w:w="80" w:type="dxa"/>
              <w:start w:w="120" w:type="dxa"/>
              <w:bottom w:w="80" w:type="dxa"/>
              <w:end w:w="120" w:type="dxa"/>
            </w:tcMar>
            <w:vAlign w:val="center"/>
          </w:tcPr>
          <w:p>
            <w:pPr>
              <w:jc w:val="center"/>
            </w:pPr>
            <w:r>
              <w:rPr>
                <w:rFonts w:ascii="Heiti SC" w:hAnsi="Heiti SC" w:eastAsia="Heiti SC"/>
                <w:b/>
                <w:i w:val="0"/>
                <w:color w:val="FFFFFF"/>
                <w:sz w:val="14"/>
                <w:lang w:val="zh-CN" w:eastAsia="zh-CN"/>
              </w:rPr>
              <w:t>指标</w:t>
            </w:r>
          </w:p>
        </w:tc>
        <w:tc>
          <w:tcPr>
            <w:tcW w:type="dxa" w:w="1388"/>
            <w:shd w:fill="123B5D"/>
            <w:tcMar>
              <w:top w:w="80" w:type="dxa"/>
              <w:start w:w="120" w:type="dxa"/>
              <w:bottom w:w="80" w:type="dxa"/>
              <w:end w:w="120" w:type="dxa"/>
            </w:tcMar>
            <w:vAlign w:val="center"/>
          </w:tcPr>
          <w:p>
            <w:pPr>
              <w:jc w:val="center"/>
            </w:pPr>
            <w:r>
              <w:rPr>
                <w:rFonts w:ascii="Heiti SC" w:hAnsi="Heiti SC" w:eastAsia="Heiti SC"/>
                <w:b/>
                <w:i w:val="0"/>
                <w:color w:val="FFFFFF"/>
                <w:sz w:val="14"/>
                <w:lang w:val="zh-CN" w:eastAsia="zh-CN"/>
              </w:rPr>
              <w:t>FY2026A</w:t>
            </w:r>
          </w:p>
        </w:tc>
        <w:tc>
          <w:tcPr>
            <w:tcW w:type="dxa" w:w="1724"/>
            <w:shd w:fill="123B5D"/>
            <w:tcMar>
              <w:top w:w="80" w:type="dxa"/>
              <w:start w:w="120" w:type="dxa"/>
              <w:bottom w:w="80" w:type="dxa"/>
              <w:end w:w="120" w:type="dxa"/>
            </w:tcMar>
            <w:vAlign w:val="center"/>
          </w:tcPr>
          <w:p>
            <w:pPr>
              <w:jc w:val="center"/>
            </w:pPr>
            <w:r>
              <w:rPr>
                <w:rFonts w:ascii="Heiti SC" w:hAnsi="Heiti SC" w:eastAsia="Heiti SC"/>
                <w:b/>
                <w:i w:val="0"/>
                <w:color w:val="FFFFFF"/>
                <w:sz w:val="14"/>
                <w:lang w:val="zh-CN" w:eastAsia="zh-CN"/>
              </w:rPr>
              <w:t>FY2027E 此前</w:t>
            </w:r>
          </w:p>
        </w:tc>
        <w:tc>
          <w:tcPr>
            <w:tcW w:type="dxa" w:w="1724"/>
            <w:shd w:fill="123B5D"/>
            <w:tcMar>
              <w:top w:w="80" w:type="dxa"/>
              <w:start w:w="120" w:type="dxa"/>
              <w:bottom w:w="80" w:type="dxa"/>
              <w:end w:w="120" w:type="dxa"/>
            </w:tcMar>
            <w:vAlign w:val="center"/>
          </w:tcPr>
          <w:p>
            <w:pPr>
              <w:jc w:val="center"/>
            </w:pPr>
            <w:r>
              <w:rPr>
                <w:rFonts w:ascii="Heiti SC" w:hAnsi="Heiti SC" w:eastAsia="Heiti SC"/>
                <w:b/>
                <w:i w:val="0"/>
                <w:color w:val="FFFFFF"/>
                <w:sz w:val="14"/>
                <w:lang w:val="zh-CN" w:eastAsia="zh-CN"/>
              </w:rPr>
              <w:t>FY2027E 更新</w:t>
            </w:r>
          </w:p>
        </w:tc>
        <w:tc>
          <w:tcPr>
            <w:tcW w:type="dxa" w:w="1344"/>
            <w:shd w:fill="123B5D"/>
            <w:tcMar>
              <w:top w:w="80" w:type="dxa"/>
              <w:start w:w="120" w:type="dxa"/>
              <w:bottom w:w="80" w:type="dxa"/>
              <w:end w:w="120" w:type="dxa"/>
            </w:tcMar>
            <w:vAlign w:val="center"/>
          </w:tcPr>
          <w:p>
            <w:pPr>
              <w:jc w:val="center"/>
            </w:pPr>
            <w:r>
              <w:rPr>
                <w:rFonts w:ascii="Heiti SC" w:hAnsi="Heiti SC" w:eastAsia="Heiti SC"/>
                <w:b/>
                <w:i w:val="0"/>
                <w:color w:val="FFFFFF"/>
                <w:sz w:val="14"/>
                <w:lang w:val="zh-CN" w:eastAsia="zh-CN"/>
              </w:rPr>
              <w:t>变化</w:t>
            </w:r>
          </w:p>
        </w:tc>
        <w:tc>
          <w:tcPr>
            <w:tcW w:type="dxa" w:w="1460"/>
            <w:shd w:fill="123B5D"/>
            <w:tcMar>
              <w:top w:w="80" w:type="dxa"/>
              <w:start w:w="120" w:type="dxa"/>
              <w:bottom w:w="80" w:type="dxa"/>
              <w:end w:w="120" w:type="dxa"/>
            </w:tcMar>
            <w:vAlign w:val="center"/>
          </w:tcPr>
          <w:p>
            <w:pPr>
              <w:jc w:val="center"/>
            </w:pPr>
            <w:r>
              <w:rPr>
                <w:rFonts w:ascii="Heiti SC" w:hAnsi="Heiti SC" w:eastAsia="Heiti SC"/>
                <w:b/>
                <w:i w:val="0"/>
                <w:color w:val="FFFFFF"/>
                <w:sz w:val="14"/>
                <w:lang w:val="zh-CN" w:eastAsia="zh-CN"/>
              </w:rPr>
              <w:t>FY2028E</w:t>
            </w:r>
          </w:p>
        </w:tc>
      </w:tr>
      <w:tr>
        <w:trPr/>
        <w:tc>
          <w:tcPr>
            <w:tcW w:type="dxa" w:w="2410"/>
            <w:tcMar>
              <w:top w:w="80" w:type="dxa"/>
              <w:start w:w="120" w:type="dxa"/>
              <w:bottom w:w="80" w:type="dxa"/>
              <w:end w:w="120" w:type="dxa"/>
            </w:tcMar>
            <w:vAlign w:val="center"/>
          </w:tcPr>
          <w:p>
            <w:pPr>
              <w:jc w:val="left"/>
            </w:pPr>
            <w:r>
              <w:rPr>
                <w:rFonts w:ascii="Songti SC" w:hAnsi="Songti SC" w:eastAsia="Songti SC"/>
                <w:b/>
                <w:i w:val="0"/>
                <w:color w:val="000000"/>
                <w:sz w:val="14"/>
                <w:lang w:val="zh-CN" w:eastAsia="zh-CN"/>
              </w:rPr>
              <w:t>收入（十亿美元）</w:t>
            </w:r>
          </w:p>
        </w:tc>
        <w:tc>
          <w:tcPr>
            <w:tcW w:type="dxa" w:w="1388"/>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12.9</w:t>
            </w:r>
          </w:p>
        </w:tc>
        <w:tc>
          <w:tcPr>
            <w:tcW w:type="dxa" w:w="1724"/>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19.6</w:t>
            </w:r>
          </w:p>
        </w:tc>
        <w:tc>
          <w:tcPr>
            <w:tcW w:type="dxa" w:w="1724"/>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21.3</w:t>
            </w:r>
          </w:p>
        </w:tc>
        <w:tc>
          <w:tcPr>
            <w:tcW w:type="dxa" w:w="1344"/>
            <w:tcMar>
              <w:top w:w="80" w:type="dxa"/>
              <w:start w:w="120" w:type="dxa"/>
              <w:bottom w:w="80" w:type="dxa"/>
              <w:end w:w="120" w:type="dxa"/>
            </w:tcMar>
            <w:vAlign w:val="center"/>
          </w:tcPr>
          <w:p>
            <w:pPr>
              <w:jc w:val="center"/>
            </w:pPr>
            <w:r>
              <w:rPr>
                <w:rFonts w:ascii="Songti SC" w:hAnsi="Songti SC" w:eastAsia="Songti SC"/>
                <w:b w:val="0"/>
                <w:i w:val="0"/>
                <w:color w:val="2F7D32"/>
                <w:sz w:val="14"/>
                <w:lang w:val="zh-CN" w:eastAsia="zh-CN"/>
              </w:rPr>
              <w:t>+8.7%</w:t>
            </w:r>
          </w:p>
        </w:tc>
        <w:tc>
          <w:tcPr>
            <w:tcW w:type="dxa" w:w="1460"/>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25.0</w:t>
            </w:r>
          </w:p>
        </w:tc>
      </w:tr>
      <w:tr>
        <w:trPr/>
        <w:tc>
          <w:tcPr>
            <w:tcW w:type="dxa" w:w="2410"/>
            <w:tcMar>
              <w:top w:w="80" w:type="dxa"/>
              <w:start w:w="120" w:type="dxa"/>
              <w:bottom w:w="80" w:type="dxa"/>
              <w:end w:w="120" w:type="dxa"/>
            </w:tcMar>
            <w:shd w:fill="F2F4F7"/>
            <w:vAlign w:val="center"/>
          </w:tcPr>
          <w:p>
            <w:pPr>
              <w:jc w:val="left"/>
            </w:pPr>
            <w:r>
              <w:rPr>
                <w:rFonts w:ascii="Songti SC" w:hAnsi="Songti SC" w:eastAsia="Songti SC"/>
                <w:b/>
                <w:i w:val="0"/>
                <w:color w:val="000000"/>
                <w:sz w:val="14"/>
                <w:lang w:val="zh-CN" w:eastAsia="zh-CN"/>
              </w:rPr>
              <w:t>Non-GAAP 毛利率</w:t>
            </w:r>
          </w:p>
        </w:tc>
        <w:tc>
          <w:tcPr>
            <w:tcW w:type="dxa" w:w="1388"/>
            <w:tcMar>
              <w:top w:w="80" w:type="dxa"/>
              <w:start w:w="120" w:type="dxa"/>
              <w:bottom w:w="80" w:type="dxa"/>
              <w:end w:w="120" w:type="dxa"/>
            </w:tcMar>
            <w:shd w:fill="F2F4F7"/>
            <w:vAlign w:val="center"/>
          </w:tcPr>
          <w:p>
            <w:pPr>
              <w:jc w:val="center"/>
            </w:pPr>
            <w:r>
              <w:rPr>
                <w:rFonts w:ascii="Songti SC" w:hAnsi="Songti SC" w:eastAsia="Songti SC"/>
                <w:b w:val="0"/>
                <w:i w:val="0"/>
                <w:color w:val="000000"/>
                <w:sz w:val="14"/>
                <w:lang w:val="zh-CN" w:eastAsia="zh-CN"/>
              </w:rPr>
              <w:t>49.1%</w:t>
            </w:r>
          </w:p>
        </w:tc>
        <w:tc>
          <w:tcPr>
            <w:tcW w:type="dxa" w:w="1724"/>
            <w:tcMar>
              <w:top w:w="80" w:type="dxa"/>
              <w:start w:w="120" w:type="dxa"/>
              <w:bottom w:w="80" w:type="dxa"/>
              <w:end w:w="120" w:type="dxa"/>
            </w:tcMar>
            <w:shd w:fill="F2F4F7"/>
            <w:vAlign w:val="center"/>
          </w:tcPr>
          <w:p>
            <w:pPr>
              <w:jc w:val="center"/>
            </w:pPr>
            <w:r>
              <w:rPr>
                <w:rFonts w:ascii="Songti SC" w:hAnsi="Songti SC" w:eastAsia="Songti SC"/>
                <w:b w:val="0"/>
                <w:i w:val="0"/>
                <w:color w:val="000000"/>
                <w:sz w:val="14"/>
                <w:lang w:val="zh-CN" w:eastAsia="zh-CN"/>
              </w:rPr>
              <w:t>57.5%</w:t>
            </w:r>
          </w:p>
        </w:tc>
        <w:tc>
          <w:tcPr>
            <w:tcW w:type="dxa" w:w="1724"/>
            <w:tcMar>
              <w:top w:w="80" w:type="dxa"/>
              <w:start w:w="120" w:type="dxa"/>
              <w:bottom w:w="80" w:type="dxa"/>
              <w:end w:w="120" w:type="dxa"/>
            </w:tcMar>
            <w:shd w:fill="F2F4F7"/>
            <w:vAlign w:val="center"/>
          </w:tcPr>
          <w:p>
            <w:pPr>
              <w:jc w:val="center"/>
            </w:pPr>
            <w:r>
              <w:rPr>
                <w:rFonts w:ascii="Songti SC" w:hAnsi="Songti SC" w:eastAsia="Songti SC"/>
                <w:b w:val="0"/>
                <w:i w:val="0"/>
                <w:color w:val="000000"/>
                <w:sz w:val="14"/>
                <w:lang w:val="zh-CN" w:eastAsia="zh-CN"/>
              </w:rPr>
              <w:t>60.5%</w:t>
            </w:r>
          </w:p>
        </w:tc>
        <w:tc>
          <w:tcPr>
            <w:tcW w:type="dxa" w:w="1344"/>
            <w:tcMar>
              <w:top w:w="80" w:type="dxa"/>
              <w:start w:w="120" w:type="dxa"/>
              <w:bottom w:w="80" w:type="dxa"/>
              <w:end w:w="120" w:type="dxa"/>
            </w:tcMar>
            <w:shd w:fill="F2F4F7"/>
            <w:vAlign w:val="center"/>
          </w:tcPr>
          <w:p>
            <w:pPr>
              <w:jc w:val="center"/>
            </w:pPr>
            <w:r>
              <w:rPr>
                <w:rFonts w:ascii="Songti SC" w:hAnsi="Songti SC" w:eastAsia="Songti SC"/>
                <w:b w:val="0"/>
                <w:i w:val="0"/>
                <w:color w:val="2F7D32"/>
                <w:sz w:val="14"/>
                <w:lang w:val="zh-CN" w:eastAsia="zh-CN"/>
              </w:rPr>
              <w:t>+300 基点</w:t>
            </w:r>
          </w:p>
        </w:tc>
        <w:tc>
          <w:tcPr>
            <w:tcW w:type="dxa" w:w="1460"/>
            <w:tcMar>
              <w:top w:w="80" w:type="dxa"/>
              <w:start w:w="120" w:type="dxa"/>
              <w:bottom w:w="80" w:type="dxa"/>
              <w:end w:w="120" w:type="dxa"/>
            </w:tcMar>
            <w:shd w:fill="F2F4F7"/>
            <w:vAlign w:val="center"/>
          </w:tcPr>
          <w:p>
            <w:pPr>
              <w:jc w:val="center"/>
            </w:pPr>
            <w:r>
              <w:rPr>
                <w:rFonts w:ascii="Songti SC" w:hAnsi="Songti SC" w:eastAsia="Songti SC"/>
                <w:b w:val="0"/>
                <w:i w:val="0"/>
                <w:color w:val="000000"/>
                <w:sz w:val="14"/>
                <w:lang w:val="zh-CN" w:eastAsia="zh-CN"/>
              </w:rPr>
              <w:t>61.5%</w:t>
            </w:r>
          </w:p>
        </w:tc>
      </w:tr>
      <w:tr>
        <w:trPr/>
        <w:tc>
          <w:tcPr>
            <w:tcW w:type="dxa" w:w="2410"/>
            <w:tcMar>
              <w:top w:w="80" w:type="dxa"/>
              <w:start w:w="120" w:type="dxa"/>
              <w:bottom w:w="80" w:type="dxa"/>
              <w:end w:w="120" w:type="dxa"/>
            </w:tcMar>
            <w:vAlign w:val="center"/>
          </w:tcPr>
          <w:p>
            <w:pPr>
              <w:jc w:val="left"/>
            </w:pPr>
            <w:r>
              <w:rPr>
                <w:rFonts w:ascii="Songti SC" w:hAnsi="Songti SC" w:eastAsia="Songti SC"/>
                <w:b/>
                <w:i w:val="0"/>
                <w:color w:val="000000"/>
                <w:sz w:val="14"/>
                <w:lang w:val="zh-CN" w:eastAsia="zh-CN"/>
              </w:rPr>
              <w:t>Non-GAAP 营业利润率</w:t>
            </w:r>
          </w:p>
        </w:tc>
        <w:tc>
          <w:tcPr>
            <w:tcW w:type="dxa" w:w="1388"/>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37.3%</w:t>
            </w:r>
          </w:p>
        </w:tc>
        <w:tc>
          <w:tcPr>
            <w:tcW w:type="dxa" w:w="1724"/>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47.0%</w:t>
            </w:r>
          </w:p>
        </w:tc>
        <w:tc>
          <w:tcPr>
            <w:tcW w:type="dxa" w:w="1724"/>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51.0%</w:t>
            </w:r>
          </w:p>
        </w:tc>
        <w:tc>
          <w:tcPr>
            <w:tcW w:type="dxa" w:w="1344"/>
            <w:tcMar>
              <w:top w:w="80" w:type="dxa"/>
              <w:start w:w="120" w:type="dxa"/>
              <w:bottom w:w="80" w:type="dxa"/>
              <w:end w:w="120" w:type="dxa"/>
            </w:tcMar>
            <w:vAlign w:val="center"/>
          </w:tcPr>
          <w:p>
            <w:pPr>
              <w:jc w:val="center"/>
            </w:pPr>
            <w:r>
              <w:rPr>
                <w:rFonts w:ascii="Songti SC" w:hAnsi="Songti SC" w:eastAsia="Songti SC"/>
                <w:b w:val="0"/>
                <w:i w:val="0"/>
                <w:color w:val="2F7D32"/>
                <w:sz w:val="14"/>
                <w:lang w:val="zh-CN" w:eastAsia="zh-CN"/>
              </w:rPr>
              <w:t>+400 基点</w:t>
            </w:r>
          </w:p>
        </w:tc>
        <w:tc>
          <w:tcPr>
            <w:tcW w:type="dxa" w:w="1460"/>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52.0%</w:t>
            </w:r>
          </w:p>
        </w:tc>
      </w:tr>
      <w:tr>
        <w:trPr/>
        <w:tc>
          <w:tcPr>
            <w:tcW w:type="dxa" w:w="2410"/>
            <w:tcMar>
              <w:top w:w="80" w:type="dxa"/>
              <w:start w:w="120" w:type="dxa"/>
              <w:bottom w:w="80" w:type="dxa"/>
              <w:end w:w="120" w:type="dxa"/>
            </w:tcMar>
            <w:shd w:fill="F2F4F7"/>
            <w:vAlign w:val="center"/>
          </w:tcPr>
          <w:p>
            <w:pPr>
              <w:jc w:val="left"/>
            </w:pPr>
            <w:r>
              <w:rPr>
                <w:rFonts w:ascii="Songti SC" w:hAnsi="Songti SC" w:eastAsia="Songti SC"/>
                <w:b/>
                <w:i w:val="0"/>
                <w:color w:val="000000"/>
                <w:sz w:val="14"/>
                <w:lang w:val="zh-CN" w:eastAsia="zh-CN"/>
              </w:rPr>
              <w:t>Non-GAAP EPS</w:t>
            </w:r>
          </w:p>
        </w:tc>
        <w:tc>
          <w:tcPr>
            <w:tcW w:type="dxa" w:w="1388"/>
            <w:tcMar>
              <w:top w:w="80" w:type="dxa"/>
              <w:start w:w="120" w:type="dxa"/>
              <w:bottom w:w="80" w:type="dxa"/>
              <w:end w:w="120" w:type="dxa"/>
            </w:tcMar>
            <w:shd w:fill="F2F4F7"/>
            <w:vAlign w:val="center"/>
          </w:tcPr>
          <w:p>
            <w:pPr>
              <w:jc w:val="center"/>
            </w:pPr>
            <w:r>
              <w:rPr>
                <w:rFonts w:ascii="Songti SC" w:hAnsi="Songti SC" w:eastAsia="Songti SC"/>
                <w:b w:val="0"/>
                <w:i w:val="0"/>
                <w:color w:val="000000"/>
                <w:sz w:val="14"/>
                <w:lang w:val="zh-CN" w:eastAsia="zh-CN"/>
              </w:rPr>
              <w:t>10.22 美元</w:t>
            </w:r>
          </w:p>
        </w:tc>
        <w:tc>
          <w:tcPr>
            <w:tcW w:type="dxa" w:w="1724"/>
            <w:tcMar>
              <w:top w:w="80" w:type="dxa"/>
              <w:start w:w="120" w:type="dxa"/>
              <w:bottom w:w="80" w:type="dxa"/>
              <w:end w:w="120" w:type="dxa"/>
            </w:tcMar>
            <w:shd w:fill="F2F4F7"/>
            <w:vAlign w:val="center"/>
          </w:tcPr>
          <w:p>
            <w:pPr>
              <w:jc w:val="center"/>
            </w:pPr>
            <w:r>
              <w:rPr>
                <w:rFonts w:ascii="Songti SC" w:hAnsi="Songti SC" w:eastAsia="Songti SC"/>
                <w:b w:val="0"/>
                <w:i w:val="0"/>
                <w:color w:val="000000"/>
                <w:sz w:val="14"/>
                <w:lang w:val="zh-CN" w:eastAsia="zh-CN"/>
              </w:rPr>
              <w:t>20.50 美元</w:t>
            </w:r>
          </w:p>
        </w:tc>
        <w:tc>
          <w:tcPr>
            <w:tcW w:type="dxa" w:w="1724"/>
            <w:tcMar>
              <w:top w:w="80" w:type="dxa"/>
              <w:start w:w="120" w:type="dxa"/>
              <w:bottom w:w="80" w:type="dxa"/>
              <w:end w:w="120" w:type="dxa"/>
            </w:tcMar>
            <w:shd w:fill="F2F4F7"/>
            <w:vAlign w:val="center"/>
          </w:tcPr>
          <w:p>
            <w:pPr>
              <w:jc w:val="center"/>
            </w:pPr>
            <w:r>
              <w:rPr>
                <w:rFonts w:ascii="Songti SC" w:hAnsi="Songti SC" w:eastAsia="Songti SC"/>
                <w:b w:val="0"/>
                <w:i w:val="0"/>
                <w:color w:val="000000"/>
                <w:sz w:val="14"/>
                <w:lang w:val="zh-CN" w:eastAsia="zh-CN"/>
              </w:rPr>
              <w:t>25.00 美元</w:t>
            </w:r>
          </w:p>
        </w:tc>
        <w:tc>
          <w:tcPr>
            <w:tcW w:type="dxa" w:w="1344"/>
            <w:tcMar>
              <w:top w:w="80" w:type="dxa"/>
              <w:start w:w="120" w:type="dxa"/>
              <w:bottom w:w="80" w:type="dxa"/>
              <w:end w:w="120" w:type="dxa"/>
            </w:tcMar>
            <w:shd w:fill="F2F4F7"/>
            <w:vAlign w:val="center"/>
          </w:tcPr>
          <w:p>
            <w:pPr>
              <w:jc w:val="center"/>
            </w:pPr>
            <w:r>
              <w:rPr>
                <w:rFonts w:ascii="Songti SC" w:hAnsi="Songti SC" w:eastAsia="Songti SC"/>
                <w:b w:val="0"/>
                <w:i w:val="0"/>
                <w:color w:val="2F7D32"/>
                <w:sz w:val="14"/>
                <w:lang w:val="zh-CN" w:eastAsia="zh-CN"/>
              </w:rPr>
              <w:t>+22.0%</w:t>
            </w:r>
          </w:p>
        </w:tc>
        <w:tc>
          <w:tcPr>
            <w:tcW w:type="dxa" w:w="1460"/>
            <w:tcMar>
              <w:top w:w="80" w:type="dxa"/>
              <w:start w:w="120" w:type="dxa"/>
              <w:bottom w:w="80" w:type="dxa"/>
              <w:end w:w="120" w:type="dxa"/>
            </w:tcMar>
            <w:shd w:fill="F2F4F7"/>
            <w:vAlign w:val="center"/>
          </w:tcPr>
          <w:p>
            <w:pPr>
              <w:jc w:val="center"/>
            </w:pPr>
            <w:r>
              <w:rPr>
                <w:rFonts w:ascii="Songti SC" w:hAnsi="Songti SC" w:eastAsia="Songti SC"/>
                <w:b w:val="0"/>
                <w:i w:val="0"/>
                <w:color w:val="000000"/>
                <w:sz w:val="14"/>
                <w:lang w:val="zh-CN" w:eastAsia="zh-CN"/>
              </w:rPr>
              <w:t>31.00 美元</w:t>
            </w:r>
          </w:p>
        </w:tc>
      </w:tr>
      <w:tr>
        <w:trPr/>
        <w:tc>
          <w:tcPr>
            <w:tcW w:type="dxa" w:w="2410"/>
            <w:tcMar>
              <w:top w:w="80" w:type="dxa"/>
              <w:start w:w="120" w:type="dxa"/>
              <w:bottom w:w="80" w:type="dxa"/>
              <w:end w:w="120" w:type="dxa"/>
            </w:tcMar>
            <w:vAlign w:val="center"/>
          </w:tcPr>
          <w:p>
            <w:pPr>
              <w:jc w:val="left"/>
            </w:pPr>
            <w:r>
              <w:rPr>
                <w:rFonts w:ascii="Songti SC" w:hAnsi="Songti SC" w:eastAsia="Songti SC"/>
                <w:b/>
                <w:i w:val="0"/>
                <w:color w:val="000000"/>
                <w:sz w:val="14"/>
                <w:lang w:val="zh-CN" w:eastAsia="zh-CN"/>
              </w:rPr>
              <w:t>自由现金流（十亿美元）</w:t>
            </w:r>
          </w:p>
        </w:tc>
        <w:tc>
          <w:tcPr>
            <w:tcW w:type="dxa" w:w="1388"/>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3.5</w:t>
            </w:r>
          </w:p>
        </w:tc>
        <w:tc>
          <w:tcPr>
            <w:tcW w:type="dxa" w:w="1724"/>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5.3</w:t>
            </w:r>
          </w:p>
        </w:tc>
        <w:tc>
          <w:tcPr>
            <w:tcW w:type="dxa" w:w="1724"/>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5.9</w:t>
            </w:r>
          </w:p>
        </w:tc>
        <w:tc>
          <w:tcPr>
            <w:tcW w:type="dxa" w:w="1344"/>
            <w:tcMar>
              <w:top w:w="80" w:type="dxa"/>
              <w:start w:w="120" w:type="dxa"/>
              <w:bottom w:w="80" w:type="dxa"/>
              <w:end w:w="120" w:type="dxa"/>
            </w:tcMar>
            <w:vAlign w:val="center"/>
          </w:tcPr>
          <w:p>
            <w:pPr>
              <w:jc w:val="center"/>
            </w:pPr>
            <w:r>
              <w:rPr>
                <w:rFonts w:ascii="Songti SC" w:hAnsi="Songti SC" w:eastAsia="Songti SC"/>
                <w:b w:val="0"/>
                <w:i w:val="0"/>
                <w:color w:val="2F7D32"/>
                <w:sz w:val="14"/>
                <w:lang w:val="zh-CN" w:eastAsia="zh-CN"/>
              </w:rPr>
              <w:t>+11.3%</w:t>
            </w:r>
          </w:p>
        </w:tc>
        <w:tc>
          <w:tcPr>
            <w:tcW w:type="dxa" w:w="1460"/>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7.0</w:t>
            </w:r>
          </w:p>
        </w:tc>
      </w:tr>
    </w:tbl>
    <w:p>
      <w:pPr>
        <w:spacing w:before="4" w:after="54" w:line="240" w:lineRule="auto"/>
      </w:pPr>
      <w:r>
        <w:rPr>
          <w:rFonts w:ascii="Songti SC" w:hAnsi="Songti SC" w:eastAsia="Songti SC"/>
          <w:b w:val="0"/>
          <w:i/>
          <w:color w:val="667085"/>
          <w:sz w:val="14"/>
          <w:lang w:val="zh-CN" w:eastAsia="zh-CN"/>
        </w:rPr>
        <w:t>资料来源：</w:t>
      </w:r>
      <w:hyperlink r:id="rId27">
        <w:r>
          <w:rPr>
            <w:rFonts w:ascii="Songti SC" w:hAnsi="Songti SC" w:eastAsia="Songti SC"/>
            <w:color w:val="0563C1"/>
            <w:u w:val="single"/>
            <w:sz w:val="15"/>
          </w:rPr>
          <w:t>WDC FY2026 Form 10-K</w:t>
        </w:r>
      </w:hyperlink>
      <w:r>
        <w:rPr>
          <w:rFonts w:ascii="Songti SC" w:hAnsi="Songti SC" w:eastAsia="Songti SC"/>
          <w:b w:val="0"/>
          <w:i/>
          <w:color w:val="667085"/>
          <w:sz w:val="14"/>
          <w:lang w:val="zh-CN" w:eastAsia="zh-CN"/>
        </w:rPr>
        <w:t xml:space="preserve">; </w:t>
      </w:r>
      <w:hyperlink r:id="rId11">
        <w:r>
          <w:rPr>
            <w:rFonts w:ascii="Songti SC" w:hAnsi="Songti SC" w:eastAsia="Songti SC"/>
            <w:color w:val="0563C1"/>
            <w:u w:val="single"/>
            <w:sz w:val="15"/>
          </w:rPr>
          <w:t>FY2027 Q1 业绩公告与 Q2 指引</w:t>
        </w:r>
      </w:hyperlink>
      <w:r>
        <w:rPr>
          <w:rFonts w:ascii="Songti SC" w:hAnsi="Songti SC" w:eastAsia="Songti SC"/>
          <w:b w:val="0"/>
          <w:i/>
          <w:color w:val="667085"/>
          <w:sz w:val="14"/>
          <w:lang w:val="zh-CN" w:eastAsia="zh-CN"/>
        </w:rPr>
        <w:t xml:space="preserve">; </w:t>
      </w:r>
      <w:hyperlink r:id="rId28">
        <w:r>
          <w:rPr>
            <w:rFonts w:ascii="Songti SC" w:hAnsi="Songti SC" w:eastAsia="Songti SC"/>
            <w:color w:val="0563C1"/>
            <w:u w:val="single"/>
            <w:sz w:val="15"/>
          </w:rPr>
          <w:t>独立预测，2026-10-24</w:t>
        </w:r>
      </w:hyperlink>
      <w:r>
        <w:rPr>
          <w:rFonts w:ascii="Songti SC" w:hAnsi="Songti SC" w:eastAsia="Songti SC"/>
          <w:b w:val="0"/>
          <w:i/>
          <w:color w:val="667085"/>
          <w:sz w:val="14"/>
          <w:lang w:val="zh-CN" w:eastAsia="zh-CN"/>
        </w:rPr>
        <w:t>.</w:t>
      </w:r>
    </w:p>
    <w:p>
      <w:pPr>
        <w:keepNext w:val="0"/>
        <w:spacing w:before="0" w:after="82" w:line="247" w:lineRule="auto"/>
      </w:pPr>
      <w:r>
        <w:rPr>
          <w:rFonts w:ascii="Songti SC" w:hAnsi="Songti SC" w:eastAsia="Songti SC"/>
          <w:b w:val="0"/>
          <w:i w:val="0"/>
          <w:color w:val="000000"/>
          <w:sz w:val="18"/>
          <w:lang w:val="zh-CN" w:eastAsia="zh-CN"/>
        </w:rPr>
        <w:t>此前 FY2027 基线来自我们上一期 FY2026 Q4 报告，而非事后重构的市场预期。新的 FY2027 路径与当前 Q2-Q4 季度一致预期大体接近，但对摊薄股数与技术切换成本采用略谨慎假设。本预测不代表公司 Q2 之后的指引。季度时点可能随客户部署计划变化，LTA 也可能在季度之间移动数量而不改变全年需求。</w:t>
      </w:r>
    </w:p>
    <w:p>
      <w:pPr>
        <w:keepNext w:val="0"/>
        <w:spacing w:before="0" w:after="82" w:line="247" w:lineRule="auto"/>
      </w:pPr>
      <w:r>
        <w:rPr>
          <w:rFonts w:ascii="Songti SC" w:hAnsi="Songti SC" w:eastAsia="Songti SC"/>
          <w:b w:val="0"/>
          <w:i w:val="0"/>
          <w:color w:val="000000"/>
          <w:sz w:val="18"/>
          <w:lang w:val="zh-CN" w:eastAsia="zh-CN"/>
        </w:rPr>
        <w:t>预测对毛利率最敏感。在收入及其他假设不变时，FY2027 毛利率每变化 100 个基点，全年税前利润约变化 2.13 亿美元，税后 EPS 约变化 0.46 美元。因此，没有定价纪律的收入上行，其价值低于通过高容量产品与受控整盘供给实现的同等收入。反之，若毛利率持续高于 61%，即使 EB 增速仅按现有路线图推进，我们 25.00 美元 EPS 预测也可能偏保守。</w:t>
      </w:r>
    </w:p>
    <w:p>
      <w:pPr>
        <w:keepNext/>
        <w:spacing w:before="0" w:after="16" w:line="247" w:lineRule="auto"/>
      </w:pPr>
      <w:r>
        <w:rPr>
          <w:rFonts w:ascii="Heiti SC" w:hAnsi="Heiti SC" w:eastAsia="Heiti SC"/>
          <w:b/>
          <w:i w:val="0"/>
          <w:color w:val="000000"/>
          <w:sz w:val="16"/>
          <w:lang w:val="zh-CN" w:eastAsia="zh-CN"/>
        </w:rPr>
        <w:t>图 9：FY2027 预测调整</w:t>
      </w:r>
    </w:p>
    <w:p>
      <w:pPr>
        <w:spacing w:after="4"/>
        <w:jc w:val="center"/>
      </w:pPr>
      <w:r>
        <w:drawing>
          <wp:inline xmlns:a="http://schemas.openxmlformats.org/drawingml/2006/main" xmlns:pic="http://schemas.openxmlformats.org/drawingml/2006/picture">
            <wp:extent cx="4800600" cy="2005869"/>
            <wp:docPr id="9" name="Picture 9" descr="FY2027 预测调整" title="FY2027 预测调整"/>
            <wp:cNvGraphicFramePr>
              <a:graphicFrameLocks noChangeAspect="1"/>
            </wp:cNvGraphicFramePr>
            <a:graphic>
              <a:graphicData uri="http://schemas.openxmlformats.org/drawingml/2006/picture">
                <pic:pic>
                  <pic:nvPicPr>
                    <pic:cNvPr id="0" name="wdc_q1fy27_chart9_revisions.png"/>
                    <pic:cNvPicPr/>
                  </pic:nvPicPr>
                  <pic:blipFill>
                    <a:blip r:embed="rId29"/>
                    <a:stretch>
                      <a:fillRect/>
                    </a:stretch>
                  </pic:blipFill>
                  <pic:spPr>
                    <a:xfrm>
                      <a:off x="0" y="0"/>
                      <a:ext cx="4800600" cy="2005869"/>
                    </a:xfrm>
                    <a:prstGeom prst="rect"/>
                  </pic:spPr>
                </pic:pic>
              </a:graphicData>
            </a:graphic>
          </wp:inline>
        </w:drawing>
      </w:r>
    </w:p>
    <w:p>
      <w:pPr>
        <w:spacing w:before="4" w:after="54" w:line="240" w:lineRule="auto"/>
      </w:pPr>
      <w:r>
        <w:rPr>
          <w:rFonts w:ascii="Songti SC" w:hAnsi="Songti SC" w:eastAsia="Songti SC"/>
          <w:b w:val="0"/>
          <w:i/>
          <w:color w:val="667085"/>
          <w:sz w:val="14"/>
          <w:lang w:val="zh-CN" w:eastAsia="zh-CN"/>
        </w:rPr>
        <w:t>资料来源：</w:t>
      </w:r>
      <w:hyperlink r:id="rId22">
        <w:r>
          <w:rPr>
            <w:rFonts w:ascii="Songti SC" w:hAnsi="Songti SC" w:eastAsia="Songti SC"/>
            <w:color w:val="0563C1"/>
            <w:u w:val="single"/>
            <w:sz w:val="15"/>
          </w:rPr>
          <w:t>Prior Q4 FY2026 independent estimates</w:t>
        </w:r>
      </w:hyperlink>
      <w:r>
        <w:rPr>
          <w:rFonts w:ascii="Songti SC" w:hAnsi="Songti SC" w:eastAsia="Songti SC"/>
          <w:b w:val="0"/>
          <w:i/>
          <w:color w:val="667085"/>
          <w:sz w:val="14"/>
          <w:lang w:val="zh-CN" w:eastAsia="zh-CN"/>
        </w:rPr>
        <w:t xml:space="preserve">; </w:t>
      </w:r>
      <w:hyperlink r:id="rId11">
        <w:r>
          <w:rPr>
            <w:rFonts w:ascii="Songti SC" w:hAnsi="Songti SC" w:eastAsia="Songti SC"/>
            <w:color w:val="0563C1"/>
            <w:u w:val="single"/>
            <w:sz w:val="15"/>
          </w:rPr>
          <w:t>Q1 FY2027 results and current consensus</w:t>
        </w:r>
      </w:hyperlink>
      <w:r>
        <w:rPr>
          <w:rFonts w:ascii="Songti SC" w:hAnsi="Songti SC" w:eastAsia="Songti SC"/>
          <w:b w:val="0"/>
          <w:i/>
          <w:color w:val="667085"/>
          <w:sz w:val="14"/>
          <w:lang w:val="zh-CN" w:eastAsia="zh-CN"/>
        </w:rPr>
        <w:t xml:space="preserve">; </w:t>
      </w:r>
      <w:hyperlink r:id="rId24">
        <w:r>
          <w:rPr>
            <w:rFonts w:ascii="Songti SC" w:hAnsi="Songti SC" w:eastAsia="Songti SC"/>
            <w:color w:val="0563C1"/>
            <w:u w:val="single"/>
            <w:sz w:val="15"/>
          </w:rPr>
          <w:t>Longbridge consensus, 23 Oct. 2026</w:t>
        </w:r>
      </w:hyperlink>
      <w:r>
        <w:rPr>
          <w:rFonts w:ascii="Songti SC" w:hAnsi="Songti SC" w:eastAsia="Songti SC"/>
          <w:b w:val="0"/>
          <w:i/>
          <w:color w:val="667085"/>
          <w:sz w:val="14"/>
          <w:lang w:val="zh-CN" w:eastAsia="zh-CN"/>
        </w:rPr>
        <w:t>.</w:t>
      </w:r>
    </w:p>
    <w:p>
      <w:r>
        <w:br w:type="page"/>
      </w:r>
    </w:p>
    <w:p>
      <w:pPr>
        <w:pStyle w:val="Heading1"/>
        <w:keepNext/>
        <w:spacing w:before="20" w:after="80"/>
      </w:pPr>
      <w:r>
        <w:t>估值与目标价</w:t>
      </w:r>
    </w:p>
    <w:p>
      <w:pPr>
        <w:keepNext w:val="0"/>
        <w:spacing w:before="0" w:after="82" w:line="247" w:lineRule="auto"/>
      </w:pPr>
      <w:r>
        <w:rPr>
          <w:rFonts w:ascii="Songti SC" w:hAnsi="Songti SC" w:eastAsia="Songti SC"/>
          <w:b w:val="0"/>
          <w:i w:val="0"/>
          <w:color w:val="000000"/>
          <w:sz w:val="18"/>
          <w:lang w:val="zh-CN" w:eastAsia="zh-CN"/>
        </w:rPr>
        <w:t>我们把目标价由 600 美元上调至 620 美元，较 10 月 23 日 343.67 美元收盘价具备约 80% 上行空间。目标价以 FY2027 Non-GAAP EPS 25.00 美元乘以 24.8 倍市盈率得到。该倍数高于 WDC 当前约 13 倍追踪市盈率，但低于最强 AI 基础设施同业所隐含的估值，也低于希捷当前溢价倍数。超过 WDC 当前倍数的理由是收入增长超过 50%、利润率扩张及净现金资产负债表；相对高估值同业折价则反映技术切换、客户集中与周期风险。</w:t>
      </w:r>
    </w:p>
    <w:tbl>
      <w:tblPr>
        <w:tblStyle w:val="TableGrid"/>
        <w:tblW w:type="dxa" w:w="10050"/>
        <w:jc w:val="left"/>
        <w:tblLayout w:type="fixed"/>
        <w:tblLook w:firstColumn="1" w:firstRow="1" w:lastColumn="0" w:lastRow="0" w:noHBand="0" w:noVBand="1" w:val="04A0"/>
        <w:tblInd w:type="dxa" w:w="100"/>
      </w:tblPr>
      <w:tblGrid>
        <w:gridCol w:w="1459"/>
        <w:gridCol w:w="1702"/>
        <w:gridCol w:w="1297"/>
        <w:gridCol w:w="1378"/>
        <w:gridCol w:w="4214"/>
      </w:tblGrid>
      <w:tr>
        <w:trPr>
          <w:tblHeader w:val="true"/>
        </w:trPr>
        <w:tc>
          <w:tcPr>
            <w:tcW w:type="dxa" w:w="1459"/>
            <w:shd w:fill="123B5D"/>
            <w:tcMar>
              <w:top w:w="80" w:type="dxa"/>
              <w:start w:w="120" w:type="dxa"/>
              <w:bottom w:w="80" w:type="dxa"/>
              <w:end w:w="120" w:type="dxa"/>
            </w:tcMar>
            <w:vAlign w:val="center"/>
          </w:tcPr>
          <w:p>
            <w:pPr>
              <w:jc w:val="center"/>
            </w:pPr>
            <w:r>
              <w:rPr>
                <w:rFonts w:ascii="Heiti SC" w:hAnsi="Heiti SC" w:eastAsia="Heiti SC"/>
                <w:b/>
                <w:i w:val="0"/>
                <w:color w:val="FFFFFF"/>
                <w:sz w:val="14"/>
                <w:lang w:val="zh-CN" w:eastAsia="zh-CN"/>
              </w:rPr>
              <w:t>情景</w:t>
            </w:r>
          </w:p>
        </w:tc>
        <w:tc>
          <w:tcPr>
            <w:tcW w:type="dxa" w:w="1702"/>
            <w:shd w:fill="123B5D"/>
            <w:tcMar>
              <w:top w:w="80" w:type="dxa"/>
              <w:start w:w="120" w:type="dxa"/>
              <w:bottom w:w="80" w:type="dxa"/>
              <w:end w:w="120" w:type="dxa"/>
            </w:tcMar>
            <w:vAlign w:val="center"/>
          </w:tcPr>
          <w:p>
            <w:pPr>
              <w:jc w:val="center"/>
            </w:pPr>
            <w:r>
              <w:rPr>
                <w:rFonts w:ascii="Heiti SC" w:hAnsi="Heiti SC" w:eastAsia="Heiti SC"/>
                <w:b/>
                <w:i w:val="0"/>
                <w:color w:val="FFFFFF"/>
                <w:sz w:val="14"/>
                <w:lang w:val="zh-CN" w:eastAsia="zh-CN"/>
              </w:rPr>
              <w:t>FY2027 EPS</w:t>
            </w:r>
          </w:p>
        </w:tc>
        <w:tc>
          <w:tcPr>
            <w:tcW w:type="dxa" w:w="1297"/>
            <w:shd w:fill="123B5D"/>
            <w:tcMar>
              <w:top w:w="80" w:type="dxa"/>
              <w:start w:w="120" w:type="dxa"/>
              <w:bottom w:w="80" w:type="dxa"/>
              <w:end w:w="120" w:type="dxa"/>
            </w:tcMar>
            <w:vAlign w:val="center"/>
          </w:tcPr>
          <w:p>
            <w:pPr>
              <w:jc w:val="center"/>
            </w:pPr>
            <w:r>
              <w:rPr>
                <w:rFonts w:ascii="Heiti SC" w:hAnsi="Heiti SC" w:eastAsia="Heiti SC"/>
                <w:b/>
                <w:i w:val="0"/>
                <w:color w:val="FFFFFF"/>
                <w:sz w:val="14"/>
                <w:lang w:val="zh-CN" w:eastAsia="zh-CN"/>
              </w:rPr>
              <w:t>市盈率</w:t>
            </w:r>
          </w:p>
        </w:tc>
        <w:tc>
          <w:tcPr>
            <w:tcW w:type="dxa" w:w="1378"/>
            <w:shd w:fill="123B5D"/>
            <w:tcMar>
              <w:top w:w="80" w:type="dxa"/>
              <w:start w:w="120" w:type="dxa"/>
              <w:bottom w:w="80" w:type="dxa"/>
              <w:end w:w="120" w:type="dxa"/>
            </w:tcMar>
            <w:vAlign w:val="center"/>
          </w:tcPr>
          <w:p>
            <w:pPr>
              <w:jc w:val="center"/>
            </w:pPr>
            <w:r>
              <w:rPr>
                <w:rFonts w:ascii="Heiti SC" w:hAnsi="Heiti SC" w:eastAsia="Heiti SC"/>
                <w:b/>
                <w:i w:val="0"/>
                <w:color w:val="FFFFFF"/>
                <w:sz w:val="14"/>
                <w:lang w:val="zh-CN" w:eastAsia="zh-CN"/>
              </w:rPr>
              <w:t>估值</w:t>
            </w:r>
          </w:p>
        </w:tc>
        <w:tc>
          <w:tcPr>
            <w:tcW w:type="dxa" w:w="4214"/>
            <w:shd w:fill="123B5D"/>
            <w:tcMar>
              <w:top w:w="80" w:type="dxa"/>
              <w:start w:w="120" w:type="dxa"/>
              <w:bottom w:w="80" w:type="dxa"/>
              <w:end w:w="120" w:type="dxa"/>
            </w:tcMar>
            <w:vAlign w:val="center"/>
          </w:tcPr>
          <w:p>
            <w:pPr>
              <w:jc w:val="center"/>
            </w:pPr>
            <w:r>
              <w:rPr>
                <w:rFonts w:ascii="Heiti SC" w:hAnsi="Heiti SC" w:eastAsia="Heiti SC"/>
                <w:b/>
                <w:i w:val="0"/>
                <w:color w:val="FFFFFF"/>
                <w:sz w:val="14"/>
                <w:lang w:val="zh-CN" w:eastAsia="zh-CN"/>
              </w:rPr>
              <w:t>核心假设</w:t>
            </w:r>
          </w:p>
        </w:tc>
      </w:tr>
      <w:tr>
        <w:trPr/>
        <w:tc>
          <w:tcPr>
            <w:tcW w:type="dxa" w:w="1459"/>
            <w:tcMar>
              <w:top w:w="80" w:type="dxa"/>
              <w:start w:w="120" w:type="dxa"/>
              <w:bottom w:w="80" w:type="dxa"/>
              <w:end w:w="120" w:type="dxa"/>
            </w:tcMar>
            <w:vAlign w:val="center"/>
          </w:tcPr>
          <w:p>
            <w:pPr>
              <w:jc w:val="left"/>
            </w:pPr>
            <w:r>
              <w:rPr>
                <w:rFonts w:ascii="Songti SC" w:hAnsi="Songti SC" w:eastAsia="Songti SC"/>
                <w:b/>
                <w:i w:val="0"/>
                <w:color w:val="000000"/>
                <w:sz w:val="14"/>
                <w:lang w:val="zh-CN" w:eastAsia="zh-CN"/>
              </w:rPr>
              <w:t>悲观</w:t>
            </w:r>
          </w:p>
        </w:tc>
        <w:tc>
          <w:tcPr>
            <w:tcW w:type="dxa" w:w="1702"/>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21.00 美元</w:t>
            </w:r>
          </w:p>
        </w:tc>
        <w:tc>
          <w:tcPr>
            <w:tcW w:type="dxa" w:w="1297"/>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20.0 倍</w:t>
            </w:r>
          </w:p>
        </w:tc>
        <w:tc>
          <w:tcPr>
            <w:tcW w:type="dxa" w:w="1378"/>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420 美元</w:t>
            </w:r>
          </w:p>
        </w:tc>
        <w:tc>
          <w:tcPr>
            <w:tcW w:type="dxa" w:w="4214"/>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定价正常化，HAMR 爬坡推迟</w:t>
            </w:r>
          </w:p>
        </w:tc>
      </w:tr>
      <w:tr>
        <w:trPr/>
        <w:tc>
          <w:tcPr>
            <w:tcW w:type="dxa" w:w="1459"/>
            <w:tcMar>
              <w:top w:w="80" w:type="dxa"/>
              <w:start w:w="120" w:type="dxa"/>
              <w:bottom w:w="80" w:type="dxa"/>
              <w:end w:w="120" w:type="dxa"/>
            </w:tcMar>
            <w:shd w:fill="F2F4F7"/>
            <w:vAlign w:val="center"/>
          </w:tcPr>
          <w:p>
            <w:pPr>
              <w:jc w:val="left"/>
            </w:pPr>
            <w:r>
              <w:rPr>
                <w:rFonts w:ascii="Songti SC" w:hAnsi="Songti SC" w:eastAsia="Songti SC"/>
                <w:b/>
                <w:i w:val="0"/>
                <w:color w:val="000000"/>
                <w:sz w:val="14"/>
                <w:lang w:val="zh-CN" w:eastAsia="zh-CN"/>
              </w:rPr>
              <w:t>基准</w:t>
            </w:r>
          </w:p>
        </w:tc>
        <w:tc>
          <w:tcPr>
            <w:tcW w:type="dxa" w:w="1702"/>
            <w:tcMar>
              <w:top w:w="80" w:type="dxa"/>
              <w:start w:w="120" w:type="dxa"/>
              <w:bottom w:w="80" w:type="dxa"/>
              <w:end w:w="120" w:type="dxa"/>
            </w:tcMar>
            <w:shd w:fill="F2F4F7"/>
            <w:vAlign w:val="center"/>
          </w:tcPr>
          <w:p>
            <w:pPr>
              <w:jc w:val="center"/>
            </w:pPr>
            <w:r>
              <w:rPr>
                <w:rFonts w:ascii="Songti SC" w:hAnsi="Songti SC" w:eastAsia="Songti SC"/>
                <w:b w:val="0"/>
                <w:i w:val="0"/>
                <w:color w:val="000000"/>
                <w:sz w:val="14"/>
                <w:lang w:val="zh-CN" w:eastAsia="zh-CN"/>
              </w:rPr>
              <w:t>25.00 美元</w:t>
            </w:r>
          </w:p>
        </w:tc>
        <w:tc>
          <w:tcPr>
            <w:tcW w:type="dxa" w:w="1297"/>
            <w:tcMar>
              <w:top w:w="80" w:type="dxa"/>
              <w:start w:w="120" w:type="dxa"/>
              <w:bottom w:w="80" w:type="dxa"/>
              <w:end w:w="120" w:type="dxa"/>
            </w:tcMar>
            <w:shd w:fill="F2F4F7"/>
            <w:vAlign w:val="center"/>
          </w:tcPr>
          <w:p>
            <w:pPr>
              <w:jc w:val="center"/>
            </w:pPr>
            <w:r>
              <w:rPr>
                <w:rFonts w:ascii="Songti SC" w:hAnsi="Songti SC" w:eastAsia="Songti SC"/>
                <w:b w:val="0"/>
                <w:i w:val="0"/>
                <w:color w:val="000000"/>
                <w:sz w:val="14"/>
                <w:lang w:val="zh-CN" w:eastAsia="zh-CN"/>
              </w:rPr>
              <w:t>24.8 倍</w:t>
            </w:r>
          </w:p>
        </w:tc>
        <w:tc>
          <w:tcPr>
            <w:tcW w:type="dxa" w:w="1378"/>
            <w:tcMar>
              <w:top w:w="80" w:type="dxa"/>
              <w:start w:w="120" w:type="dxa"/>
              <w:bottom w:w="80" w:type="dxa"/>
              <w:end w:w="120" w:type="dxa"/>
            </w:tcMar>
            <w:shd w:fill="F2F4F7"/>
            <w:vAlign w:val="center"/>
          </w:tcPr>
          <w:p>
            <w:pPr>
              <w:jc w:val="center"/>
            </w:pPr>
            <w:r>
              <w:rPr>
                <w:rFonts w:ascii="Songti SC" w:hAnsi="Songti SC" w:eastAsia="Songti SC"/>
                <w:b w:val="0"/>
                <w:i w:val="0"/>
                <w:color w:val="000000"/>
                <w:sz w:val="14"/>
                <w:lang w:val="zh-CN" w:eastAsia="zh-CN"/>
              </w:rPr>
              <w:t>620 美元</w:t>
            </w:r>
          </w:p>
        </w:tc>
        <w:tc>
          <w:tcPr>
            <w:tcW w:type="dxa" w:w="4214"/>
            <w:tcMar>
              <w:top w:w="80" w:type="dxa"/>
              <w:start w:w="120" w:type="dxa"/>
              <w:bottom w:w="80" w:type="dxa"/>
              <w:end w:w="120" w:type="dxa"/>
            </w:tcMar>
            <w:shd w:fill="F2F4F7"/>
            <w:vAlign w:val="center"/>
          </w:tcPr>
          <w:p>
            <w:pPr>
              <w:jc w:val="center"/>
            </w:pPr>
            <w:r>
              <w:rPr>
                <w:rFonts w:ascii="Songti SC" w:hAnsi="Songti SC" w:eastAsia="Songti SC"/>
                <w:b w:val="0"/>
                <w:i w:val="0"/>
                <w:color w:val="000000"/>
                <w:sz w:val="14"/>
                <w:lang w:val="zh-CN" w:eastAsia="zh-CN"/>
              </w:rPr>
              <w:t>ePMR 执行顺利，毛利率约 60%</w:t>
            </w:r>
          </w:p>
        </w:tc>
      </w:tr>
      <w:tr>
        <w:trPr/>
        <w:tc>
          <w:tcPr>
            <w:tcW w:type="dxa" w:w="1459"/>
            <w:tcMar>
              <w:top w:w="80" w:type="dxa"/>
              <w:start w:w="120" w:type="dxa"/>
              <w:bottom w:w="80" w:type="dxa"/>
              <w:end w:w="120" w:type="dxa"/>
            </w:tcMar>
            <w:vAlign w:val="center"/>
          </w:tcPr>
          <w:p>
            <w:pPr>
              <w:jc w:val="left"/>
            </w:pPr>
            <w:r>
              <w:rPr>
                <w:rFonts w:ascii="Songti SC" w:hAnsi="Songti SC" w:eastAsia="Songti SC"/>
                <w:b/>
                <w:i w:val="0"/>
                <w:color w:val="000000"/>
                <w:sz w:val="14"/>
                <w:lang w:val="zh-CN" w:eastAsia="zh-CN"/>
              </w:rPr>
              <w:t>乐观</w:t>
            </w:r>
          </w:p>
        </w:tc>
        <w:tc>
          <w:tcPr>
            <w:tcW w:type="dxa" w:w="1702"/>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28.60 美元</w:t>
            </w:r>
          </w:p>
        </w:tc>
        <w:tc>
          <w:tcPr>
            <w:tcW w:type="dxa" w:w="1297"/>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28.0 倍</w:t>
            </w:r>
          </w:p>
        </w:tc>
        <w:tc>
          <w:tcPr>
            <w:tcW w:type="dxa" w:w="1378"/>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800 美元</w:t>
            </w:r>
          </w:p>
        </w:tc>
        <w:tc>
          <w:tcPr>
            <w:tcW w:type="dxa" w:w="4214"/>
            <w:tcMar>
              <w:top w:w="80" w:type="dxa"/>
              <w:start w:w="120" w:type="dxa"/>
              <w:bottom w:w="80" w:type="dxa"/>
              <w:end w:w="120" w:type="dxa"/>
            </w:tcMar>
            <w:vAlign w:val="center"/>
          </w:tcPr>
          <w:p>
            <w:pPr>
              <w:jc w:val="center"/>
            </w:pPr>
            <w:r>
              <w:rPr>
                <w:rFonts w:ascii="Songti SC" w:hAnsi="Songti SC" w:eastAsia="Songti SC"/>
                <w:b w:val="0"/>
                <w:i w:val="0"/>
                <w:color w:val="000000"/>
                <w:sz w:val="14"/>
                <w:lang w:val="zh-CN" w:eastAsia="zh-CN"/>
              </w:rPr>
              <w:t>供给持续偏紧，HAMR 顺利放量</w:t>
            </w:r>
          </w:p>
        </w:tc>
      </w:tr>
    </w:tbl>
    <w:p>
      <w:pPr>
        <w:spacing w:before="4" w:after="54" w:line="240" w:lineRule="auto"/>
      </w:pPr>
      <w:r>
        <w:rPr>
          <w:rFonts w:ascii="Songti SC" w:hAnsi="Songti SC" w:eastAsia="Songti SC"/>
          <w:b w:val="0"/>
          <w:i/>
          <w:color w:val="667085"/>
          <w:sz w:val="14"/>
          <w:lang w:val="zh-CN" w:eastAsia="zh-CN"/>
        </w:rPr>
        <w:t>资料来源：</w:t>
      </w:r>
      <w:hyperlink r:id="rId28">
        <w:r>
          <w:rPr>
            <w:rFonts w:ascii="Songti SC" w:hAnsi="Songti SC" w:eastAsia="Songti SC"/>
            <w:color w:val="0563C1"/>
            <w:u w:val="single"/>
            <w:sz w:val="15"/>
          </w:rPr>
          <w:t>独立情景分析，2026-10-24</w:t>
        </w:r>
      </w:hyperlink>
      <w:r>
        <w:rPr>
          <w:rFonts w:ascii="Songti SC" w:hAnsi="Songti SC" w:eastAsia="Songti SC"/>
          <w:b w:val="0"/>
          <w:i/>
          <w:color w:val="667085"/>
          <w:sz w:val="14"/>
          <w:lang w:val="zh-CN" w:eastAsia="zh-CN"/>
        </w:rPr>
        <w:t xml:space="preserve">; </w:t>
      </w:r>
      <w:hyperlink r:id="rId24">
        <w:r>
          <w:rPr>
            <w:rFonts w:ascii="Songti SC" w:hAnsi="Songti SC" w:eastAsia="Songti SC"/>
            <w:color w:val="0563C1"/>
            <w:u w:val="single"/>
            <w:sz w:val="15"/>
          </w:rPr>
          <w:t>Longbridge 股价与估值快照，2026-10-23</w:t>
        </w:r>
      </w:hyperlink>
      <w:r>
        <w:rPr>
          <w:rFonts w:ascii="Songti SC" w:hAnsi="Songti SC" w:eastAsia="Songti SC"/>
          <w:b w:val="0"/>
          <w:i/>
          <w:color w:val="667085"/>
          <w:sz w:val="14"/>
          <w:lang w:val="zh-CN" w:eastAsia="zh-CN"/>
        </w:rPr>
        <w:t>.</w:t>
      </w:r>
    </w:p>
    <w:p>
      <w:pPr>
        <w:keepNext w:val="0"/>
        <w:spacing w:before="0" w:after="82" w:line="247" w:lineRule="auto"/>
      </w:pPr>
      <w:r>
        <w:rPr>
          <w:rFonts w:ascii="Songti SC" w:hAnsi="Songti SC" w:eastAsia="Songti SC"/>
          <w:b w:val="0"/>
          <w:i w:val="0"/>
          <w:color w:val="000000"/>
          <w:sz w:val="18"/>
          <w:lang w:val="zh-CN" w:eastAsia="zh-CN"/>
        </w:rPr>
        <w:t>悲观情景仍高于当前股价，因为市场价格已反映利润率与估值倍数大幅回落。420 美元估值假设 EPS 回落至约 21 美元，市场仅给予 20 倍。乐观情景需要稀缺定价持续且 HAMR 顺利爬坡，对应 28.60 美元 EPS 与 28 倍估值。我们不对这些端点做概率加权；它们用于显示技术执行与定价持续时间，而非单纯终值收入增速，是估值离散度的核心来源。</w:t>
      </w:r>
    </w:p>
    <w:p>
      <w:pPr>
        <w:keepNext w:val="0"/>
        <w:spacing w:before="0" w:after="82" w:line="247" w:lineRule="auto"/>
      </w:pPr>
      <w:r>
        <w:rPr>
          <w:rFonts w:ascii="Songti SC" w:hAnsi="Songti SC" w:eastAsia="Songti SC"/>
          <w:b w:val="0"/>
          <w:i w:val="0"/>
          <w:color w:val="000000"/>
          <w:sz w:val="18"/>
          <w:lang w:val="zh-CN" w:eastAsia="zh-CN"/>
        </w:rPr>
        <w:t>外部情绪交叉验证方面，Longbridge 10 月 23 日机构快照显示 17 个强力买入、4 个买入与 5 个持有评级，平均目标价 610 美元，区间 405 至 900 美元。我们的 620 美元接近最新均值，并非异常乐观。财报后下跌后仍维持跑赢大盘，关键在于风险收益不对称：基准情景上行空间充足，而悲观情景需要当前经营趋势明显恶化，估值才会接近现价。</w:t>
      </w:r>
    </w:p>
    <w:p>
      <w:pPr>
        <w:keepNext/>
        <w:spacing w:before="0" w:after="16" w:line="247" w:lineRule="auto"/>
      </w:pPr>
      <w:r>
        <w:rPr>
          <w:rFonts w:ascii="Heiti SC" w:hAnsi="Heiti SC" w:eastAsia="Heiti SC"/>
          <w:b/>
          <w:i w:val="0"/>
          <w:color w:val="000000"/>
          <w:sz w:val="16"/>
          <w:lang w:val="zh-CN" w:eastAsia="zh-CN"/>
        </w:rPr>
        <w:t>图 10：悲观 基准与乐观估值情景</w:t>
      </w:r>
    </w:p>
    <w:p>
      <w:pPr>
        <w:spacing w:after="4"/>
        <w:jc w:val="center"/>
      </w:pPr>
      <w:r>
        <w:drawing>
          <wp:inline xmlns:a="http://schemas.openxmlformats.org/drawingml/2006/main" xmlns:pic="http://schemas.openxmlformats.org/drawingml/2006/picture">
            <wp:extent cx="4892040" cy="2240167"/>
            <wp:docPr id="10" name="Picture 10" descr="悲观 基准与乐观估值情景" title="悲观 基准与乐观估值情景"/>
            <wp:cNvGraphicFramePr>
              <a:graphicFrameLocks noChangeAspect="1"/>
            </wp:cNvGraphicFramePr>
            <a:graphic>
              <a:graphicData uri="http://schemas.openxmlformats.org/drawingml/2006/picture">
                <pic:pic>
                  <pic:nvPicPr>
                    <pic:cNvPr id="0" name="wdc_q1fy27_chart10_valuation.png"/>
                    <pic:cNvPicPr/>
                  </pic:nvPicPr>
                  <pic:blipFill>
                    <a:blip r:embed="rId30"/>
                    <a:stretch>
                      <a:fillRect/>
                    </a:stretch>
                  </pic:blipFill>
                  <pic:spPr>
                    <a:xfrm>
                      <a:off x="0" y="0"/>
                      <a:ext cx="4892040" cy="2240167"/>
                    </a:xfrm>
                    <a:prstGeom prst="rect"/>
                  </pic:spPr>
                </pic:pic>
              </a:graphicData>
            </a:graphic>
          </wp:inline>
        </w:drawing>
      </w:r>
    </w:p>
    <w:p>
      <w:pPr>
        <w:spacing w:before="4" w:after="54" w:line="240" w:lineRule="auto"/>
      </w:pPr>
      <w:r>
        <w:rPr>
          <w:rFonts w:ascii="Songti SC" w:hAnsi="Songti SC" w:eastAsia="Songti SC"/>
          <w:b w:val="0"/>
          <w:i/>
          <w:color w:val="667085"/>
          <w:sz w:val="14"/>
          <w:lang w:val="zh-CN" w:eastAsia="zh-CN"/>
        </w:rPr>
        <w:t>资料来源：</w:t>
      </w:r>
      <w:hyperlink r:id="rId28">
        <w:r>
          <w:rPr>
            <w:rFonts w:ascii="Songti SC" w:hAnsi="Songti SC" w:eastAsia="Songti SC"/>
            <w:color w:val="0563C1"/>
            <w:u w:val="single"/>
            <w:sz w:val="15"/>
          </w:rPr>
          <w:t>Independent estimates and scenario analysis, 24 Oct. 2026</w:t>
        </w:r>
      </w:hyperlink>
      <w:r>
        <w:rPr>
          <w:rFonts w:ascii="Songti SC" w:hAnsi="Songti SC" w:eastAsia="Songti SC"/>
          <w:b w:val="0"/>
          <w:i/>
          <w:color w:val="667085"/>
          <w:sz w:val="14"/>
          <w:lang w:val="zh-CN" w:eastAsia="zh-CN"/>
        </w:rPr>
        <w:t xml:space="preserve">; </w:t>
      </w:r>
      <w:hyperlink r:id="rId24">
        <w:r>
          <w:rPr>
            <w:rFonts w:ascii="Songti SC" w:hAnsi="Songti SC" w:eastAsia="Songti SC"/>
            <w:color w:val="0563C1"/>
            <w:u w:val="single"/>
            <w:sz w:val="15"/>
          </w:rPr>
          <w:t>Longbridge 23 Oct. close</w:t>
        </w:r>
      </w:hyperlink>
      <w:r>
        <w:rPr>
          <w:rFonts w:ascii="Songti SC" w:hAnsi="Songti SC" w:eastAsia="Songti SC"/>
          <w:b w:val="0"/>
          <w:i/>
          <w:color w:val="667085"/>
          <w:sz w:val="14"/>
          <w:lang w:val="zh-CN" w:eastAsia="zh-CN"/>
        </w:rPr>
        <w:t>.</w:t>
      </w:r>
    </w:p>
    <w:p>
      <w:r>
        <w:br w:type="page"/>
      </w:r>
    </w:p>
    <w:p>
      <w:pPr>
        <w:pStyle w:val="Heading1"/>
        <w:keepNext/>
        <w:spacing w:before="20" w:after="80"/>
      </w:pPr>
      <w:r>
        <w:t>市场反应 风险与跟踪要点</w:t>
      </w:r>
    </w:p>
    <w:p>
      <w:pPr>
        <w:keepNext w:val="0"/>
        <w:spacing w:before="0" w:after="82" w:line="247" w:lineRule="auto"/>
      </w:pPr>
      <w:r>
        <w:rPr>
          <w:rFonts w:ascii="Songti SC" w:hAnsi="Songti SC" w:eastAsia="Songti SC"/>
          <w:b w:val="0"/>
          <w:i w:val="0"/>
          <w:color w:val="000000"/>
          <w:sz w:val="18"/>
          <w:lang w:val="zh-CN" w:eastAsia="zh-CN"/>
        </w:rPr>
        <w:t>尽管业绩与 Q2 指引双双强劲，WDC 仍在 10 月 23 日下跌 2.97% 至 343.67 美元。市场反应显示投资者已把注意力从近期数字转向维持供给增长的成本。管理层预计未来两年资本开支占收入比略高于 4%-6% 长期常态，主要用于磁头、介质技术与工厂自动化。与新增整盘产能相比，这种投入更有利于价格纪律，但仍带来执行风险，并使近期自由现金流转化率低于 Q1 的异常高水平。</w:t>
      </w:r>
    </w:p>
    <w:p>
      <w:pPr>
        <w:spacing w:after="60" w:line="247" w:lineRule="auto"/>
        <w:ind w:left="43" w:hanging="43"/>
      </w:pPr>
      <w:r>
        <w:rPr>
          <w:rFonts w:ascii="Heiti SC" w:hAnsi="Heiti SC" w:eastAsia="Heiti SC"/>
          <w:b/>
          <w:i w:val="0"/>
          <w:color w:val="123B5D"/>
          <w:sz w:val="17"/>
          <w:lang w:val="zh-CN" w:eastAsia="zh-CN"/>
        </w:rPr>
        <w:t xml:space="preserve">■ </w:t>
      </w:r>
      <w:r>
        <w:rPr>
          <w:rFonts w:ascii="Heiti SC" w:hAnsi="Heiti SC" w:eastAsia="Heiti SC"/>
          <w:b/>
          <w:i w:val="0"/>
          <w:color w:val="000000"/>
          <w:sz w:val="17"/>
          <w:lang w:val="zh-CN" w:eastAsia="zh-CN"/>
        </w:rPr>
        <w:t xml:space="preserve">技术切换风险。 </w:t>
      </w:r>
      <w:r>
        <w:rPr>
          <w:rFonts w:ascii="Songti SC" w:hAnsi="Songti SC" w:eastAsia="Songti SC"/>
          <w:b w:val="0"/>
          <w:i w:val="0"/>
          <w:color w:val="000000"/>
          <w:sz w:val="17"/>
          <w:lang w:val="zh-CN" w:eastAsia="zh-CN"/>
        </w:rPr>
        <w:t>ePMR 需要在 Q2 达到约 30% 的近线出货占比、Q3 达到 50%，HAMR 则计划于 2027 年上半年量产出货。认证延期、良率问题或吞吐损失都会限制 EB 增长并压低利润率。</w:t>
      </w:r>
    </w:p>
    <w:p>
      <w:pPr>
        <w:spacing w:after="60" w:line="247" w:lineRule="auto"/>
        <w:ind w:left="43" w:hanging="43"/>
      </w:pPr>
      <w:r>
        <w:rPr>
          <w:rFonts w:ascii="Heiti SC" w:hAnsi="Heiti SC" w:eastAsia="Heiti SC"/>
          <w:b/>
          <w:i w:val="0"/>
          <w:color w:val="123B5D"/>
          <w:sz w:val="17"/>
          <w:lang w:val="zh-CN" w:eastAsia="zh-CN"/>
        </w:rPr>
        <w:t xml:space="preserve">■ </w:t>
      </w:r>
      <w:r>
        <w:rPr>
          <w:rFonts w:ascii="Heiti SC" w:hAnsi="Heiti SC" w:eastAsia="Heiti SC"/>
          <w:b/>
          <w:i w:val="0"/>
          <w:color w:val="000000"/>
          <w:sz w:val="17"/>
          <w:lang w:val="zh-CN" w:eastAsia="zh-CN"/>
        </w:rPr>
        <w:t xml:space="preserve">定价与供给风险。 </w:t>
      </w:r>
      <w:r>
        <w:rPr>
          <w:rFonts w:ascii="Songti SC" w:hAnsi="Songti SC" w:eastAsia="Songti SC"/>
          <w:b w:val="0"/>
          <w:i w:val="0"/>
          <w:color w:val="000000"/>
          <w:sz w:val="17"/>
          <w:lang w:val="zh-CN" w:eastAsia="zh-CN"/>
        </w:rPr>
        <w:t>当前利润率依赖 LTA 调价、产品价值和未签约供给紧张。竞争对手扩产、云部署放缓或 LTA 重新谈判，均可能使每 TB 售价下降速度快于密度降低成本的速度。</w:t>
      </w:r>
    </w:p>
    <w:p>
      <w:pPr>
        <w:spacing w:after="60" w:line="247" w:lineRule="auto"/>
        <w:ind w:left="43" w:hanging="43"/>
      </w:pPr>
      <w:r>
        <w:rPr>
          <w:rFonts w:ascii="Heiti SC" w:hAnsi="Heiti SC" w:eastAsia="Heiti SC"/>
          <w:b/>
          <w:i w:val="0"/>
          <w:color w:val="123B5D"/>
          <w:sz w:val="17"/>
          <w:lang w:val="zh-CN" w:eastAsia="zh-CN"/>
        </w:rPr>
        <w:t xml:space="preserve">■ </w:t>
      </w:r>
      <w:r>
        <w:rPr>
          <w:rFonts w:ascii="Heiti SC" w:hAnsi="Heiti SC" w:eastAsia="Heiti SC"/>
          <w:b/>
          <w:i w:val="0"/>
          <w:color w:val="000000"/>
          <w:sz w:val="17"/>
          <w:lang w:val="zh-CN" w:eastAsia="zh-CN"/>
        </w:rPr>
        <w:t xml:space="preserve">客户与产品集中风险。 </w:t>
      </w:r>
      <w:r>
        <w:rPr>
          <w:rFonts w:ascii="Songti SC" w:hAnsi="Songti SC" w:eastAsia="Songti SC"/>
          <w:b w:val="0"/>
          <w:i w:val="0"/>
          <w:color w:val="000000"/>
          <w:sz w:val="17"/>
          <w:lang w:val="zh-CN" w:eastAsia="zh-CN"/>
        </w:rPr>
        <w:t>云业务占收入 88%，大客户部署计划可改变区域与季度结果；客户端和消费端规模不足以抵消超大规模客户普遍暂停。</w:t>
      </w:r>
    </w:p>
    <w:p>
      <w:pPr>
        <w:spacing w:after="60" w:line="247" w:lineRule="auto"/>
        <w:ind w:left="43" w:hanging="43"/>
      </w:pPr>
      <w:r>
        <w:rPr>
          <w:rFonts w:ascii="Heiti SC" w:hAnsi="Heiti SC" w:eastAsia="Heiti SC"/>
          <w:b/>
          <w:i w:val="0"/>
          <w:color w:val="123B5D"/>
          <w:sz w:val="17"/>
          <w:lang w:val="zh-CN" w:eastAsia="zh-CN"/>
        </w:rPr>
        <w:t xml:space="preserve">■ </w:t>
      </w:r>
      <w:r>
        <w:rPr>
          <w:rFonts w:ascii="Heiti SC" w:hAnsi="Heiti SC" w:eastAsia="Heiti SC"/>
          <w:b/>
          <w:i w:val="0"/>
          <w:color w:val="000000"/>
          <w:sz w:val="17"/>
          <w:lang w:val="zh-CN" w:eastAsia="zh-CN"/>
        </w:rPr>
        <w:t xml:space="preserve">资本结构与摊薄风险。 </w:t>
      </w:r>
      <w:r>
        <w:rPr>
          <w:rFonts w:ascii="Songti SC" w:hAnsi="Songti SC" w:eastAsia="Songti SC"/>
          <w:b w:val="0"/>
          <w:i w:val="0"/>
          <w:color w:val="000000"/>
          <w:sz w:val="17"/>
          <w:lang w:val="zh-CN" w:eastAsia="zh-CN"/>
        </w:rPr>
        <w:t>可转债结算简化了债务，但转换溢价通过发行股份支付。评估回购时应扣除摊薄、股权薪酬和技术投入所需现金。</w:t>
      </w:r>
    </w:p>
    <w:p>
      <w:pPr>
        <w:spacing w:after="60" w:line="247" w:lineRule="auto"/>
        <w:ind w:left="43" w:hanging="43"/>
      </w:pPr>
      <w:r>
        <w:rPr>
          <w:rFonts w:ascii="Heiti SC" w:hAnsi="Heiti SC" w:eastAsia="Heiti SC"/>
          <w:b/>
          <w:i w:val="0"/>
          <w:color w:val="123B5D"/>
          <w:sz w:val="17"/>
          <w:lang w:val="zh-CN" w:eastAsia="zh-CN"/>
        </w:rPr>
        <w:t xml:space="preserve">■ </w:t>
      </w:r>
      <w:r>
        <w:rPr>
          <w:rFonts w:ascii="Heiti SC" w:hAnsi="Heiti SC" w:eastAsia="Heiti SC"/>
          <w:b/>
          <w:i w:val="0"/>
          <w:color w:val="000000"/>
          <w:sz w:val="17"/>
          <w:lang w:val="zh-CN" w:eastAsia="zh-CN"/>
        </w:rPr>
        <w:t xml:space="preserve">投入成本与宏观风险。 </w:t>
      </w:r>
      <w:r>
        <w:rPr>
          <w:rFonts w:ascii="Songti SC" w:hAnsi="Songti SC" w:eastAsia="Songti SC"/>
          <w:b w:val="0"/>
          <w:i w:val="0"/>
          <w:color w:val="000000"/>
          <w:sz w:val="17"/>
          <w:lang w:val="zh-CN" w:eastAsia="zh-CN"/>
        </w:rPr>
        <w:t>管理层明确提及 DRAM 与 NAND 通胀；贸易限制、供应商集中、汇率及客户资本开支周期仍是 10-Q 中的重要敏感项。</w:t>
      </w:r>
    </w:p>
    <w:p>
      <w:pPr>
        <w:keepNext w:val="0"/>
        <w:spacing w:before="0" w:after="82" w:line="247" w:lineRule="auto"/>
      </w:pPr>
      <w:r>
        <w:rPr>
          <w:rFonts w:ascii="Songti SC" w:hAnsi="Songti SC" w:eastAsia="Songti SC"/>
          <w:b w:val="0"/>
          <w:i w:val="0"/>
          <w:color w:val="000000"/>
          <w:sz w:val="18"/>
          <w:lang w:val="zh-CN" w:eastAsia="zh-CN"/>
        </w:rPr>
        <w:t>下一期报告的跟踪看板包括五项：40TB ePMR 出货占比、总 EB 与近线 EB 增速、每 TB 综合售价、相对 60%-61% 指引的毛利率，以及资本开支与自由现金流转化。若这些指标同步超预期，预测仍有上调空间；若收入超预期仅来自提价，而 EB 供给和技术结构没有进展，则质量较低，因为客户抵触与未来份额流失风险会升高。</w:t>
      </w:r>
    </w:p>
    <w:p>
      <w:pPr>
        <w:keepNext/>
        <w:spacing w:before="0" w:after="16" w:line="247" w:lineRule="auto"/>
      </w:pPr>
      <w:r>
        <w:rPr>
          <w:rFonts w:ascii="Heiti SC" w:hAnsi="Heiti SC" w:eastAsia="Heiti SC"/>
          <w:b/>
          <w:i w:val="0"/>
          <w:color w:val="000000"/>
          <w:sz w:val="16"/>
          <w:lang w:val="zh-CN" w:eastAsia="zh-CN"/>
        </w:rPr>
        <w:t>图 11：前复权一年股价与目标价</w:t>
      </w:r>
    </w:p>
    <w:p>
      <w:pPr>
        <w:spacing w:after="4"/>
        <w:jc w:val="center"/>
      </w:pPr>
      <w:r>
        <w:drawing>
          <wp:inline xmlns:a="http://schemas.openxmlformats.org/drawingml/2006/main" xmlns:pic="http://schemas.openxmlformats.org/drawingml/2006/picture">
            <wp:extent cx="4892040" cy="2228058"/>
            <wp:docPr id="11" name="Picture 11" descr="前复权一年股价与目标价" title="前复权一年股价与目标价"/>
            <wp:cNvGraphicFramePr>
              <a:graphicFrameLocks noChangeAspect="1"/>
            </wp:cNvGraphicFramePr>
            <a:graphic>
              <a:graphicData uri="http://schemas.openxmlformats.org/drawingml/2006/picture">
                <pic:pic>
                  <pic:nvPicPr>
                    <pic:cNvPr id="0" name="wdc_q1fy27_chart11_price.png"/>
                    <pic:cNvPicPr/>
                  </pic:nvPicPr>
                  <pic:blipFill>
                    <a:blip r:embed="rId31"/>
                    <a:stretch>
                      <a:fillRect/>
                    </a:stretch>
                  </pic:blipFill>
                  <pic:spPr>
                    <a:xfrm>
                      <a:off x="0" y="0"/>
                      <a:ext cx="4892040" cy="2228058"/>
                    </a:xfrm>
                    <a:prstGeom prst="rect"/>
                  </pic:spPr>
                </pic:pic>
              </a:graphicData>
            </a:graphic>
          </wp:inline>
        </w:drawing>
      </w:r>
    </w:p>
    <w:p>
      <w:pPr>
        <w:spacing w:before="4" w:after="54" w:line="240" w:lineRule="auto"/>
      </w:pPr>
      <w:r>
        <w:rPr>
          <w:rFonts w:ascii="Songti SC" w:hAnsi="Songti SC" w:eastAsia="Songti SC"/>
          <w:b w:val="0"/>
          <w:i/>
          <w:color w:val="667085"/>
          <w:sz w:val="14"/>
          <w:lang w:val="zh-CN" w:eastAsia="zh-CN"/>
        </w:rPr>
        <w:t>资料来源：</w:t>
      </w:r>
      <w:hyperlink r:id="rId24">
        <w:r>
          <w:rPr>
            <w:rFonts w:ascii="Songti SC" w:hAnsi="Songti SC" w:eastAsia="Songti SC"/>
            <w:color w:val="0563C1"/>
            <w:u w:val="single"/>
            <w:sz w:val="15"/>
          </w:rPr>
          <w:t>Longbridge adjusted daily K-line through 23 Oct. 2026</w:t>
        </w:r>
      </w:hyperlink>
      <w:r>
        <w:rPr>
          <w:rFonts w:ascii="Songti SC" w:hAnsi="Songti SC" w:eastAsia="Songti SC"/>
          <w:b w:val="0"/>
          <w:i/>
          <w:color w:val="667085"/>
          <w:sz w:val="14"/>
          <w:lang w:val="zh-CN" w:eastAsia="zh-CN"/>
        </w:rPr>
        <w:t xml:space="preserve">; </w:t>
      </w:r>
      <w:hyperlink r:id="rId11">
        <w:r>
          <w:rPr>
            <w:rFonts w:ascii="Songti SC" w:hAnsi="Songti SC" w:eastAsia="Songti SC"/>
            <w:color w:val="0563C1"/>
            <w:u w:val="single"/>
            <w:sz w:val="15"/>
          </w:rPr>
          <w:t>WDC Q1 FY2027 release date</w:t>
        </w:r>
      </w:hyperlink>
      <w:r>
        <w:rPr>
          <w:rFonts w:ascii="Songti SC" w:hAnsi="Songti SC" w:eastAsia="Songti SC"/>
          <w:b w:val="0"/>
          <w:i/>
          <w:color w:val="667085"/>
          <w:sz w:val="14"/>
          <w:lang w:val="zh-CN" w:eastAsia="zh-CN"/>
        </w:rPr>
        <w:t>.</w:t>
      </w:r>
    </w:p>
    <w:p>
      <w:r>
        <w:br w:type="page"/>
      </w:r>
    </w:p>
    <w:p>
      <w:pPr>
        <w:pStyle w:val="Heading1"/>
        <w:keepNext/>
        <w:spacing w:before="20" w:after="80"/>
      </w:pPr>
      <w:r>
        <w:t>资料来源 方法与披露</w:t>
      </w:r>
    </w:p>
    <w:p>
      <w:pPr>
        <w:keepNext w:val="0"/>
        <w:spacing w:before="0" w:after="82" w:line="247" w:lineRule="auto"/>
      </w:pPr>
      <w:r>
        <w:rPr>
          <w:rFonts w:ascii="Songti SC" w:hAnsi="Songti SC" w:eastAsia="Songti SC"/>
          <w:b w:val="0"/>
          <w:i w:val="0"/>
          <w:color w:val="000000"/>
          <w:sz w:val="18"/>
          <w:lang w:val="zh-CN" w:eastAsia="zh-CN"/>
        </w:rPr>
        <w:t>当前日期为 2026 年 10 月 24 日。Western Digital Corporation 在纳斯达克以 WDC 交易，SEC CIK 为 106040。公司于 2026 年 10 月 22 日发布截至 10 月 2 日的 FY2027 Q1 业绩，同日提交 Form 8-K，并于 10 月 23 日提交 Form 10-Q。电话会于 10 月 22 日美东时间下午 4:30 举行，与公告日期一致。这是最新一期已披露业绩，并满足三个月时效要求。</w:t>
      </w:r>
    </w:p>
    <w:p>
      <w:pPr>
        <w:keepNext w:val="0"/>
        <w:spacing w:before="0" w:after="82" w:line="247" w:lineRule="auto"/>
      </w:pPr>
      <w:r>
        <w:rPr>
          <w:rFonts w:ascii="Songti SC" w:hAnsi="Songti SC" w:eastAsia="Songti SC"/>
          <w:b w:val="0"/>
          <w:i w:val="0"/>
          <w:color w:val="000000"/>
          <w:sz w:val="18"/>
          <w:lang w:val="zh-CN" w:eastAsia="zh-CN"/>
        </w:rPr>
        <w:t>财务报表、终端市场收入、现金流、债务、股数与风险披露以业绩公告、演示材料和 10-Q 为准。管理层评论与问答使用 10 月 22 日电话会文字稿及 WDC 网络回放页。超预期分析采用 MarketBeat 10 月 22 日财报前一致预期快照；前瞻一致预期、评级与目标价背景采用 10 月 23 日 Longbridge 数据。股价图使用截至 10 月 23 日的 Longbridge 前复权日线收盘价。</w:t>
      </w:r>
    </w:p>
    <w:p>
      <w:pPr>
        <w:keepNext w:val="0"/>
        <w:spacing w:before="0" w:after="82" w:line="247" w:lineRule="auto"/>
      </w:pPr>
      <w:r>
        <w:rPr>
          <w:rFonts w:ascii="Songti SC" w:hAnsi="Songti SC" w:eastAsia="Songti SC"/>
          <w:b w:val="0"/>
          <w:i w:val="0"/>
          <w:color w:val="000000"/>
          <w:sz w:val="18"/>
          <w:lang w:val="zh-CN" w:eastAsia="zh-CN"/>
        </w:rPr>
        <w:t>Western Digital 于 2025 年 2 月 21 日完成 Sandisk 分拆。本报告历史季度序列使用 WDC 重述后的 HDD 持续经营口径，不把分拆后的 WDC 与 Sandisk 闪存收入合并。Non-GAAP 指标遵循 WDC 定义，不能替代 GAAP。此前 FY2027 预测来自上一期 FY2026 Q4 更新；新的 FY2027-FY2028 预测、情景、评级和目标价属于独立分析判断，并非公司指引。</w:t>
      </w:r>
    </w:p>
    <w:p>
      <w:pPr>
        <w:keepNext w:val="0"/>
        <w:spacing w:before="0" w:after="82" w:line="247" w:lineRule="auto"/>
      </w:pPr>
      <w:r>
        <w:rPr>
          <w:rFonts w:ascii="Songti SC" w:hAnsi="Songti SC" w:eastAsia="Songti SC"/>
          <w:b w:val="0"/>
          <w:i w:val="0"/>
          <w:color w:val="000000"/>
          <w:sz w:val="18"/>
          <w:lang w:val="zh-CN" w:eastAsia="zh-CN"/>
        </w:rPr>
        <w:t>本报告为独立研究，仅供信息参考，不构成投资建议、要约、招揽或受托建议。预测与估值情景依赖可能不成立的假设。投资者在决策前应阅读原始文件，并结合自身目标、风险承受能力与专业意见。</w:t>
      </w:r>
    </w:p>
    <w:p>
      <w:pPr>
        <w:pStyle w:val="Heading2"/>
        <w:keepNext/>
        <w:spacing w:before="20" w:after="80"/>
      </w:pPr>
      <w:r>
        <w:t>资料来源与参考文件</w:t>
      </w:r>
    </w:p>
    <w:p>
      <w:pPr>
        <w:spacing w:after="40"/>
      </w:pPr>
      <w:r>
        <w:rPr>
          <w:rFonts w:ascii="Songti SC" w:hAnsi="Songti SC" w:eastAsia="Songti SC"/>
          <w:b w:val="0"/>
          <w:i w:val="0"/>
          <w:color w:val="000000"/>
          <w:sz w:val="16"/>
          <w:lang w:val="zh-CN" w:eastAsia="zh-CN"/>
        </w:rPr>
        <w:t xml:space="preserve">• </w:t>
      </w:r>
      <w:hyperlink r:id="rId11">
        <w:r>
          <w:rPr>
            <w:rFonts w:ascii="Songti SC" w:hAnsi="Songti SC" w:eastAsia="Songti SC"/>
            <w:color w:val="0563C1"/>
            <w:u w:val="single"/>
            <w:sz w:val="16"/>
          </w:rPr>
          <w:t>FY2027 Q1 业绩公告  2026-10-22</w:t>
        </w:r>
      </w:hyperlink>
    </w:p>
    <w:p>
      <w:pPr>
        <w:spacing w:after="40"/>
      </w:pPr>
      <w:r>
        <w:rPr>
          <w:rFonts w:ascii="Songti SC" w:hAnsi="Songti SC" w:eastAsia="Songti SC"/>
          <w:b w:val="0"/>
          <w:i w:val="0"/>
          <w:color w:val="000000"/>
          <w:sz w:val="16"/>
          <w:lang w:val="zh-CN" w:eastAsia="zh-CN"/>
        </w:rPr>
        <w:t xml:space="preserve">• </w:t>
      </w:r>
      <w:hyperlink r:id="rId14">
        <w:r>
          <w:rPr>
            <w:rFonts w:ascii="Songti SC" w:hAnsi="Songti SC" w:eastAsia="Songti SC"/>
            <w:color w:val="0563C1"/>
            <w:u w:val="single"/>
            <w:sz w:val="16"/>
          </w:rPr>
          <w:t>FY2027 Q1 业绩演示  2026-10-22</w:t>
        </w:r>
      </w:hyperlink>
    </w:p>
    <w:p>
      <w:pPr>
        <w:spacing w:after="40"/>
      </w:pPr>
      <w:r>
        <w:rPr>
          <w:rFonts w:ascii="Songti SC" w:hAnsi="Songti SC" w:eastAsia="Songti SC"/>
          <w:b w:val="0"/>
          <w:i w:val="0"/>
          <w:color w:val="000000"/>
          <w:sz w:val="16"/>
          <w:lang w:val="zh-CN" w:eastAsia="zh-CN"/>
        </w:rPr>
        <w:t xml:space="preserve">• </w:t>
      </w:r>
      <w:hyperlink r:id="rId32">
        <w:r>
          <w:rPr>
            <w:rFonts w:ascii="Songti SC" w:hAnsi="Songti SC" w:eastAsia="Songti SC"/>
            <w:color w:val="0563C1"/>
            <w:u w:val="single"/>
            <w:sz w:val="16"/>
          </w:rPr>
          <w:t>Form 8-K  0001628280-26-066882  2026-10-22</w:t>
        </w:r>
      </w:hyperlink>
    </w:p>
    <w:p>
      <w:pPr>
        <w:spacing w:after="40"/>
      </w:pPr>
      <w:r>
        <w:rPr>
          <w:rFonts w:ascii="Songti SC" w:hAnsi="Songti SC" w:eastAsia="Songti SC"/>
          <w:b w:val="0"/>
          <w:i w:val="0"/>
          <w:color w:val="000000"/>
          <w:sz w:val="16"/>
          <w:lang w:val="zh-CN" w:eastAsia="zh-CN"/>
        </w:rPr>
        <w:t xml:space="preserve">• </w:t>
      </w:r>
      <w:hyperlink r:id="rId33">
        <w:r>
          <w:rPr>
            <w:rFonts w:ascii="Songti SC" w:hAnsi="Songti SC" w:eastAsia="Songti SC"/>
            <w:color w:val="0563C1"/>
            <w:u w:val="single"/>
            <w:sz w:val="16"/>
          </w:rPr>
          <w:t>Form 10-Q  0001628280-26-066933  2026-10-23</w:t>
        </w:r>
      </w:hyperlink>
    </w:p>
    <w:p>
      <w:pPr>
        <w:spacing w:after="40"/>
      </w:pPr>
      <w:r>
        <w:rPr>
          <w:rFonts w:ascii="Songti SC" w:hAnsi="Songti SC" w:eastAsia="Songti SC"/>
          <w:b w:val="0"/>
          <w:i w:val="0"/>
          <w:color w:val="000000"/>
          <w:sz w:val="16"/>
          <w:lang w:val="zh-CN" w:eastAsia="zh-CN"/>
        </w:rPr>
        <w:t xml:space="preserve">• </w:t>
      </w:r>
      <w:hyperlink r:id="rId34">
        <w:r>
          <w:rPr>
            <w:rFonts w:ascii="Songti SC" w:hAnsi="Songti SC" w:eastAsia="Songti SC"/>
            <w:color w:val="0563C1"/>
            <w:u w:val="single"/>
            <w:sz w:val="16"/>
          </w:rPr>
          <w:t>FY2027 Q1 电话会与回放  2026-10-22</w:t>
        </w:r>
      </w:hyperlink>
    </w:p>
    <w:p>
      <w:pPr>
        <w:spacing w:after="40"/>
      </w:pPr>
      <w:r>
        <w:rPr>
          <w:rFonts w:ascii="Songti SC" w:hAnsi="Songti SC" w:eastAsia="Songti SC"/>
          <w:b w:val="0"/>
          <w:i w:val="0"/>
          <w:color w:val="000000"/>
          <w:sz w:val="16"/>
          <w:lang w:val="zh-CN" w:eastAsia="zh-CN"/>
        </w:rPr>
        <w:t xml:space="preserve">• </w:t>
      </w:r>
      <w:hyperlink r:id="rId26">
        <w:r>
          <w:rPr>
            <w:rFonts w:ascii="Songti SC" w:hAnsi="Songti SC" w:eastAsia="Songti SC"/>
            <w:color w:val="0563C1"/>
            <w:u w:val="single"/>
            <w:sz w:val="16"/>
          </w:rPr>
          <w:t>FY2027 Q1 电话会文字稿  2026-10-22</w:t>
        </w:r>
      </w:hyperlink>
    </w:p>
    <w:p>
      <w:pPr>
        <w:spacing w:after="40"/>
      </w:pPr>
      <w:r>
        <w:rPr>
          <w:rFonts w:ascii="Songti SC" w:hAnsi="Songti SC" w:eastAsia="Songti SC"/>
          <w:b w:val="0"/>
          <w:i w:val="0"/>
          <w:color w:val="000000"/>
          <w:sz w:val="16"/>
          <w:lang w:val="zh-CN" w:eastAsia="zh-CN"/>
        </w:rPr>
        <w:t xml:space="preserve">• </w:t>
      </w:r>
      <w:hyperlink r:id="rId22">
        <w:r>
          <w:rPr>
            <w:rFonts w:ascii="Songti SC" w:hAnsi="Songti SC" w:eastAsia="Songti SC"/>
            <w:color w:val="0563C1"/>
            <w:u w:val="single"/>
            <w:sz w:val="16"/>
          </w:rPr>
          <w:t>FY2026 Q4 公告与此前 Q1 指引  2026-08-05</w:t>
        </w:r>
      </w:hyperlink>
    </w:p>
    <w:p>
      <w:pPr>
        <w:spacing w:after="40"/>
      </w:pPr>
      <w:r>
        <w:rPr>
          <w:rFonts w:ascii="Songti SC" w:hAnsi="Songti SC" w:eastAsia="Songti SC"/>
          <w:b w:val="0"/>
          <w:i w:val="0"/>
          <w:color w:val="000000"/>
          <w:sz w:val="16"/>
          <w:lang w:val="zh-CN" w:eastAsia="zh-CN"/>
        </w:rPr>
        <w:t xml:space="preserve">• </w:t>
      </w:r>
      <w:hyperlink r:id="rId12">
        <w:r>
          <w:rPr>
            <w:rFonts w:ascii="Songti SC" w:hAnsi="Songti SC" w:eastAsia="Songti SC"/>
            <w:color w:val="0563C1"/>
            <w:u w:val="single"/>
            <w:sz w:val="16"/>
          </w:rPr>
          <w:t>MarketBeat 财报前一致预期快照  2026-10-22</w:t>
        </w:r>
      </w:hyperlink>
    </w:p>
    <w:p>
      <w:pPr>
        <w:spacing w:after="40"/>
      </w:pPr>
      <w:r>
        <w:rPr>
          <w:rFonts w:ascii="Songti SC" w:hAnsi="Songti SC" w:eastAsia="Songti SC"/>
          <w:b w:val="0"/>
          <w:i w:val="0"/>
          <w:color w:val="000000"/>
          <w:sz w:val="16"/>
          <w:lang w:val="zh-CN" w:eastAsia="zh-CN"/>
        </w:rPr>
        <w:t xml:space="preserve">• </w:t>
      </w:r>
      <w:hyperlink r:id="rId24">
        <w:r>
          <w:rPr>
            <w:rFonts w:ascii="Songti SC" w:hAnsi="Songti SC" w:eastAsia="Songti SC"/>
            <w:color w:val="0563C1"/>
            <w:u w:val="single"/>
            <w:sz w:val="16"/>
          </w:rPr>
          <w:t>Longbridge 市场预期 评级 估值与股价数据  2026-10-23</w:t>
        </w:r>
      </w:hyperlink>
    </w:p>
    <w:p>
      <w:pPr>
        <w:spacing w:after="40"/>
      </w:pPr>
      <w:r>
        <w:rPr>
          <w:rFonts w:ascii="Songti SC" w:hAnsi="Songti SC" w:eastAsia="Songti SC"/>
          <w:b w:val="0"/>
          <w:i w:val="0"/>
          <w:color w:val="000000"/>
          <w:sz w:val="16"/>
          <w:lang w:val="zh-CN" w:eastAsia="zh-CN"/>
        </w:rPr>
        <w:t xml:space="preserve">• </w:t>
      </w:r>
      <w:hyperlink r:id="rId28">
        <w:r>
          <w:rPr>
            <w:rFonts w:ascii="Songti SC" w:hAnsi="Songti SC" w:eastAsia="Songti SC"/>
            <w:color w:val="0563C1"/>
            <w:u w:val="single"/>
            <w:sz w:val="16"/>
          </w:rPr>
          <w:t>WDC 财报文件档案</w:t>
        </w:r>
      </w:hyperlink>
    </w:p>
    <w:sectPr w:rsidR="00FC693F" w:rsidRPr="0006063C" w:rsidSect="00034616">
      <w:headerReference w:type="default" r:id="rId9"/>
      <w:footerReference w:type="default" r:id="rId10"/>
      <w:pgSz w:w="12240" w:h="15840"/>
      <w:pgMar w:top="893" w:right="1080" w:bottom="835"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ongti SC" w:hAnsi="Songti SC" w:eastAsia="Songti SC"/>
        <w:b w:val="0"/>
        <w:i w:val="0"/>
        <w:color w:val="667085"/>
        <w:sz w:val="14"/>
        <w:lang w:val="zh-CN" w:eastAsia="zh-CN"/>
      </w:rPr>
      <w:t xml:space="preserve">Independent Research  |  24 October 2026  |  </w:t>
    </w:r>
    <w:r>
      <w:rPr>
        <w:rFonts w:ascii="Times New Roman" w:hAnsi="Times New Roman" w:eastAsia="Times New Roman"/>
        <w:b w:val="0"/>
        <w:i w:val="0"/>
        <w:color w:val="667085"/>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Heiti SC" w:hAnsi="Heiti SC" w:eastAsia="Heiti SC"/>
        <w:b/>
        <w:i w:val="0"/>
        <w:color w:val="000000"/>
        <w:sz w:val="15"/>
        <w:lang w:val="zh-CN" w:eastAsia="zh-CN"/>
      </w:rPr>
      <w:t>西部数据（纳斯达克：WDC）｜2027 财年第一季度业绩更新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Songti SC" w:hAnsi="Songti SC" w:eastAsia="Songti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iti SC" w:hAnsi="Heiti SC" w:eastAsia="Heiti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iti SC" w:hAnsi="Heiti SC" w:eastAsia="Heiti SC"/>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iti SC" w:hAnsi="Heiti SC" w:eastAsia="Heiti SC"/>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Heiti SC" w:hAnsi="Heiti SC" w:eastAsia="Heiti SC"/>
      <w:b/>
      <w:color w:val="000000"/>
      <w:spacing w:val="5"/>
      <w:kern w:val="28"/>
      <w:sz w:val="3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nvestor.wdc.com/node/28921" TargetMode="External"/><Relationship Id="rId12" Type="http://schemas.openxmlformats.org/officeDocument/2006/relationships/hyperlink" Target="https://www.marketbeat.com/stocks/NASDAQ/WDC/earnings/" TargetMode="External"/><Relationship Id="rId13" Type="http://schemas.openxmlformats.org/officeDocument/2006/relationships/image" Target="media/image1.png"/><Relationship Id="rId14" Type="http://schemas.openxmlformats.org/officeDocument/2006/relationships/hyperlink" Target="https://investor.wdc.com/static-files/0c54ec27-0e0d-46b1-a56b-2c72b02815ff" TargetMode="External"/><Relationship Id="rId15" Type="http://schemas.openxmlformats.org/officeDocument/2006/relationships/hyperlink" Target="https://www.sec.gov/Archives/edgar/data/106040/000162828026066933/wdc-20261002.htm" TargetMode="External"/><Relationship Id="rId16" Type="http://schemas.openxmlformats.org/officeDocument/2006/relationships/image" Target="media/image2.png"/><Relationship Id="rId17" Type="http://schemas.openxmlformats.org/officeDocument/2006/relationships/hyperlink" Target="https://investor.wdc.com/static-files/d4c70967-9cf8-45ff-ba15-93de77163154" TargetMode="Externa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hyperlink" Target="https://investor.wdc.com/node/28586" TargetMode="External"/><Relationship Id="rId23" Type="http://schemas.openxmlformats.org/officeDocument/2006/relationships/image" Target="media/image7.png"/><Relationship Id="rId24" Type="http://schemas.openxmlformats.org/officeDocument/2006/relationships/hyperlink" Target="https://longbridge.com/en/quote/WDC.US" TargetMode="External"/><Relationship Id="rId25" Type="http://schemas.openxmlformats.org/officeDocument/2006/relationships/image" Target="media/image8.png"/><Relationship Id="rId26" Type="http://schemas.openxmlformats.org/officeDocument/2006/relationships/hyperlink" Target="https://www.marketbeat.com/earnings/reports/2026-10-22-western-digital-co-stock/" TargetMode="External"/><Relationship Id="rId27" Type="http://schemas.openxmlformats.org/officeDocument/2006/relationships/hyperlink" Target="https://www.sec.gov/Archives/edgar/data/106040/000162828026057139/wdc-20260703.htm" TargetMode="External"/><Relationship Id="rId28" Type="http://schemas.openxmlformats.org/officeDocument/2006/relationships/hyperlink" Target="https://investor.wdc.com/financial-information/earnings-documents" TargetMode="External"/><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hyperlink" Target="https://www.sec.gov/Archives/edgar/data/106040/000162828026066882/0001628280-26-066882-index.htm" TargetMode="External"/><Relationship Id="rId33" Type="http://schemas.openxmlformats.org/officeDocument/2006/relationships/hyperlink" Target="https://www.sec.gov/Archives/edgar/data/106040/000162828026066933/0001628280-26-066933-index.htm" TargetMode="External"/><Relationship Id="rId34" Type="http://schemas.openxmlformats.org/officeDocument/2006/relationships/hyperlink" Target="https://investor.wdc.com/events/event-details/western-digital-first-quarter-fiscal-2027-earnings-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