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66000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77000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a(start=0.35);</w:t>
      </w:r>
      <w:r>
        <w:br/>
      </w:r>
      <w:r>
        <w:rPr>
          <w:rStyle w:val="VerbatimChar"/>
        </w:rPr>
        <w:t xml:space="preserve">  parameter  Real b(start=0.79);</w:t>
      </w:r>
      <w:r>
        <w:br/>
      </w:r>
      <w:r>
        <w:rPr>
          <w:rStyle w:val="VerbatimChar"/>
        </w:rPr>
        <w:t xml:space="preserve">  parameter  Real c(start=0.49);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y1(start=66000);</w:t>
      </w:r>
      <w:r>
        <w:br/>
      </w:r>
      <w:r>
        <w:rPr>
          <w:rStyle w:val="VerbatimChar"/>
        </w:rPr>
        <w:t xml:space="preserve">  Real y2(start=77000);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sin(time+1)+2;</w:t>
      </w:r>
      <w:r>
        <w:br/>
      </w:r>
      <w:r>
        <w:rPr>
          <w:rStyle w:val="VerbatimChar"/>
        </w:rPr>
        <w:t xml:space="preserve">    der(y2)= -c*y1-h*y2 + cos(time+2)+1;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a(start=0.258);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c(start=0.46);</w:t>
      </w:r>
      <w:r>
        <w:br/>
      </w:r>
      <w:r>
        <w:rPr>
          <w:rStyle w:val="VerbatimChar"/>
        </w:rPr>
        <w:t xml:space="preserve">  parameter  Real h(start=0.31); </w:t>
      </w:r>
      <w:r>
        <w:br/>
      </w:r>
      <w:r>
        <w:rPr>
          <w:rStyle w:val="VerbatimChar"/>
        </w:rPr>
        <w:t xml:space="preserve">  Real y1(start=66000);</w:t>
      </w:r>
      <w:r>
        <w:br/>
      </w:r>
      <w:r>
        <w:rPr>
          <w:rStyle w:val="VerbatimChar"/>
        </w:rPr>
        <w:t xml:space="preserve">  Real y2(start=77000);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sin(2*time)+1;</w:t>
      </w:r>
      <w:r>
        <w:br/>
      </w:r>
      <w:r>
        <w:rPr>
          <w:rStyle w:val="VerbatimChar"/>
        </w:rPr>
        <w:t xml:space="preserve">    der(y2)= -c*y1*y2-h*y2 + cos(time)+1;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Маммедгулыев Максат НФИбд-02-19</dc:creator>
  <dc:language>ru-RU</dc:language>
  <cp:keywords/>
  <dcterms:created xsi:type="dcterms:W3CDTF">2022-02-23T08:55:21Z</dcterms:created>
  <dcterms:modified xsi:type="dcterms:W3CDTF">2022-02-23T08:55:21Z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