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F18C" w14:textId="77777777" w:rsidR="006F739B" w:rsidRPr="00424BC9" w:rsidRDefault="00000000">
      <w:pPr>
        <w:spacing w:before="100" w:after="40"/>
        <w:rPr>
          <w:sz w:val="24"/>
          <w:szCs w:val="24"/>
        </w:rPr>
      </w:pPr>
      <w:r w:rsidRPr="00424BC9">
        <w:rPr>
          <w:b/>
          <w:color w:val="1F4E79"/>
          <w:sz w:val="24"/>
          <w:szCs w:val="24"/>
        </w:rPr>
        <w:t>EXHIBIT D</w:t>
      </w:r>
    </w:p>
    <w:p w14:paraId="74D25BED" w14:textId="6D9743AA" w:rsidR="006F739B" w:rsidRDefault="00000000">
      <w:pPr>
        <w:spacing w:after="80"/>
      </w:pPr>
      <w:r>
        <w:rPr>
          <w:b/>
          <w:color w:val="17324D"/>
          <w:sz w:val="38"/>
        </w:rPr>
        <w:t xml:space="preserve">Taxes, Regulatory </w:t>
      </w:r>
      <w:r w:rsidR="00424BC9">
        <w:rPr>
          <w:b/>
          <w:color w:val="17324D"/>
          <w:sz w:val="38"/>
        </w:rPr>
        <w:t>Burden,</w:t>
      </w:r>
      <w:r>
        <w:rPr>
          <w:b/>
          <w:color w:val="17324D"/>
          <w:sz w:val="38"/>
        </w:rPr>
        <w:t xml:space="preserve"> and Property Marketability</w:t>
      </w:r>
    </w:p>
    <w:p w14:paraId="451D8BA8" w14:textId="71725A1B" w:rsidR="006F739B" w:rsidRPr="00424BC9" w:rsidRDefault="00000000">
      <w:pPr>
        <w:spacing w:after="180"/>
        <w:rPr>
          <w:sz w:val="24"/>
          <w:szCs w:val="24"/>
        </w:rPr>
      </w:pPr>
      <w:r w:rsidRPr="00424BC9">
        <w:rPr>
          <w:sz w:val="24"/>
          <w:szCs w:val="24"/>
        </w:rPr>
        <w:t xml:space="preserve">Supplemental policy context concerning preservation investment, ownership </w:t>
      </w:r>
      <w:r w:rsidR="00424BC9" w:rsidRPr="00424BC9">
        <w:rPr>
          <w:sz w:val="24"/>
          <w:szCs w:val="24"/>
        </w:rPr>
        <w:t>costs,</w:t>
      </w:r>
      <w:r w:rsidRPr="00424BC9">
        <w:rPr>
          <w:sz w:val="24"/>
          <w:szCs w:val="24"/>
        </w:rPr>
        <w:t xml:space="preserve"> and </w:t>
      </w:r>
      <w:r w:rsidR="00424BC9" w:rsidRPr="00424BC9">
        <w:rPr>
          <w:sz w:val="24"/>
          <w:szCs w:val="24"/>
        </w:rPr>
        <w:t>marketability.</w:t>
      </w:r>
    </w:p>
    <w:p w14:paraId="19838FEA" w14:textId="0B722893" w:rsidR="006F739B" w:rsidRPr="00424BC9" w:rsidRDefault="00000000">
      <w:pPr>
        <w:rPr>
          <w:sz w:val="24"/>
          <w:szCs w:val="24"/>
        </w:rPr>
      </w:pPr>
      <w:r w:rsidRPr="00424BC9">
        <w:rPr>
          <w:b/>
          <w:sz w:val="24"/>
          <w:szCs w:val="24"/>
        </w:rPr>
        <w:t xml:space="preserve">Submitted by: </w:t>
      </w:r>
      <w:r w:rsidRPr="00424BC9">
        <w:rPr>
          <w:sz w:val="24"/>
          <w:szCs w:val="24"/>
        </w:rPr>
        <w:t xml:space="preserve">David McFadden and Robin </w:t>
      </w:r>
      <w:r w:rsidR="00424BC9" w:rsidRPr="00424BC9">
        <w:rPr>
          <w:sz w:val="24"/>
          <w:szCs w:val="24"/>
        </w:rPr>
        <w:t>McFadden | Public</w:t>
      </w:r>
      <w:r w:rsidRPr="00424BC9">
        <w:rPr>
          <w:b/>
          <w:sz w:val="24"/>
          <w:szCs w:val="24"/>
        </w:rPr>
        <w:t xml:space="preserve"> hearing: </w:t>
      </w:r>
      <w:r w:rsidRPr="00424BC9">
        <w:rPr>
          <w:sz w:val="24"/>
          <w:szCs w:val="24"/>
        </w:rPr>
        <w:t>August 20, 2026</w:t>
      </w:r>
    </w:p>
    <w:p w14:paraId="6734BC5A" w14:textId="77777777" w:rsidR="006F739B" w:rsidRPr="00424BC9" w:rsidRDefault="00000000">
      <w:pPr>
        <w:pStyle w:val="Heading1"/>
        <w:rPr>
          <w:rFonts w:ascii="Aptos" w:hAnsi="Aptos"/>
          <w:sz w:val="24"/>
          <w:szCs w:val="24"/>
        </w:rPr>
      </w:pPr>
      <w:r w:rsidRPr="00424BC9">
        <w:rPr>
          <w:rFonts w:ascii="Aptos" w:hAnsi="Aptos"/>
          <w:sz w:val="24"/>
          <w:szCs w:val="24"/>
        </w:rPr>
        <w:t>1. The Policy Question</w:t>
      </w:r>
    </w:p>
    <w:p w14:paraId="6D2AB94F" w14:textId="1B27B4F4" w:rsidR="006F739B" w:rsidRPr="00424BC9" w:rsidRDefault="00000000">
      <w:pPr>
        <w:rPr>
          <w:sz w:val="24"/>
          <w:szCs w:val="24"/>
        </w:rPr>
      </w:pPr>
      <w:r w:rsidRPr="00424BC9">
        <w:rPr>
          <w:sz w:val="24"/>
          <w:szCs w:val="24"/>
        </w:rPr>
        <w:t xml:space="preserve">Tuxedo Park homeowners bear substantial restoration, maintenance, </w:t>
      </w:r>
      <w:r w:rsidR="00424BC9" w:rsidRPr="00424BC9">
        <w:rPr>
          <w:sz w:val="24"/>
          <w:szCs w:val="24"/>
        </w:rPr>
        <w:t>tax,</w:t>
      </w:r>
      <w:r w:rsidRPr="00424BC9">
        <w:rPr>
          <w:sz w:val="24"/>
          <w:szCs w:val="24"/>
        </w:rPr>
        <w:t xml:space="preserve"> and assessment costs. Those obligations do not create immunity from reasonable regulation or </w:t>
      </w:r>
      <w:r w:rsidR="00424BC9" w:rsidRPr="00424BC9">
        <w:rPr>
          <w:sz w:val="24"/>
          <w:szCs w:val="24"/>
        </w:rPr>
        <w:t>entitlement</w:t>
      </w:r>
      <w:r w:rsidRPr="00424BC9">
        <w:rPr>
          <w:sz w:val="24"/>
          <w:szCs w:val="24"/>
        </w:rPr>
        <w:t xml:space="preserve"> to commercial activity. They are supplemental policy considerations when the Board evaluates whether a new restriction is necessary, </w:t>
      </w:r>
      <w:r w:rsidR="00424BC9" w:rsidRPr="00424BC9">
        <w:rPr>
          <w:sz w:val="24"/>
          <w:szCs w:val="24"/>
        </w:rPr>
        <w:t>proportionate,</w:t>
      </w:r>
      <w:r w:rsidRPr="00424BC9">
        <w:rPr>
          <w:sz w:val="24"/>
          <w:szCs w:val="24"/>
        </w:rPr>
        <w:t xml:space="preserve"> and likely to affect preservation investment or marketability.</w:t>
      </w:r>
    </w:p>
    <w:p w14:paraId="1B140C21" w14:textId="77777777" w:rsidR="006F739B" w:rsidRPr="00424BC9" w:rsidRDefault="00000000">
      <w:pPr>
        <w:pStyle w:val="Heading1"/>
        <w:rPr>
          <w:rFonts w:ascii="Aptos" w:hAnsi="Aptos"/>
          <w:sz w:val="24"/>
          <w:szCs w:val="24"/>
        </w:rPr>
      </w:pPr>
      <w:r w:rsidRPr="00424BC9">
        <w:rPr>
          <w:rFonts w:ascii="Aptos" w:hAnsi="Aptos"/>
          <w:sz w:val="24"/>
          <w:szCs w:val="24"/>
        </w:rPr>
        <w:t>2. Village Budget Evidence</w:t>
      </w:r>
    </w:p>
    <w:tbl>
      <w:tblPr>
        <w:tblStyle w:val="TableGrid"/>
        <w:tblW w:w="9360" w:type="dxa"/>
        <w:tblInd w:w="120" w:type="dxa"/>
        <w:tblLayout w:type="fixed"/>
        <w:tblLook w:val="04A0" w:firstRow="1" w:lastRow="0" w:firstColumn="1" w:lastColumn="0" w:noHBand="0" w:noVBand="1"/>
      </w:tblPr>
      <w:tblGrid>
        <w:gridCol w:w="1698"/>
        <w:gridCol w:w="2302"/>
        <w:gridCol w:w="1748"/>
        <w:gridCol w:w="1450"/>
        <w:gridCol w:w="2162"/>
      </w:tblGrid>
      <w:tr w:rsidR="006F739B" w:rsidRPr="00424BC9" w14:paraId="661A488F" w14:textId="77777777" w:rsidTr="00BC06CF">
        <w:tc>
          <w:tcPr>
            <w:tcW w:w="1698" w:type="dxa"/>
            <w:shd w:val="clear" w:color="auto" w:fill="1F4E79"/>
          </w:tcPr>
          <w:p w14:paraId="6B220E59" w14:textId="77777777" w:rsidR="006F739B" w:rsidRPr="00424BC9" w:rsidRDefault="00000000">
            <w:pPr>
              <w:rPr>
                <w:sz w:val="24"/>
                <w:szCs w:val="24"/>
              </w:rPr>
            </w:pPr>
            <w:r w:rsidRPr="00424BC9">
              <w:rPr>
                <w:b/>
                <w:color w:val="FFFFFF"/>
                <w:sz w:val="24"/>
                <w:szCs w:val="24"/>
              </w:rPr>
              <w:t>Fiscal year</w:t>
            </w:r>
          </w:p>
        </w:tc>
        <w:tc>
          <w:tcPr>
            <w:tcW w:w="2302" w:type="dxa"/>
            <w:shd w:val="clear" w:color="auto" w:fill="1F4E79"/>
          </w:tcPr>
          <w:p w14:paraId="148D6DA9" w14:textId="77777777" w:rsidR="006F739B" w:rsidRPr="00424BC9" w:rsidRDefault="00000000">
            <w:pPr>
              <w:rPr>
                <w:sz w:val="24"/>
                <w:szCs w:val="24"/>
              </w:rPr>
            </w:pPr>
            <w:r w:rsidRPr="00424BC9">
              <w:rPr>
                <w:b/>
                <w:color w:val="FFFFFF"/>
                <w:sz w:val="24"/>
                <w:szCs w:val="24"/>
              </w:rPr>
              <w:t>Official budget status</w:t>
            </w:r>
          </w:p>
        </w:tc>
        <w:tc>
          <w:tcPr>
            <w:tcW w:w="1748" w:type="dxa"/>
            <w:shd w:val="clear" w:color="auto" w:fill="1F4E79"/>
          </w:tcPr>
          <w:p w14:paraId="10B4B3A8" w14:textId="77777777" w:rsidR="006F739B" w:rsidRPr="00424BC9" w:rsidRDefault="00000000">
            <w:pPr>
              <w:rPr>
                <w:sz w:val="24"/>
                <w:szCs w:val="24"/>
              </w:rPr>
            </w:pPr>
            <w:r w:rsidRPr="00424BC9">
              <w:rPr>
                <w:b/>
                <w:color w:val="FFFFFF"/>
                <w:sz w:val="24"/>
                <w:szCs w:val="24"/>
              </w:rPr>
              <w:t>Tax rate per $1,000</w:t>
            </w:r>
          </w:p>
        </w:tc>
        <w:tc>
          <w:tcPr>
            <w:tcW w:w="1450" w:type="dxa"/>
            <w:shd w:val="clear" w:color="auto" w:fill="1F4E79"/>
          </w:tcPr>
          <w:p w14:paraId="7F5CDD8A" w14:textId="77777777" w:rsidR="006F739B" w:rsidRPr="00424BC9" w:rsidRDefault="00000000">
            <w:pPr>
              <w:rPr>
                <w:sz w:val="24"/>
                <w:szCs w:val="24"/>
              </w:rPr>
            </w:pPr>
            <w:r w:rsidRPr="00424BC9">
              <w:rPr>
                <w:b/>
                <w:color w:val="FFFFFF"/>
                <w:sz w:val="24"/>
                <w:szCs w:val="24"/>
              </w:rPr>
              <w:t>Reported change</w:t>
            </w:r>
          </w:p>
        </w:tc>
        <w:tc>
          <w:tcPr>
            <w:tcW w:w="2162" w:type="dxa"/>
            <w:shd w:val="clear" w:color="auto" w:fill="1F4E79"/>
          </w:tcPr>
          <w:p w14:paraId="28ABE91A" w14:textId="77777777" w:rsidR="006F739B" w:rsidRPr="00424BC9" w:rsidRDefault="00000000">
            <w:pPr>
              <w:rPr>
                <w:sz w:val="24"/>
                <w:szCs w:val="24"/>
              </w:rPr>
            </w:pPr>
            <w:r w:rsidRPr="00424BC9">
              <w:rPr>
                <w:b/>
                <w:color w:val="FFFFFF"/>
                <w:sz w:val="24"/>
                <w:szCs w:val="24"/>
              </w:rPr>
              <w:t>Tax levy / property-tax indicator</w:t>
            </w:r>
          </w:p>
        </w:tc>
      </w:tr>
      <w:tr w:rsidR="006F739B" w:rsidRPr="00424BC9" w14:paraId="77D16A39" w14:textId="77777777" w:rsidTr="00BC06CF">
        <w:tc>
          <w:tcPr>
            <w:tcW w:w="1698" w:type="dxa"/>
            <w:tcMar>
              <w:top w:w="85" w:type="dxa"/>
              <w:left w:w="110" w:type="dxa"/>
              <w:bottom w:w="85" w:type="dxa"/>
              <w:right w:w="110" w:type="dxa"/>
            </w:tcMar>
            <w:vAlign w:val="center"/>
          </w:tcPr>
          <w:p w14:paraId="195E860B" w14:textId="77777777" w:rsidR="006F739B" w:rsidRPr="00424BC9" w:rsidRDefault="00000000">
            <w:pPr>
              <w:spacing w:after="0"/>
              <w:rPr>
                <w:sz w:val="24"/>
                <w:szCs w:val="24"/>
              </w:rPr>
            </w:pPr>
            <w:r w:rsidRPr="00424BC9">
              <w:rPr>
                <w:sz w:val="24"/>
                <w:szCs w:val="24"/>
              </w:rPr>
              <w:t>2024–2025</w:t>
            </w:r>
          </w:p>
        </w:tc>
        <w:tc>
          <w:tcPr>
            <w:tcW w:w="2302" w:type="dxa"/>
            <w:tcMar>
              <w:top w:w="85" w:type="dxa"/>
              <w:left w:w="110" w:type="dxa"/>
              <w:bottom w:w="85" w:type="dxa"/>
              <w:right w:w="110" w:type="dxa"/>
            </w:tcMar>
            <w:vAlign w:val="center"/>
          </w:tcPr>
          <w:p w14:paraId="5A4923A5" w14:textId="77777777" w:rsidR="006F739B" w:rsidRPr="00424BC9" w:rsidRDefault="00000000">
            <w:pPr>
              <w:spacing w:after="0"/>
              <w:rPr>
                <w:sz w:val="24"/>
                <w:szCs w:val="24"/>
              </w:rPr>
            </w:pPr>
            <w:r w:rsidRPr="00424BC9">
              <w:rPr>
                <w:sz w:val="24"/>
                <w:szCs w:val="24"/>
              </w:rPr>
              <w:t>Adopted budget materials</w:t>
            </w:r>
          </w:p>
        </w:tc>
        <w:tc>
          <w:tcPr>
            <w:tcW w:w="1748" w:type="dxa"/>
            <w:tcMar>
              <w:top w:w="85" w:type="dxa"/>
              <w:left w:w="110" w:type="dxa"/>
              <w:bottom w:w="85" w:type="dxa"/>
              <w:right w:w="110" w:type="dxa"/>
            </w:tcMar>
            <w:vAlign w:val="center"/>
          </w:tcPr>
          <w:p w14:paraId="42E94E01" w14:textId="77777777" w:rsidR="006F739B" w:rsidRPr="00424BC9" w:rsidRDefault="00000000">
            <w:pPr>
              <w:spacing w:after="0"/>
              <w:rPr>
                <w:sz w:val="24"/>
                <w:szCs w:val="24"/>
              </w:rPr>
            </w:pPr>
            <w:r w:rsidRPr="00424BC9">
              <w:rPr>
                <w:sz w:val="24"/>
                <w:szCs w:val="24"/>
              </w:rPr>
              <w:t>Approximately $54.027890</w:t>
            </w:r>
          </w:p>
        </w:tc>
        <w:tc>
          <w:tcPr>
            <w:tcW w:w="1450" w:type="dxa"/>
            <w:tcMar>
              <w:top w:w="85" w:type="dxa"/>
              <w:left w:w="110" w:type="dxa"/>
              <w:bottom w:w="85" w:type="dxa"/>
              <w:right w:w="110" w:type="dxa"/>
            </w:tcMar>
            <w:vAlign w:val="center"/>
          </w:tcPr>
          <w:p w14:paraId="0B6246C5" w14:textId="77777777" w:rsidR="006F739B" w:rsidRPr="00424BC9" w:rsidRDefault="00000000">
            <w:pPr>
              <w:spacing w:after="0"/>
              <w:rPr>
                <w:sz w:val="24"/>
                <w:szCs w:val="24"/>
              </w:rPr>
            </w:pPr>
            <w:r w:rsidRPr="00424BC9">
              <w:rPr>
                <w:sz w:val="24"/>
                <w:szCs w:val="24"/>
              </w:rPr>
              <w:t>Approximately -0.162%</w:t>
            </w:r>
          </w:p>
        </w:tc>
        <w:tc>
          <w:tcPr>
            <w:tcW w:w="2162" w:type="dxa"/>
            <w:tcMar>
              <w:top w:w="85" w:type="dxa"/>
              <w:left w:w="110" w:type="dxa"/>
              <w:bottom w:w="85" w:type="dxa"/>
              <w:right w:w="110" w:type="dxa"/>
            </w:tcMar>
            <w:vAlign w:val="center"/>
          </w:tcPr>
          <w:p w14:paraId="5441B534" w14:textId="77777777" w:rsidR="006F739B" w:rsidRPr="00424BC9" w:rsidRDefault="00000000">
            <w:pPr>
              <w:spacing w:after="0"/>
              <w:rPr>
                <w:sz w:val="24"/>
                <w:szCs w:val="24"/>
              </w:rPr>
            </w:pPr>
            <w:r w:rsidRPr="00424BC9">
              <w:rPr>
                <w:sz w:val="24"/>
                <w:szCs w:val="24"/>
              </w:rPr>
              <w:t>Official budget baseline</w:t>
            </w:r>
          </w:p>
        </w:tc>
      </w:tr>
      <w:tr w:rsidR="006F739B" w:rsidRPr="00424BC9" w14:paraId="46339F83" w14:textId="77777777" w:rsidTr="00BC06CF">
        <w:tc>
          <w:tcPr>
            <w:tcW w:w="1698" w:type="dxa"/>
            <w:tcMar>
              <w:top w:w="85" w:type="dxa"/>
              <w:left w:w="110" w:type="dxa"/>
              <w:bottom w:w="85" w:type="dxa"/>
              <w:right w:w="110" w:type="dxa"/>
            </w:tcMar>
            <w:vAlign w:val="center"/>
          </w:tcPr>
          <w:p w14:paraId="37E500D9" w14:textId="77777777" w:rsidR="006F739B" w:rsidRPr="00424BC9" w:rsidRDefault="00000000">
            <w:pPr>
              <w:spacing w:after="0"/>
              <w:rPr>
                <w:sz w:val="24"/>
                <w:szCs w:val="24"/>
              </w:rPr>
            </w:pPr>
            <w:r w:rsidRPr="00424BC9">
              <w:rPr>
                <w:sz w:val="24"/>
                <w:szCs w:val="24"/>
              </w:rPr>
              <w:t>2025–2026</w:t>
            </w:r>
          </w:p>
        </w:tc>
        <w:tc>
          <w:tcPr>
            <w:tcW w:w="2302" w:type="dxa"/>
            <w:tcMar>
              <w:top w:w="85" w:type="dxa"/>
              <w:left w:w="110" w:type="dxa"/>
              <w:bottom w:w="85" w:type="dxa"/>
              <w:right w:w="110" w:type="dxa"/>
            </w:tcMar>
            <w:vAlign w:val="center"/>
          </w:tcPr>
          <w:p w14:paraId="675E4D49" w14:textId="77777777" w:rsidR="006F739B" w:rsidRPr="00424BC9" w:rsidRDefault="00000000">
            <w:pPr>
              <w:spacing w:after="0"/>
              <w:rPr>
                <w:sz w:val="24"/>
                <w:szCs w:val="24"/>
              </w:rPr>
            </w:pPr>
            <w:r w:rsidRPr="00424BC9">
              <w:rPr>
                <w:sz w:val="24"/>
                <w:szCs w:val="24"/>
              </w:rPr>
              <w:t>Final adopted budget dated May 19, 2025</w:t>
            </w:r>
          </w:p>
        </w:tc>
        <w:tc>
          <w:tcPr>
            <w:tcW w:w="1748" w:type="dxa"/>
            <w:tcMar>
              <w:top w:w="85" w:type="dxa"/>
              <w:left w:w="110" w:type="dxa"/>
              <w:bottom w:w="85" w:type="dxa"/>
              <w:right w:w="110" w:type="dxa"/>
            </w:tcMar>
            <w:vAlign w:val="center"/>
          </w:tcPr>
          <w:p w14:paraId="27C7DC29" w14:textId="77777777" w:rsidR="006F739B" w:rsidRPr="00424BC9" w:rsidRDefault="00000000">
            <w:pPr>
              <w:spacing w:after="0"/>
              <w:rPr>
                <w:sz w:val="24"/>
                <w:szCs w:val="24"/>
              </w:rPr>
            </w:pPr>
            <w:r w:rsidRPr="00424BC9">
              <w:rPr>
                <w:sz w:val="24"/>
                <w:szCs w:val="24"/>
              </w:rPr>
              <w:t>$55.020906</w:t>
            </w:r>
          </w:p>
        </w:tc>
        <w:tc>
          <w:tcPr>
            <w:tcW w:w="1450" w:type="dxa"/>
            <w:tcMar>
              <w:top w:w="85" w:type="dxa"/>
              <w:left w:w="110" w:type="dxa"/>
              <w:bottom w:w="85" w:type="dxa"/>
              <w:right w:w="110" w:type="dxa"/>
            </w:tcMar>
            <w:vAlign w:val="center"/>
          </w:tcPr>
          <w:p w14:paraId="3955E74A" w14:textId="77777777" w:rsidR="006F739B" w:rsidRPr="00424BC9" w:rsidRDefault="00000000">
            <w:pPr>
              <w:spacing w:after="0"/>
              <w:rPr>
                <w:sz w:val="24"/>
                <w:szCs w:val="24"/>
              </w:rPr>
            </w:pPr>
            <w:r w:rsidRPr="00424BC9">
              <w:rPr>
                <w:sz w:val="24"/>
                <w:szCs w:val="24"/>
              </w:rPr>
              <w:t>+1.8380%</w:t>
            </w:r>
          </w:p>
        </w:tc>
        <w:tc>
          <w:tcPr>
            <w:tcW w:w="2162" w:type="dxa"/>
            <w:tcMar>
              <w:top w:w="85" w:type="dxa"/>
              <w:left w:w="110" w:type="dxa"/>
              <w:bottom w:w="85" w:type="dxa"/>
              <w:right w:w="110" w:type="dxa"/>
            </w:tcMar>
            <w:vAlign w:val="center"/>
          </w:tcPr>
          <w:p w14:paraId="2F96C5EB" w14:textId="77777777" w:rsidR="006F739B" w:rsidRPr="00424BC9" w:rsidRDefault="00000000">
            <w:pPr>
              <w:spacing w:after="0"/>
              <w:rPr>
                <w:sz w:val="24"/>
                <w:szCs w:val="24"/>
              </w:rPr>
            </w:pPr>
            <w:r w:rsidRPr="00424BC9">
              <w:rPr>
                <w:sz w:val="24"/>
                <w:szCs w:val="24"/>
              </w:rPr>
              <w:t>Real-estate property tax budget: $3,708,018; levy change reported as +1.0238%</w:t>
            </w:r>
          </w:p>
        </w:tc>
      </w:tr>
      <w:tr w:rsidR="006F739B" w:rsidRPr="00424BC9" w14:paraId="79CCB9F5" w14:textId="77777777" w:rsidTr="00BC06CF">
        <w:tc>
          <w:tcPr>
            <w:tcW w:w="1698" w:type="dxa"/>
            <w:tcMar>
              <w:top w:w="85" w:type="dxa"/>
              <w:left w:w="110" w:type="dxa"/>
              <w:bottom w:w="85" w:type="dxa"/>
              <w:right w:w="110" w:type="dxa"/>
            </w:tcMar>
            <w:vAlign w:val="center"/>
          </w:tcPr>
          <w:p w14:paraId="457B47F2" w14:textId="77777777" w:rsidR="006F739B" w:rsidRPr="00424BC9" w:rsidRDefault="00000000">
            <w:pPr>
              <w:spacing w:after="0"/>
              <w:rPr>
                <w:sz w:val="24"/>
                <w:szCs w:val="24"/>
              </w:rPr>
            </w:pPr>
            <w:r w:rsidRPr="00424BC9">
              <w:rPr>
                <w:sz w:val="24"/>
                <w:szCs w:val="24"/>
              </w:rPr>
              <w:t>2026–2027</w:t>
            </w:r>
          </w:p>
        </w:tc>
        <w:tc>
          <w:tcPr>
            <w:tcW w:w="2302" w:type="dxa"/>
            <w:tcMar>
              <w:top w:w="85" w:type="dxa"/>
              <w:left w:w="110" w:type="dxa"/>
              <w:bottom w:w="85" w:type="dxa"/>
              <w:right w:w="110" w:type="dxa"/>
            </w:tcMar>
            <w:vAlign w:val="center"/>
          </w:tcPr>
          <w:p w14:paraId="2583E336" w14:textId="77777777" w:rsidR="006F739B" w:rsidRPr="00424BC9" w:rsidRDefault="00000000">
            <w:pPr>
              <w:spacing w:after="0"/>
              <w:rPr>
                <w:sz w:val="24"/>
                <w:szCs w:val="24"/>
              </w:rPr>
            </w:pPr>
            <w:r w:rsidRPr="00424BC9">
              <w:rPr>
                <w:sz w:val="24"/>
                <w:szCs w:val="24"/>
              </w:rPr>
              <w:t>Proposed budget dated April 16, 2026</w:t>
            </w:r>
          </w:p>
        </w:tc>
        <w:tc>
          <w:tcPr>
            <w:tcW w:w="1748" w:type="dxa"/>
            <w:tcMar>
              <w:top w:w="85" w:type="dxa"/>
              <w:left w:w="110" w:type="dxa"/>
              <w:bottom w:w="85" w:type="dxa"/>
              <w:right w:w="110" w:type="dxa"/>
            </w:tcMar>
            <w:vAlign w:val="center"/>
          </w:tcPr>
          <w:p w14:paraId="4FB04F5B" w14:textId="77777777" w:rsidR="006F739B" w:rsidRPr="00424BC9" w:rsidRDefault="00000000">
            <w:pPr>
              <w:spacing w:after="0"/>
              <w:rPr>
                <w:sz w:val="24"/>
                <w:szCs w:val="24"/>
              </w:rPr>
            </w:pPr>
            <w:r w:rsidRPr="00424BC9">
              <w:rPr>
                <w:sz w:val="24"/>
                <w:szCs w:val="24"/>
              </w:rPr>
              <w:t>$56.518335</w:t>
            </w:r>
          </w:p>
        </w:tc>
        <w:tc>
          <w:tcPr>
            <w:tcW w:w="1450" w:type="dxa"/>
            <w:tcMar>
              <w:top w:w="85" w:type="dxa"/>
              <w:left w:w="110" w:type="dxa"/>
              <w:bottom w:w="85" w:type="dxa"/>
              <w:right w:w="110" w:type="dxa"/>
            </w:tcMar>
            <w:vAlign w:val="center"/>
          </w:tcPr>
          <w:p w14:paraId="39E12D80" w14:textId="77777777" w:rsidR="006F739B" w:rsidRPr="00424BC9" w:rsidRDefault="00000000">
            <w:pPr>
              <w:spacing w:after="0"/>
              <w:rPr>
                <w:sz w:val="24"/>
                <w:szCs w:val="24"/>
              </w:rPr>
            </w:pPr>
            <w:r w:rsidRPr="00424BC9">
              <w:rPr>
                <w:sz w:val="24"/>
                <w:szCs w:val="24"/>
              </w:rPr>
              <w:t>+2.9144% proposed</w:t>
            </w:r>
          </w:p>
        </w:tc>
        <w:tc>
          <w:tcPr>
            <w:tcW w:w="2162" w:type="dxa"/>
            <w:tcMar>
              <w:top w:w="85" w:type="dxa"/>
              <w:left w:w="110" w:type="dxa"/>
              <w:bottom w:w="85" w:type="dxa"/>
              <w:right w:w="110" w:type="dxa"/>
            </w:tcMar>
            <w:vAlign w:val="center"/>
          </w:tcPr>
          <w:p w14:paraId="0E9B605E" w14:textId="77777777" w:rsidR="006F739B" w:rsidRPr="00424BC9" w:rsidRDefault="00000000">
            <w:pPr>
              <w:spacing w:after="0"/>
              <w:rPr>
                <w:sz w:val="24"/>
                <w:szCs w:val="24"/>
              </w:rPr>
            </w:pPr>
            <w:r w:rsidRPr="00424BC9">
              <w:rPr>
                <w:sz w:val="24"/>
                <w:szCs w:val="24"/>
              </w:rPr>
              <w:t>Real-estate property tax proposed: $3,844,120; levy change reported as +3.8651%</w:t>
            </w:r>
          </w:p>
        </w:tc>
      </w:tr>
    </w:tbl>
    <w:p w14:paraId="3E06D49B" w14:textId="77777777" w:rsidR="006F739B" w:rsidRPr="00424BC9" w:rsidRDefault="00000000">
      <w:pPr>
        <w:pStyle w:val="Source"/>
        <w:rPr>
          <w:rFonts w:ascii="Aptos" w:hAnsi="Aptos"/>
          <w:sz w:val="24"/>
          <w:szCs w:val="24"/>
        </w:rPr>
      </w:pPr>
      <w:r w:rsidRPr="00424BC9">
        <w:rPr>
          <w:rFonts w:ascii="Aptos" w:hAnsi="Aptos"/>
          <w:sz w:val="24"/>
          <w:szCs w:val="24"/>
        </w:rPr>
        <w:t>The April 2026 document is labeled “proposed,” not final. It is evidence of the Board’s proposed direction at that date and should not be represented as the adopted 2026–2027 rate unless the final budget confirms it.</w:t>
      </w:r>
    </w:p>
    <w:p w14:paraId="271707AA" w14:textId="77777777" w:rsidR="006F739B" w:rsidRPr="00424BC9" w:rsidRDefault="00000000">
      <w:pPr>
        <w:pStyle w:val="Source"/>
        <w:rPr>
          <w:rFonts w:ascii="Aptos" w:hAnsi="Aptos"/>
          <w:sz w:val="24"/>
          <w:szCs w:val="24"/>
        </w:rPr>
      </w:pPr>
      <w:r w:rsidRPr="00424BC9">
        <w:rPr>
          <w:rFonts w:ascii="Aptos" w:hAnsi="Aptos"/>
          <w:b/>
          <w:sz w:val="24"/>
          <w:szCs w:val="24"/>
        </w:rPr>
        <w:t xml:space="preserve">Source: </w:t>
      </w:r>
      <w:hyperlink r:id="rId8">
        <w:r w:rsidR="006F739B" w:rsidRPr="00424BC9">
          <w:rPr>
            <w:rFonts w:ascii="Aptos" w:hAnsi="Aptos"/>
            <w:color w:val="1F4E79"/>
            <w:sz w:val="24"/>
            <w:szCs w:val="24"/>
            <w:u w:val="single"/>
          </w:rPr>
          <w:t>Village of Tuxedo Park — Final Budget, Fiscal Year 2025–2026</w:t>
        </w:r>
      </w:hyperlink>
    </w:p>
    <w:p w14:paraId="398DD7EE" w14:textId="77777777" w:rsidR="006F739B" w:rsidRPr="00424BC9" w:rsidRDefault="00000000">
      <w:pPr>
        <w:pStyle w:val="Source"/>
        <w:rPr>
          <w:rFonts w:ascii="Aptos" w:hAnsi="Aptos"/>
          <w:sz w:val="24"/>
          <w:szCs w:val="24"/>
        </w:rPr>
      </w:pPr>
      <w:r w:rsidRPr="00424BC9">
        <w:rPr>
          <w:rFonts w:ascii="Aptos" w:hAnsi="Aptos"/>
          <w:b/>
          <w:sz w:val="24"/>
          <w:szCs w:val="24"/>
        </w:rPr>
        <w:t xml:space="preserve">Source: </w:t>
      </w:r>
      <w:hyperlink r:id="rId9">
        <w:r w:rsidR="006F739B" w:rsidRPr="00424BC9">
          <w:rPr>
            <w:rFonts w:ascii="Aptos" w:hAnsi="Aptos"/>
            <w:color w:val="1F4E79"/>
            <w:sz w:val="24"/>
            <w:szCs w:val="24"/>
            <w:u w:val="single"/>
          </w:rPr>
          <w:t>Village of Tuxedo Park — Proposed Budget, Fiscal Year 2026–2027 (April 16, 2026)</w:t>
        </w:r>
      </w:hyperlink>
    </w:p>
    <w:p w14:paraId="11A190C4" w14:textId="77777777" w:rsidR="006F739B" w:rsidRPr="00424BC9" w:rsidRDefault="00000000">
      <w:pPr>
        <w:pStyle w:val="Heading1"/>
        <w:rPr>
          <w:rFonts w:ascii="Aptos" w:hAnsi="Aptos"/>
          <w:sz w:val="24"/>
          <w:szCs w:val="24"/>
        </w:rPr>
      </w:pPr>
      <w:r w:rsidRPr="00424BC9">
        <w:rPr>
          <w:rFonts w:ascii="Aptos" w:hAnsi="Aptos"/>
          <w:sz w:val="24"/>
          <w:szCs w:val="24"/>
        </w:rPr>
        <w:lastRenderedPageBreak/>
        <w:t>3. Use of Fund Balance Requires Context</w:t>
      </w:r>
    </w:p>
    <w:p w14:paraId="7E3B77BB" w14:textId="77777777" w:rsidR="006F739B" w:rsidRPr="00424BC9" w:rsidRDefault="00000000">
      <w:pPr>
        <w:rPr>
          <w:sz w:val="24"/>
          <w:szCs w:val="24"/>
        </w:rPr>
      </w:pPr>
      <w:r w:rsidRPr="00424BC9">
        <w:rPr>
          <w:sz w:val="24"/>
          <w:szCs w:val="24"/>
        </w:rPr>
        <w:t>The final 2025–2026 budget identifies $249,500 as “Appropriated Surplus—General.” The April 2026 proposed budget identifies $222,134 as “Appropriated Fund Balance.” These entries show that accumulated resources were budgeted to support operations, but they do not by themselves prove fiscal impropriety. The Board should explain the recurring strategy, the remaining unrestricted fund balance, reserve policy, one-time versus recurring expenses, and how reliance on fund balance affects future tax pressure.</w:t>
      </w:r>
    </w:p>
    <w:p w14:paraId="4A6D3A8B" w14:textId="77777777" w:rsidR="006F739B" w:rsidRPr="00424BC9" w:rsidRDefault="00000000">
      <w:pPr>
        <w:pStyle w:val="Heading1"/>
        <w:rPr>
          <w:rFonts w:ascii="Aptos" w:hAnsi="Aptos"/>
          <w:sz w:val="24"/>
          <w:szCs w:val="24"/>
        </w:rPr>
      </w:pPr>
      <w:r w:rsidRPr="00424BC9">
        <w:rPr>
          <w:rFonts w:ascii="Aptos" w:hAnsi="Aptos"/>
          <w:sz w:val="24"/>
          <w:szCs w:val="24"/>
        </w:rPr>
        <w:t>4. The McFadden Boathouse Assessment</w:t>
      </w:r>
    </w:p>
    <w:p w14:paraId="5B6BB8D7" w14:textId="77777777" w:rsidR="006F739B" w:rsidRPr="00424BC9" w:rsidRDefault="00000000">
      <w:pPr>
        <w:rPr>
          <w:sz w:val="24"/>
          <w:szCs w:val="24"/>
        </w:rPr>
      </w:pPr>
      <w:r w:rsidRPr="00424BC9">
        <w:rPr>
          <w:sz w:val="24"/>
          <w:szCs w:val="24"/>
        </w:rPr>
        <w:t>The 2026 final assessment roll identifies 61 Turtle Point Road, tax parcel 103-1-24, as waterfront property class 312 (“Vac w/imprv”) with a Village taxable assessment of $72,150 and indicated full-market value of $716,485. The same roll identifies two other standalone waterfront improved-lot comparators: the Sonne parcel at $46,655 and the Bruno parcel at $63,280. The roll does not label these structures as boathouses, so physical comparability and condition must be established independently.</w:t>
      </w:r>
    </w:p>
    <w:tbl>
      <w:tblPr>
        <w:tblStyle w:val="TableGrid"/>
        <w:tblW w:w="9360" w:type="dxa"/>
        <w:tblInd w:w="120" w:type="dxa"/>
        <w:tblLayout w:type="fixed"/>
        <w:tblLook w:val="04A0" w:firstRow="1" w:lastRow="0" w:firstColumn="1" w:lastColumn="0" w:noHBand="0" w:noVBand="1"/>
      </w:tblPr>
      <w:tblGrid>
        <w:gridCol w:w="2100"/>
        <w:gridCol w:w="1600"/>
        <w:gridCol w:w="1550"/>
        <w:gridCol w:w="1650"/>
        <w:gridCol w:w="2460"/>
      </w:tblGrid>
      <w:tr w:rsidR="006F739B" w:rsidRPr="00424BC9" w14:paraId="0631A134" w14:textId="77777777">
        <w:tc>
          <w:tcPr>
            <w:tcW w:w="2100" w:type="dxa"/>
            <w:shd w:val="clear" w:color="auto" w:fill="1F4E79"/>
          </w:tcPr>
          <w:p w14:paraId="4E9F01D9" w14:textId="77777777" w:rsidR="006F739B" w:rsidRPr="00424BC9" w:rsidRDefault="00000000">
            <w:pPr>
              <w:rPr>
                <w:sz w:val="24"/>
                <w:szCs w:val="24"/>
              </w:rPr>
            </w:pPr>
            <w:r w:rsidRPr="00424BC9">
              <w:rPr>
                <w:b/>
                <w:color w:val="FFFFFF"/>
                <w:sz w:val="24"/>
                <w:szCs w:val="24"/>
              </w:rPr>
              <w:t>Parcel / location</w:t>
            </w:r>
          </w:p>
        </w:tc>
        <w:tc>
          <w:tcPr>
            <w:tcW w:w="1600" w:type="dxa"/>
            <w:shd w:val="clear" w:color="auto" w:fill="1F4E79"/>
          </w:tcPr>
          <w:p w14:paraId="4516B155" w14:textId="77777777" w:rsidR="006F739B" w:rsidRPr="00424BC9" w:rsidRDefault="00000000">
            <w:pPr>
              <w:rPr>
                <w:sz w:val="24"/>
                <w:szCs w:val="24"/>
              </w:rPr>
            </w:pPr>
            <w:r w:rsidRPr="00424BC9">
              <w:rPr>
                <w:b/>
                <w:color w:val="FFFFFF"/>
                <w:sz w:val="24"/>
                <w:szCs w:val="24"/>
              </w:rPr>
              <w:t>Roll classification</w:t>
            </w:r>
          </w:p>
        </w:tc>
        <w:tc>
          <w:tcPr>
            <w:tcW w:w="1550" w:type="dxa"/>
            <w:shd w:val="clear" w:color="auto" w:fill="1F4E79"/>
          </w:tcPr>
          <w:p w14:paraId="129DD902" w14:textId="77777777" w:rsidR="006F739B" w:rsidRPr="00424BC9" w:rsidRDefault="00000000">
            <w:pPr>
              <w:rPr>
                <w:sz w:val="24"/>
                <w:szCs w:val="24"/>
              </w:rPr>
            </w:pPr>
            <w:r w:rsidRPr="00424BC9">
              <w:rPr>
                <w:b/>
                <w:color w:val="FFFFFF"/>
                <w:sz w:val="24"/>
                <w:szCs w:val="24"/>
              </w:rPr>
              <w:t>Village taxable assessment</w:t>
            </w:r>
          </w:p>
        </w:tc>
        <w:tc>
          <w:tcPr>
            <w:tcW w:w="1650" w:type="dxa"/>
            <w:shd w:val="clear" w:color="auto" w:fill="1F4E79"/>
          </w:tcPr>
          <w:p w14:paraId="4C9ACE02" w14:textId="77777777" w:rsidR="006F739B" w:rsidRPr="00424BC9" w:rsidRDefault="00000000">
            <w:pPr>
              <w:rPr>
                <w:sz w:val="24"/>
                <w:szCs w:val="24"/>
              </w:rPr>
            </w:pPr>
            <w:r w:rsidRPr="00424BC9">
              <w:rPr>
                <w:b/>
                <w:color w:val="FFFFFF"/>
                <w:sz w:val="24"/>
                <w:szCs w:val="24"/>
              </w:rPr>
              <w:t>Indicated full-market value</w:t>
            </w:r>
          </w:p>
        </w:tc>
        <w:tc>
          <w:tcPr>
            <w:tcW w:w="2460" w:type="dxa"/>
            <w:shd w:val="clear" w:color="auto" w:fill="1F4E79"/>
          </w:tcPr>
          <w:p w14:paraId="69DE09FA" w14:textId="77777777" w:rsidR="006F739B" w:rsidRPr="00424BC9" w:rsidRDefault="00000000">
            <w:pPr>
              <w:rPr>
                <w:sz w:val="24"/>
                <w:szCs w:val="24"/>
              </w:rPr>
            </w:pPr>
            <w:r w:rsidRPr="00424BC9">
              <w:rPr>
                <w:b/>
                <w:color w:val="FFFFFF"/>
                <w:sz w:val="24"/>
                <w:szCs w:val="24"/>
              </w:rPr>
              <w:t>Caveat</w:t>
            </w:r>
          </w:p>
        </w:tc>
      </w:tr>
      <w:tr w:rsidR="006F739B" w:rsidRPr="00424BC9" w14:paraId="078F6D69" w14:textId="77777777">
        <w:tc>
          <w:tcPr>
            <w:tcW w:w="2100" w:type="dxa"/>
            <w:tcMar>
              <w:top w:w="85" w:type="dxa"/>
              <w:left w:w="110" w:type="dxa"/>
              <w:bottom w:w="85" w:type="dxa"/>
              <w:right w:w="110" w:type="dxa"/>
            </w:tcMar>
            <w:vAlign w:val="center"/>
          </w:tcPr>
          <w:p w14:paraId="3901F227" w14:textId="77777777" w:rsidR="006F739B" w:rsidRPr="00424BC9" w:rsidRDefault="00000000">
            <w:pPr>
              <w:spacing w:after="0"/>
              <w:rPr>
                <w:sz w:val="24"/>
                <w:szCs w:val="24"/>
              </w:rPr>
            </w:pPr>
            <w:r w:rsidRPr="00424BC9">
              <w:rPr>
                <w:sz w:val="24"/>
                <w:szCs w:val="24"/>
              </w:rPr>
              <w:t>103-1-24 — 61 Turtle Point Road (NYELICK Holdings, LLC)</w:t>
            </w:r>
          </w:p>
        </w:tc>
        <w:tc>
          <w:tcPr>
            <w:tcW w:w="1600" w:type="dxa"/>
            <w:tcMar>
              <w:top w:w="85" w:type="dxa"/>
              <w:left w:w="110" w:type="dxa"/>
              <w:bottom w:w="85" w:type="dxa"/>
              <w:right w:w="110" w:type="dxa"/>
            </w:tcMar>
            <w:vAlign w:val="center"/>
          </w:tcPr>
          <w:p w14:paraId="1AB386BB" w14:textId="77777777" w:rsidR="006F739B" w:rsidRPr="00424BC9" w:rsidRDefault="00000000">
            <w:pPr>
              <w:spacing w:after="0"/>
              <w:rPr>
                <w:sz w:val="24"/>
                <w:szCs w:val="24"/>
              </w:rPr>
            </w:pPr>
            <w:r w:rsidRPr="00424BC9">
              <w:rPr>
                <w:sz w:val="24"/>
                <w:szCs w:val="24"/>
              </w:rPr>
              <w:t>$312 — Vac w/imprv, waterfront</w:t>
            </w:r>
          </w:p>
        </w:tc>
        <w:tc>
          <w:tcPr>
            <w:tcW w:w="1550" w:type="dxa"/>
            <w:tcMar>
              <w:top w:w="85" w:type="dxa"/>
              <w:left w:w="110" w:type="dxa"/>
              <w:bottom w:w="85" w:type="dxa"/>
              <w:right w:w="110" w:type="dxa"/>
            </w:tcMar>
            <w:vAlign w:val="center"/>
          </w:tcPr>
          <w:p w14:paraId="74446F20" w14:textId="77777777" w:rsidR="006F739B" w:rsidRPr="00424BC9" w:rsidRDefault="00000000">
            <w:pPr>
              <w:spacing w:after="0"/>
              <w:rPr>
                <w:sz w:val="24"/>
                <w:szCs w:val="24"/>
              </w:rPr>
            </w:pPr>
            <w:r w:rsidRPr="00424BC9">
              <w:rPr>
                <w:sz w:val="24"/>
                <w:szCs w:val="24"/>
              </w:rPr>
              <w:t>$72,150</w:t>
            </w:r>
          </w:p>
        </w:tc>
        <w:tc>
          <w:tcPr>
            <w:tcW w:w="1650" w:type="dxa"/>
            <w:tcMar>
              <w:top w:w="85" w:type="dxa"/>
              <w:left w:w="110" w:type="dxa"/>
              <w:bottom w:w="85" w:type="dxa"/>
              <w:right w:w="110" w:type="dxa"/>
            </w:tcMar>
            <w:vAlign w:val="center"/>
          </w:tcPr>
          <w:p w14:paraId="00680B80" w14:textId="77777777" w:rsidR="006F739B" w:rsidRPr="00424BC9" w:rsidRDefault="00000000">
            <w:pPr>
              <w:spacing w:after="0"/>
              <w:rPr>
                <w:sz w:val="24"/>
                <w:szCs w:val="24"/>
              </w:rPr>
            </w:pPr>
            <w:r w:rsidRPr="00424BC9">
              <w:rPr>
                <w:sz w:val="24"/>
                <w:szCs w:val="24"/>
              </w:rPr>
              <w:t>$716,485</w:t>
            </w:r>
          </w:p>
        </w:tc>
        <w:tc>
          <w:tcPr>
            <w:tcW w:w="2460" w:type="dxa"/>
            <w:tcMar>
              <w:top w:w="85" w:type="dxa"/>
              <w:left w:w="110" w:type="dxa"/>
              <w:bottom w:w="85" w:type="dxa"/>
              <w:right w:w="110" w:type="dxa"/>
            </w:tcMar>
            <w:vAlign w:val="center"/>
          </w:tcPr>
          <w:p w14:paraId="328DDE21" w14:textId="77777777" w:rsidR="006F739B" w:rsidRPr="00424BC9" w:rsidRDefault="00000000">
            <w:pPr>
              <w:spacing w:after="0"/>
              <w:rPr>
                <w:sz w:val="24"/>
                <w:szCs w:val="24"/>
              </w:rPr>
            </w:pPr>
            <w:r w:rsidRPr="00424BC9">
              <w:rPr>
                <w:sz w:val="24"/>
                <w:szCs w:val="24"/>
              </w:rPr>
              <w:t>Restored McFadden boathouse; separate lot</w:t>
            </w:r>
          </w:p>
        </w:tc>
      </w:tr>
      <w:tr w:rsidR="006F739B" w:rsidRPr="00424BC9" w14:paraId="775F4AF2" w14:textId="77777777">
        <w:tc>
          <w:tcPr>
            <w:tcW w:w="2100" w:type="dxa"/>
            <w:tcMar>
              <w:top w:w="85" w:type="dxa"/>
              <w:left w:w="110" w:type="dxa"/>
              <w:bottom w:w="85" w:type="dxa"/>
              <w:right w:w="110" w:type="dxa"/>
            </w:tcMar>
            <w:vAlign w:val="center"/>
          </w:tcPr>
          <w:p w14:paraId="246519B5" w14:textId="77777777" w:rsidR="006F739B" w:rsidRPr="00424BC9" w:rsidRDefault="00000000">
            <w:pPr>
              <w:spacing w:after="0"/>
              <w:rPr>
                <w:sz w:val="24"/>
                <w:szCs w:val="24"/>
              </w:rPr>
            </w:pPr>
            <w:r w:rsidRPr="00424BC9">
              <w:rPr>
                <w:sz w:val="24"/>
                <w:szCs w:val="24"/>
              </w:rPr>
              <w:t>103-1-26 — Turtle Point Road (Sonne)</w:t>
            </w:r>
          </w:p>
        </w:tc>
        <w:tc>
          <w:tcPr>
            <w:tcW w:w="1600" w:type="dxa"/>
            <w:tcMar>
              <w:top w:w="85" w:type="dxa"/>
              <w:left w:w="110" w:type="dxa"/>
              <w:bottom w:w="85" w:type="dxa"/>
              <w:right w:w="110" w:type="dxa"/>
            </w:tcMar>
            <w:vAlign w:val="center"/>
          </w:tcPr>
          <w:p w14:paraId="5597EFF2" w14:textId="77777777" w:rsidR="006F739B" w:rsidRPr="00424BC9" w:rsidRDefault="00000000">
            <w:pPr>
              <w:spacing w:after="0"/>
              <w:rPr>
                <w:sz w:val="24"/>
                <w:szCs w:val="24"/>
              </w:rPr>
            </w:pPr>
            <w:r w:rsidRPr="00424BC9">
              <w:rPr>
                <w:sz w:val="24"/>
                <w:szCs w:val="24"/>
              </w:rPr>
              <w:t>$312 — Vac w/imprv, waterfront</w:t>
            </w:r>
          </w:p>
        </w:tc>
        <w:tc>
          <w:tcPr>
            <w:tcW w:w="1550" w:type="dxa"/>
            <w:tcMar>
              <w:top w:w="85" w:type="dxa"/>
              <w:left w:w="110" w:type="dxa"/>
              <w:bottom w:w="85" w:type="dxa"/>
              <w:right w:w="110" w:type="dxa"/>
            </w:tcMar>
            <w:vAlign w:val="center"/>
          </w:tcPr>
          <w:p w14:paraId="40DD03C9" w14:textId="77777777" w:rsidR="006F739B" w:rsidRPr="00424BC9" w:rsidRDefault="00000000">
            <w:pPr>
              <w:spacing w:after="0"/>
              <w:rPr>
                <w:sz w:val="24"/>
                <w:szCs w:val="24"/>
              </w:rPr>
            </w:pPr>
            <w:r w:rsidRPr="00424BC9">
              <w:rPr>
                <w:sz w:val="24"/>
                <w:szCs w:val="24"/>
              </w:rPr>
              <w:t>$46,655</w:t>
            </w:r>
          </w:p>
        </w:tc>
        <w:tc>
          <w:tcPr>
            <w:tcW w:w="1650" w:type="dxa"/>
            <w:tcMar>
              <w:top w:w="85" w:type="dxa"/>
              <w:left w:w="110" w:type="dxa"/>
              <w:bottom w:w="85" w:type="dxa"/>
              <w:right w:w="110" w:type="dxa"/>
            </w:tcMar>
            <w:vAlign w:val="center"/>
          </w:tcPr>
          <w:p w14:paraId="79E70CEF" w14:textId="77777777" w:rsidR="006F739B" w:rsidRPr="00424BC9" w:rsidRDefault="00000000">
            <w:pPr>
              <w:spacing w:after="0"/>
              <w:rPr>
                <w:sz w:val="24"/>
                <w:szCs w:val="24"/>
              </w:rPr>
            </w:pPr>
            <w:r w:rsidRPr="00424BC9">
              <w:rPr>
                <w:sz w:val="24"/>
                <w:szCs w:val="24"/>
              </w:rPr>
              <w:t>$463,307</w:t>
            </w:r>
          </w:p>
        </w:tc>
        <w:tc>
          <w:tcPr>
            <w:tcW w:w="2460" w:type="dxa"/>
            <w:tcMar>
              <w:top w:w="85" w:type="dxa"/>
              <w:left w:w="110" w:type="dxa"/>
              <w:bottom w:w="85" w:type="dxa"/>
              <w:right w:w="110" w:type="dxa"/>
            </w:tcMar>
            <w:vAlign w:val="center"/>
          </w:tcPr>
          <w:p w14:paraId="2FE821A4" w14:textId="77777777" w:rsidR="006F739B" w:rsidRPr="00424BC9" w:rsidRDefault="00000000">
            <w:pPr>
              <w:spacing w:after="0"/>
              <w:rPr>
                <w:sz w:val="24"/>
                <w:szCs w:val="24"/>
              </w:rPr>
            </w:pPr>
            <w:r w:rsidRPr="00424BC9">
              <w:rPr>
                <w:sz w:val="24"/>
                <w:szCs w:val="24"/>
              </w:rPr>
              <w:t>Physical condition and improvements require confirmation</w:t>
            </w:r>
          </w:p>
        </w:tc>
      </w:tr>
      <w:tr w:rsidR="006F739B" w:rsidRPr="00424BC9" w14:paraId="0768CA91" w14:textId="77777777">
        <w:tc>
          <w:tcPr>
            <w:tcW w:w="2100" w:type="dxa"/>
            <w:tcMar>
              <w:top w:w="85" w:type="dxa"/>
              <w:left w:w="110" w:type="dxa"/>
              <w:bottom w:w="85" w:type="dxa"/>
              <w:right w:w="110" w:type="dxa"/>
            </w:tcMar>
            <w:vAlign w:val="center"/>
          </w:tcPr>
          <w:p w14:paraId="1DCB12DD" w14:textId="77777777" w:rsidR="006F739B" w:rsidRPr="00424BC9" w:rsidRDefault="00000000">
            <w:pPr>
              <w:spacing w:after="0"/>
              <w:rPr>
                <w:sz w:val="24"/>
                <w:szCs w:val="24"/>
              </w:rPr>
            </w:pPr>
            <w:r w:rsidRPr="00424BC9">
              <w:rPr>
                <w:sz w:val="24"/>
                <w:szCs w:val="24"/>
              </w:rPr>
              <w:t>103-1-27.12 — West Lake Road (Bruno)</w:t>
            </w:r>
          </w:p>
        </w:tc>
        <w:tc>
          <w:tcPr>
            <w:tcW w:w="1600" w:type="dxa"/>
            <w:tcMar>
              <w:top w:w="85" w:type="dxa"/>
              <w:left w:w="110" w:type="dxa"/>
              <w:bottom w:w="85" w:type="dxa"/>
              <w:right w:w="110" w:type="dxa"/>
            </w:tcMar>
            <w:vAlign w:val="center"/>
          </w:tcPr>
          <w:p w14:paraId="129F5FF6" w14:textId="77777777" w:rsidR="006F739B" w:rsidRPr="00424BC9" w:rsidRDefault="00000000">
            <w:pPr>
              <w:spacing w:after="0"/>
              <w:rPr>
                <w:sz w:val="24"/>
                <w:szCs w:val="24"/>
              </w:rPr>
            </w:pPr>
            <w:r w:rsidRPr="00424BC9">
              <w:rPr>
                <w:sz w:val="24"/>
                <w:szCs w:val="24"/>
              </w:rPr>
              <w:t>$312 — Vac w/imprv, waterfront</w:t>
            </w:r>
          </w:p>
        </w:tc>
        <w:tc>
          <w:tcPr>
            <w:tcW w:w="1550" w:type="dxa"/>
            <w:tcMar>
              <w:top w:w="85" w:type="dxa"/>
              <w:left w:w="110" w:type="dxa"/>
              <w:bottom w:w="85" w:type="dxa"/>
              <w:right w:w="110" w:type="dxa"/>
            </w:tcMar>
            <w:vAlign w:val="center"/>
          </w:tcPr>
          <w:p w14:paraId="07311246" w14:textId="77777777" w:rsidR="006F739B" w:rsidRPr="00424BC9" w:rsidRDefault="00000000">
            <w:pPr>
              <w:spacing w:after="0"/>
              <w:rPr>
                <w:sz w:val="24"/>
                <w:szCs w:val="24"/>
              </w:rPr>
            </w:pPr>
            <w:r w:rsidRPr="00424BC9">
              <w:rPr>
                <w:sz w:val="24"/>
                <w:szCs w:val="24"/>
              </w:rPr>
              <w:t>$63,280</w:t>
            </w:r>
          </w:p>
        </w:tc>
        <w:tc>
          <w:tcPr>
            <w:tcW w:w="1650" w:type="dxa"/>
            <w:tcMar>
              <w:top w:w="85" w:type="dxa"/>
              <w:left w:w="110" w:type="dxa"/>
              <w:bottom w:w="85" w:type="dxa"/>
              <w:right w:w="110" w:type="dxa"/>
            </w:tcMar>
            <w:vAlign w:val="center"/>
          </w:tcPr>
          <w:p w14:paraId="0096B9DC" w14:textId="77777777" w:rsidR="006F739B" w:rsidRPr="00424BC9" w:rsidRDefault="00000000">
            <w:pPr>
              <w:spacing w:after="0"/>
              <w:rPr>
                <w:sz w:val="24"/>
                <w:szCs w:val="24"/>
              </w:rPr>
            </w:pPr>
            <w:r w:rsidRPr="00424BC9">
              <w:rPr>
                <w:sz w:val="24"/>
                <w:szCs w:val="24"/>
              </w:rPr>
              <w:t>$628,401</w:t>
            </w:r>
          </w:p>
        </w:tc>
        <w:tc>
          <w:tcPr>
            <w:tcW w:w="2460" w:type="dxa"/>
            <w:tcMar>
              <w:top w:w="85" w:type="dxa"/>
              <w:left w:w="110" w:type="dxa"/>
              <w:bottom w:w="85" w:type="dxa"/>
              <w:right w:w="110" w:type="dxa"/>
            </w:tcMar>
            <w:vAlign w:val="center"/>
          </w:tcPr>
          <w:p w14:paraId="3164E9C4" w14:textId="77777777" w:rsidR="006F739B" w:rsidRPr="00424BC9" w:rsidRDefault="00000000">
            <w:pPr>
              <w:spacing w:after="0"/>
              <w:rPr>
                <w:sz w:val="24"/>
                <w:szCs w:val="24"/>
              </w:rPr>
            </w:pPr>
            <w:r w:rsidRPr="00424BC9">
              <w:rPr>
                <w:sz w:val="24"/>
                <w:szCs w:val="24"/>
              </w:rPr>
              <w:t>Reported deteriorated/partial structure; confirm by inspection and records</w:t>
            </w:r>
          </w:p>
        </w:tc>
      </w:tr>
    </w:tbl>
    <w:p w14:paraId="5A2FCACB" w14:textId="77777777" w:rsidR="006F739B" w:rsidRPr="00424BC9" w:rsidRDefault="00000000">
      <w:pPr>
        <w:pStyle w:val="Source"/>
        <w:rPr>
          <w:rFonts w:ascii="Aptos" w:hAnsi="Aptos"/>
          <w:sz w:val="24"/>
          <w:szCs w:val="24"/>
        </w:rPr>
      </w:pPr>
      <w:r w:rsidRPr="00424BC9">
        <w:rPr>
          <w:rFonts w:ascii="Aptos" w:hAnsi="Aptos"/>
          <w:b/>
          <w:sz w:val="24"/>
          <w:szCs w:val="24"/>
        </w:rPr>
        <w:t xml:space="preserve">Source: </w:t>
      </w:r>
      <w:hyperlink r:id="rId10">
        <w:r w:rsidR="006F739B" w:rsidRPr="00424BC9">
          <w:rPr>
            <w:rFonts w:ascii="Aptos" w:hAnsi="Aptos"/>
            <w:color w:val="1F4E79"/>
            <w:sz w:val="24"/>
            <w:szCs w:val="24"/>
            <w:u w:val="single"/>
          </w:rPr>
          <w:t>Village of Tuxedo Park — 2026 Final Assessment Roll</w:t>
        </w:r>
      </w:hyperlink>
    </w:p>
    <w:p w14:paraId="7683B315" w14:textId="708B9C0F" w:rsidR="006F739B" w:rsidRPr="00424BC9" w:rsidRDefault="00000000">
      <w:pPr>
        <w:pStyle w:val="Source"/>
        <w:rPr>
          <w:rFonts w:ascii="Aptos" w:hAnsi="Aptos"/>
          <w:sz w:val="24"/>
          <w:szCs w:val="24"/>
        </w:rPr>
      </w:pPr>
      <w:r w:rsidRPr="00424BC9">
        <w:rPr>
          <w:rFonts w:ascii="Aptos" w:hAnsi="Aptos"/>
          <w:sz w:val="24"/>
          <w:szCs w:val="24"/>
        </w:rPr>
        <w:t xml:space="preserve">The assessment comparison supports the statement that the McFadden parcel is assessed above the other two identified standalone class-312 waterfront improved lots. It does not establish that every boathouse on the three lakes has been identified, nor does it prove </w:t>
      </w:r>
      <w:r w:rsidR="00424BC9" w:rsidRPr="00424BC9">
        <w:rPr>
          <w:rFonts w:ascii="Aptos" w:hAnsi="Aptos"/>
          <w:sz w:val="24"/>
          <w:szCs w:val="24"/>
        </w:rPr>
        <w:t>discriminatory</w:t>
      </w:r>
      <w:r w:rsidRPr="00424BC9">
        <w:rPr>
          <w:rFonts w:ascii="Aptos" w:hAnsi="Aptos"/>
          <w:sz w:val="24"/>
          <w:szCs w:val="24"/>
        </w:rPr>
        <w:t xml:space="preserve"> without appraisal evidence and a complete comparator analysis.</w:t>
      </w:r>
    </w:p>
    <w:p w14:paraId="357A335A" w14:textId="77777777" w:rsidR="006F739B" w:rsidRPr="00424BC9" w:rsidRDefault="00000000">
      <w:pPr>
        <w:pStyle w:val="Heading1"/>
        <w:rPr>
          <w:rFonts w:ascii="Aptos" w:hAnsi="Aptos"/>
          <w:sz w:val="24"/>
          <w:szCs w:val="24"/>
        </w:rPr>
      </w:pPr>
      <w:r w:rsidRPr="00424BC9">
        <w:rPr>
          <w:rFonts w:ascii="Aptos" w:hAnsi="Aptos"/>
          <w:sz w:val="24"/>
          <w:szCs w:val="24"/>
        </w:rPr>
        <w:t>5. Why Regulatory Burden Can Matter to Buyers</w:t>
      </w:r>
    </w:p>
    <w:p w14:paraId="2C10CDF3" w14:textId="77777777" w:rsidR="006F739B" w:rsidRPr="00424BC9" w:rsidRDefault="00000000">
      <w:pPr>
        <w:pStyle w:val="ListBullet"/>
        <w:rPr>
          <w:sz w:val="24"/>
          <w:szCs w:val="24"/>
        </w:rPr>
      </w:pPr>
      <w:r w:rsidRPr="00424BC9">
        <w:rPr>
          <w:sz w:val="24"/>
          <w:szCs w:val="24"/>
        </w:rPr>
        <w:t>Property taxes are recurring carrying costs. Higher annual costs can affect affordability, buyer demand, and the price a purchaser is willing to pay.</w:t>
      </w:r>
    </w:p>
    <w:p w14:paraId="1BB9BD58" w14:textId="56BAE136" w:rsidR="006F739B" w:rsidRPr="00424BC9" w:rsidRDefault="00000000">
      <w:pPr>
        <w:pStyle w:val="ListBullet"/>
        <w:rPr>
          <w:sz w:val="24"/>
          <w:szCs w:val="24"/>
        </w:rPr>
      </w:pPr>
      <w:r w:rsidRPr="00424BC9">
        <w:rPr>
          <w:sz w:val="24"/>
          <w:szCs w:val="24"/>
        </w:rPr>
        <w:lastRenderedPageBreak/>
        <w:t xml:space="preserve">Use restrictions can affect the flexibility buyers associate with ownership. The effect of any </w:t>
      </w:r>
      <w:r w:rsidR="00424BC9" w:rsidRPr="00424BC9">
        <w:rPr>
          <w:sz w:val="24"/>
          <w:szCs w:val="24"/>
        </w:rPr>
        <w:t>restriction</w:t>
      </w:r>
      <w:r w:rsidRPr="00424BC9">
        <w:rPr>
          <w:sz w:val="24"/>
          <w:szCs w:val="24"/>
        </w:rPr>
        <w:t xml:space="preserve"> on value requires market evidence; no present damages conclusion is offered here.</w:t>
      </w:r>
    </w:p>
    <w:p w14:paraId="3FA1992F" w14:textId="7DF5A90F" w:rsidR="006F739B" w:rsidRPr="00424BC9" w:rsidRDefault="00000000">
      <w:pPr>
        <w:pStyle w:val="ListBullet"/>
        <w:rPr>
          <w:sz w:val="24"/>
          <w:szCs w:val="24"/>
        </w:rPr>
      </w:pPr>
      <w:r w:rsidRPr="00424BC9">
        <w:rPr>
          <w:sz w:val="24"/>
          <w:szCs w:val="24"/>
        </w:rPr>
        <w:t xml:space="preserve">Historic properties frequently require extraordinary restoration and maintenance. Owners may </w:t>
      </w:r>
      <w:r w:rsidR="00424BC9" w:rsidRPr="00424BC9">
        <w:rPr>
          <w:sz w:val="24"/>
          <w:szCs w:val="24"/>
        </w:rPr>
        <w:t>consider</w:t>
      </w:r>
      <w:r w:rsidRPr="00424BC9">
        <w:rPr>
          <w:sz w:val="24"/>
          <w:szCs w:val="24"/>
        </w:rPr>
        <w:t xml:space="preserve"> whether the Village rewards stewardship or increases both assessments and restrictions after substantial private investment.</w:t>
      </w:r>
    </w:p>
    <w:p w14:paraId="357E6D1A" w14:textId="3D3AC4C3" w:rsidR="006F739B" w:rsidRPr="00424BC9" w:rsidRDefault="00000000">
      <w:pPr>
        <w:pStyle w:val="ListBullet"/>
        <w:rPr>
          <w:sz w:val="24"/>
          <w:szCs w:val="24"/>
        </w:rPr>
      </w:pPr>
      <w:r w:rsidRPr="00424BC9">
        <w:rPr>
          <w:sz w:val="24"/>
          <w:szCs w:val="24"/>
        </w:rPr>
        <w:t xml:space="preserve">The cumulative effect matters: </w:t>
      </w:r>
      <w:r w:rsidR="00424BC9" w:rsidRPr="00424BC9">
        <w:rPr>
          <w:sz w:val="24"/>
          <w:szCs w:val="24"/>
        </w:rPr>
        <w:t>Prospective purchasers together evaluate taxes, assessments, maintenance obligations, architectural controls, permitting burdens, and new use restrictions</w:t>
      </w:r>
      <w:r w:rsidRPr="00424BC9">
        <w:rPr>
          <w:sz w:val="24"/>
          <w:szCs w:val="24"/>
        </w:rPr>
        <w:t>.</w:t>
      </w:r>
    </w:p>
    <w:p w14:paraId="4E2C4DCB" w14:textId="77777777" w:rsidR="006F739B" w:rsidRPr="00424BC9" w:rsidRDefault="00000000">
      <w:pPr>
        <w:pStyle w:val="Heading1"/>
        <w:rPr>
          <w:rFonts w:ascii="Aptos" w:hAnsi="Aptos"/>
          <w:sz w:val="24"/>
          <w:szCs w:val="24"/>
        </w:rPr>
      </w:pPr>
      <w:r w:rsidRPr="00424BC9">
        <w:rPr>
          <w:rFonts w:ascii="Aptos" w:hAnsi="Aptos"/>
          <w:sz w:val="24"/>
          <w:szCs w:val="24"/>
        </w:rPr>
        <w:t>6. Modern Buyers Also Evaluate Home-Office and Creative Uses</w:t>
      </w:r>
    </w:p>
    <w:p w14:paraId="14B14C4D" w14:textId="77777777" w:rsidR="006F739B" w:rsidRPr="00424BC9" w:rsidRDefault="00000000">
      <w:pPr>
        <w:rPr>
          <w:sz w:val="24"/>
          <w:szCs w:val="24"/>
        </w:rPr>
      </w:pPr>
      <w:r w:rsidRPr="00424BC9">
        <w:rPr>
          <w:sz w:val="24"/>
          <w:szCs w:val="24"/>
        </w:rPr>
        <w:t>For executives, entrepreneurs, authors, designers, influencers, and other professionals, the ability to work, speak, record, publish, and present a professional identity from home can be part of a property’s usefulness. Tuxedo Park’s architecture, landscapes, and lake setting may be among the attributes that attract such buyers.</w:t>
      </w:r>
    </w:p>
    <w:p w14:paraId="70C8DA7F" w14:textId="77777777" w:rsidR="006F739B" w:rsidRPr="00424BC9" w:rsidRDefault="00000000">
      <w:pPr>
        <w:rPr>
          <w:sz w:val="24"/>
          <w:szCs w:val="24"/>
        </w:rPr>
      </w:pPr>
      <w:r w:rsidRPr="00424BC9">
        <w:rPr>
          <w:sz w:val="24"/>
          <w:szCs w:val="24"/>
        </w:rPr>
        <w:t>A vague rule that potentially reaches business interviews, sponsored content, professional portfolios, corporate branding, or other quiet at-home image-making creates uncertainty beyond traditional film production. The Board should evaluate whether that uncertainty could make Village ownership less attractive when comparable historic communities regulate measurable impacts through clear permits and thresholds.</w:t>
      </w:r>
    </w:p>
    <w:p w14:paraId="647320A3" w14:textId="77777777" w:rsidR="006F739B" w:rsidRPr="00424BC9" w:rsidRDefault="00000000">
      <w:pPr>
        <w:pStyle w:val="Heading1"/>
        <w:rPr>
          <w:rFonts w:ascii="Aptos" w:hAnsi="Aptos"/>
          <w:sz w:val="24"/>
          <w:szCs w:val="24"/>
        </w:rPr>
      </w:pPr>
      <w:r w:rsidRPr="00424BC9">
        <w:rPr>
          <w:rFonts w:ascii="Aptos" w:hAnsi="Aptos"/>
          <w:sz w:val="24"/>
          <w:szCs w:val="24"/>
        </w:rPr>
        <w:t>7. The Village’s Own Stated Property-Value Objective</w:t>
      </w:r>
    </w:p>
    <w:p w14:paraId="2FB7F9A3" w14:textId="0E26470A" w:rsidR="006F739B" w:rsidRPr="00424BC9" w:rsidRDefault="00000000">
      <w:pPr>
        <w:rPr>
          <w:sz w:val="24"/>
          <w:szCs w:val="24"/>
        </w:rPr>
      </w:pPr>
      <w:r w:rsidRPr="00424BC9">
        <w:rPr>
          <w:sz w:val="24"/>
          <w:szCs w:val="24"/>
        </w:rPr>
        <w:t xml:space="preserve">Section 100-6.1 of the Village Code states that the Gateway Overlay District is intended, among other purposes, to “stabilize and improve property values” while allowing property owners reasonable use of their property. That policy supports requiring the Board to examine whether a new prohibition is </w:t>
      </w:r>
      <w:r w:rsidR="00424BC9" w:rsidRPr="00424BC9">
        <w:rPr>
          <w:sz w:val="24"/>
          <w:szCs w:val="24"/>
        </w:rPr>
        <w:t>fitted</w:t>
      </w:r>
      <w:r w:rsidRPr="00424BC9">
        <w:rPr>
          <w:sz w:val="24"/>
          <w:szCs w:val="24"/>
        </w:rPr>
        <w:t xml:space="preserve"> to </w:t>
      </w:r>
      <w:r w:rsidR="00424BC9" w:rsidRPr="00424BC9">
        <w:rPr>
          <w:sz w:val="24"/>
          <w:szCs w:val="24"/>
        </w:rPr>
        <w:t>documented</w:t>
      </w:r>
      <w:r w:rsidRPr="00424BC9">
        <w:rPr>
          <w:sz w:val="24"/>
          <w:szCs w:val="24"/>
        </w:rPr>
        <w:t xml:space="preserve"> harm and whether a narrower alternative would protect historic character without unnecessarily impairing ownership value or marketability.</w:t>
      </w:r>
    </w:p>
    <w:p w14:paraId="3FF0B5AF" w14:textId="77777777" w:rsidR="006F739B" w:rsidRPr="00424BC9" w:rsidRDefault="00000000">
      <w:pPr>
        <w:pStyle w:val="Source"/>
        <w:rPr>
          <w:rFonts w:ascii="Aptos" w:hAnsi="Aptos"/>
          <w:sz w:val="24"/>
          <w:szCs w:val="24"/>
        </w:rPr>
      </w:pPr>
      <w:r w:rsidRPr="00424BC9">
        <w:rPr>
          <w:rFonts w:ascii="Aptos" w:hAnsi="Aptos"/>
          <w:b/>
          <w:sz w:val="24"/>
          <w:szCs w:val="24"/>
        </w:rPr>
        <w:t xml:space="preserve">Source: </w:t>
      </w:r>
      <w:hyperlink r:id="rId11">
        <w:r w:rsidR="006F739B" w:rsidRPr="00424BC9">
          <w:rPr>
            <w:rFonts w:ascii="Aptos" w:hAnsi="Aptos"/>
            <w:color w:val="1F4E79"/>
            <w:sz w:val="24"/>
            <w:szCs w:val="24"/>
            <w:u w:val="single"/>
          </w:rPr>
          <w:t>Village Code §100-6.1 — Gateway Overlay District findings and objectives</w:t>
        </w:r>
      </w:hyperlink>
    </w:p>
    <w:p w14:paraId="1076E1C1" w14:textId="77777777" w:rsidR="006F739B" w:rsidRPr="00424BC9" w:rsidRDefault="00000000">
      <w:pPr>
        <w:pStyle w:val="Heading1"/>
        <w:rPr>
          <w:rFonts w:ascii="Aptos" w:hAnsi="Aptos"/>
          <w:sz w:val="24"/>
          <w:szCs w:val="24"/>
        </w:rPr>
      </w:pPr>
      <w:r w:rsidRPr="00424BC9">
        <w:rPr>
          <w:rFonts w:ascii="Aptos" w:hAnsi="Aptos"/>
          <w:sz w:val="24"/>
          <w:szCs w:val="24"/>
        </w:rPr>
        <w:t>8. Information the Board Should Develop</w:t>
      </w:r>
    </w:p>
    <w:p w14:paraId="3BBF6129" w14:textId="77777777" w:rsidR="006F739B" w:rsidRPr="00424BC9" w:rsidRDefault="00000000">
      <w:pPr>
        <w:pStyle w:val="ListBullet"/>
        <w:rPr>
          <w:sz w:val="24"/>
          <w:szCs w:val="24"/>
        </w:rPr>
      </w:pPr>
      <w:r w:rsidRPr="00424BC9">
        <w:rPr>
          <w:sz w:val="24"/>
          <w:szCs w:val="24"/>
        </w:rPr>
        <w:t>Final adopted 2026–2027 tax rate, levy, appropriated fund balance, and unrestricted fund-balance position;</w:t>
      </w:r>
    </w:p>
    <w:p w14:paraId="37FF36A4" w14:textId="77777777" w:rsidR="006F739B" w:rsidRPr="00424BC9" w:rsidRDefault="00000000">
      <w:pPr>
        <w:pStyle w:val="ListBullet"/>
        <w:rPr>
          <w:sz w:val="24"/>
          <w:szCs w:val="24"/>
        </w:rPr>
      </w:pPr>
      <w:r w:rsidRPr="00424BC9">
        <w:rPr>
          <w:sz w:val="24"/>
          <w:szCs w:val="24"/>
        </w:rPr>
        <w:t>Five- to ten-year trend in Village tax rate, tax levy, assessments, appropriated surplus, legal expense, and total spending;</w:t>
      </w:r>
    </w:p>
    <w:p w14:paraId="54DFF5C3" w14:textId="77777777" w:rsidR="006F739B" w:rsidRPr="00424BC9" w:rsidRDefault="00000000">
      <w:pPr>
        <w:pStyle w:val="ListBullet"/>
        <w:rPr>
          <w:sz w:val="24"/>
          <w:szCs w:val="24"/>
        </w:rPr>
      </w:pPr>
      <w:r w:rsidRPr="00424BC9">
        <w:rPr>
          <w:sz w:val="24"/>
          <w:szCs w:val="24"/>
        </w:rPr>
        <w:t>Residential sales volume, sale-to-list ratios, time on market, price trends, and comparable historic-community performance;</w:t>
      </w:r>
    </w:p>
    <w:p w14:paraId="2EE41EEB" w14:textId="77777777" w:rsidR="006F739B" w:rsidRPr="00424BC9" w:rsidRDefault="00000000">
      <w:pPr>
        <w:pStyle w:val="ListBullet"/>
        <w:rPr>
          <w:sz w:val="24"/>
          <w:szCs w:val="24"/>
        </w:rPr>
      </w:pPr>
      <w:r w:rsidRPr="00424BC9">
        <w:rPr>
          <w:sz w:val="24"/>
          <w:szCs w:val="24"/>
        </w:rPr>
        <w:t>Broker or appraiser evidence concerning buyer sensitivity to Village taxes, maintenance obligations, and additional use restrictions;</w:t>
      </w:r>
    </w:p>
    <w:p w14:paraId="0082F87D" w14:textId="77777777" w:rsidR="006F739B" w:rsidRPr="00424BC9" w:rsidRDefault="00000000">
      <w:pPr>
        <w:pStyle w:val="ListBullet"/>
        <w:rPr>
          <w:sz w:val="24"/>
          <w:szCs w:val="24"/>
        </w:rPr>
      </w:pPr>
      <w:r w:rsidRPr="00424BC9">
        <w:rPr>
          <w:sz w:val="24"/>
          <w:szCs w:val="24"/>
        </w:rPr>
        <w:t>A reasoned explanation of why existing impact laws and a tailored permit system are insufficient; and</w:t>
      </w:r>
    </w:p>
    <w:p w14:paraId="3B838217" w14:textId="77777777" w:rsidR="006F739B" w:rsidRPr="00424BC9" w:rsidRDefault="00000000">
      <w:pPr>
        <w:pStyle w:val="ListBullet"/>
        <w:rPr>
          <w:sz w:val="24"/>
          <w:szCs w:val="24"/>
        </w:rPr>
      </w:pPr>
      <w:r w:rsidRPr="00424BC9">
        <w:rPr>
          <w:sz w:val="24"/>
          <w:szCs w:val="24"/>
        </w:rPr>
        <w:t>An assessment of whether the proposed law will narrow the buyer pool or impair adaptive, cultural, editorial, or economically productive use of historic properties.</w:t>
      </w:r>
    </w:p>
    <w:p w14:paraId="3F228C6A" w14:textId="77777777" w:rsidR="006F739B" w:rsidRPr="00424BC9" w:rsidRDefault="00000000">
      <w:pPr>
        <w:pStyle w:val="Heading1"/>
        <w:rPr>
          <w:rFonts w:ascii="Aptos" w:hAnsi="Aptos"/>
          <w:sz w:val="24"/>
          <w:szCs w:val="24"/>
        </w:rPr>
      </w:pPr>
      <w:r w:rsidRPr="00424BC9">
        <w:rPr>
          <w:rFonts w:ascii="Aptos" w:hAnsi="Aptos"/>
          <w:sz w:val="24"/>
          <w:szCs w:val="24"/>
        </w:rPr>
        <w:lastRenderedPageBreak/>
        <w:t>9. Cumulative Effect on Property Ownership and Marketability</w:t>
      </w:r>
    </w:p>
    <w:p w14:paraId="2B719E91" w14:textId="3D0F6A3E" w:rsidR="006F739B" w:rsidRPr="00424BC9" w:rsidRDefault="00000000">
      <w:pPr>
        <w:rPr>
          <w:sz w:val="24"/>
          <w:szCs w:val="24"/>
        </w:rPr>
      </w:pPr>
      <w:r w:rsidRPr="00424BC9">
        <w:rPr>
          <w:sz w:val="24"/>
          <w:szCs w:val="24"/>
        </w:rPr>
        <w:t xml:space="preserve">Tuxedo Park homeowners carry significant taxes, maintenance </w:t>
      </w:r>
      <w:r w:rsidR="00424BC9" w:rsidRPr="00424BC9">
        <w:rPr>
          <w:sz w:val="24"/>
          <w:szCs w:val="24"/>
        </w:rPr>
        <w:t>costs,</w:t>
      </w:r>
      <w:r w:rsidRPr="00424BC9">
        <w:rPr>
          <w:sz w:val="24"/>
          <w:szCs w:val="24"/>
        </w:rPr>
        <w:t xml:space="preserve"> and regulatory obligations. A new use restriction may add to that cumulative burden, but the extent of any effect on marketability or value is not presently established. The Board should consider the issue as one policy factor while focusing primarily on the documented harm, fit and availability of narrower impact controls.</w:t>
      </w:r>
    </w:p>
    <w:p w14:paraId="40DCF545" w14:textId="213B3A28" w:rsidR="006F739B" w:rsidRPr="00424BC9" w:rsidRDefault="00000000">
      <w:pPr>
        <w:rPr>
          <w:sz w:val="24"/>
          <w:szCs w:val="24"/>
        </w:rPr>
      </w:pPr>
      <w:r w:rsidRPr="00424BC9">
        <w:rPr>
          <w:sz w:val="24"/>
          <w:szCs w:val="24"/>
        </w:rPr>
        <w:t xml:space="preserve">Tuxedo Park has historically accommodated established institutional, </w:t>
      </w:r>
      <w:r w:rsidR="00424BC9" w:rsidRPr="00424BC9">
        <w:rPr>
          <w:sz w:val="24"/>
          <w:szCs w:val="24"/>
        </w:rPr>
        <w:t>recreational,</w:t>
      </w:r>
      <w:r w:rsidRPr="00424BC9">
        <w:rPr>
          <w:sz w:val="24"/>
          <w:szCs w:val="24"/>
        </w:rPr>
        <w:t xml:space="preserve"> and multifamily uses, but their precise legal status may differ materially from a private photography session. They are cited as evidence that careful classification is possible, not as proof of a legal entitlement or unequal treatment.</w:t>
      </w:r>
    </w:p>
    <w:p w14:paraId="77BA34AD" w14:textId="77777777" w:rsidR="006F739B" w:rsidRPr="00424BC9" w:rsidRDefault="006F739B">
      <w:pPr>
        <w:rPr>
          <w:sz w:val="24"/>
          <w:szCs w:val="24"/>
        </w:rPr>
      </w:pPr>
    </w:p>
    <w:p w14:paraId="3D83BE2B" w14:textId="77777777" w:rsidR="006F739B" w:rsidRPr="00424BC9" w:rsidRDefault="00000000">
      <w:pPr>
        <w:pStyle w:val="Source"/>
        <w:rPr>
          <w:rFonts w:ascii="Aptos" w:hAnsi="Aptos"/>
          <w:sz w:val="24"/>
          <w:szCs w:val="24"/>
        </w:rPr>
      </w:pPr>
      <w:r w:rsidRPr="00424BC9">
        <w:rPr>
          <w:rFonts w:ascii="Aptos" w:hAnsi="Aptos"/>
          <w:sz w:val="24"/>
          <w:szCs w:val="24"/>
        </w:rPr>
        <w:t>This exhibit presents budget, assessment, and policy evidence; it is not an appraisal or a conclusion that the proposed law has already caused a measurable loss. Market-value damages, if asserted in litigation, would require qualified appraisal and economic evidence.</w:t>
      </w:r>
    </w:p>
    <w:p w14:paraId="02235210" w14:textId="77777777" w:rsidR="006F739B" w:rsidRPr="00424BC9" w:rsidRDefault="00000000">
      <w:pPr>
        <w:pStyle w:val="Heading1"/>
        <w:rPr>
          <w:rFonts w:ascii="Aptos" w:hAnsi="Aptos"/>
          <w:sz w:val="24"/>
          <w:szCs w:val="24"/>
        </w:rPr>
      </w:pPr>
      <w:r w:rsidRPr="00424BC9">
        <w:rPr>
          <w:rFonts w:ascii="Aptos" w:hAnsi="Aptos"/>
          <w:sz w:val="24"/>
          <w:szCs w:val="24"/>
        </w:rPr>
        <w:t>10. Proportional Property-Rights Analysis</w:t>
      </w:r>
    </w:p>
    <w:p w14:paraId="200FEC82" w14:textId="51000C22" w:rsidR="006F739B" w:rsidRPr="00424BC9" w:rsidRDefault="00000000">
      <w:pPr>
        <w:rPr>
          <w:sz w:val="24"/>
          <w:szCs w:val="24"/>
        </w:rPr>
      </w:pPr>
      <w:r w:rsidRPr="00424BC9">
        <w:rPr>
          <w:sz w:val="24"/>
          <w:szCs w:val="24"/>
        </w:rPr>
        <w:t xml:space="preserve">Private-property rights are not absolute, and ownership does not create an unrestricted entitlement to compensated activity. The relevant policy inquiry is proportionality: whether a new rule addresses a legitimate concern through definitions and standards </w:t>
      </w:r>
      <w:r w:rsidR="00424BC9" w:rsidRPr="00424BC9">
        <w:rPr>
          <w:sz w:val="24"/>
          <w:szCs w:val="24"/>
        </w:rPr>
        <w:t>fitted</w:t>
      </w:r>
      <w:r w:rsidRPr="00424BC9">
        <w:rPr>
          <w:sz w:val="24"/>
          <w:szCs w:val="24"/>
        </w:rPr>
        <w:t xml:space="preserve"> to actual impacts, and whether a low-impact safe harbor or permit can protect neighbors with less unnecessary burden.</w:t>
      </w:r>
    </w:p>
    <w:p w14:paraId="1DF0EFA7" w14:textId="3DB16F72" w:rsidR="006F739B" w:rsidRPr="00424BC9" w:rsidRDefault="00000000">
      <w:pPr>
        <w:rPr>
          <w:sz w:val="24"/>
          <w:szCs w:val="24"/>
        </w:rPr>
      </w:pPr>
      <w:r w:rsidRPr="00424BC9">
        <w:rPr>
          <w:sz w:val="24"/>
          <w:szCs w:val="24"/>
        </w:rPr>
        <w:t xml:space="preserve">The Board’s public-welfare analysis should weigh both sides of the ledger. It should identify the concrete harm avoided, quantify any municipal burden, examine the effectiveness of existing </w:t>
      </w:r>
      <w:r w:rsidR="00424BC9" w:rsidRPr="00424BC9">
        <w:rPr>
          <w:sz w:val="24"/>
          <w:szCs w:val="24"/>
        </w:rPr>
        <w:t>laws,</w:t>
      </w:r>
      <w:r w:rsidRPr="00424BC9">
        <w:rPr>
          <w:sz w:val="24"/>
          <w:szCs w:val="24"/>
        </w:rPr>
        <w:t xml:space="preserve"> and compare the proposed restriction with its effects on </w:t>
      </w:r>
      <w:r w:rsidR="00424BC9" w:rsidRPr="00424BC9">
        <w:rPr>
          <w:sz w:val="24"/>
          <w:szCs w:val="24"/>
        </w:rPr>
        <w:t>preservation;</w:t>
      </w:r>
      <w:r w:rsidRPr="00424BC9">
        <w:rPr>
          <w:sz w:val="24"/>
          <w:szCs w:val="24"/>
        </w:rPr>
        <w:t xml:space="preserve"> investment, </w:t>
      </w:r>
      <w:r w:rsidR="00424BC9" w:rsidRPr="00424BC9">
        <w:rPr>
          <w:sz w:val="24"/>
          <w:szCs w:val="24"/>
        </w:rPr>
        <w:t>marketability,</w:t>
      </w:r>
      <w:r w:rsidRPr="00424BC9">
        <w:rPr>
          <w:sz w:val="24"/>
          <w:szCs w:val="24"/>
        </w:rPr>
        <w:t xml:space="preserve"> and the flexibility buyers </w:t>
      </w:r>
      <w:r w:rsidR="00424BC9" w:rsidRPr="00424BC9">
        <w:rPr>
          <w:sz w:val="24"/>
          <w:szCs w:val="24"/>
        </w:rPr>
        <w:t>associate</w:t>
      </w:r>
      <w:r w:rsidRPr="00424BC9">
        <w:rPr>
          <w:sz w:val="24"/>
          <w:szCs w:val="24"/>
        </w:rPr>
        <w:t xml:space="preserve"> with ownership. A conclusion supported only by the word “rental” does not perform that analysis.</w:t>
      </w:r>
    </w:p>
    <w:p w14:paraId="3F269B88" w14:textId="77777777" w:rsidR="006F739B" w:rsidRPr="00424BC9" w:rsidRDefault="00000000">
      <w:pPr>
        <w:pStyle w:val="Heading1"/>
        <w:rPr>
          <w:rFonts w:ascii="Aptos" w:hAnsi="Aptos"/>
          <w:sz w:val="24"/>
          <w:szCs w:val="24"/>
        </w:rPr>
      </w:pPr>
      <w:r w:rsidRPr="00424BC9">
        <w:rPr>
          <w:rFonts w:ascii="Aptos" w:hAnsi="Aptos"/>
          <w:sz w:val="24"/>
          <w:szCs w:val="24"/>
        </w:rPr>
        <w:t>11. Evidence Required to Establish Measurable Value Loss</w:t>
      </w:r>
    </w:p>
    <w:p w14:paraId="47297D48" w14:textId="77777777" w:rsidR="006F739B" w:rsidRPr="00424BC9" w:rsidRDefault="00000000">
      <w:pPr>
        <w:rPr>
          <w:sz w:val="24"/>
          <w:szCs w:val="24"/>
        </w:rPr>
      </w:pPr>
      <w:r w:rsidRPr="00424BC9">
        <w:rPr>
          <w:sz w:val="24"/>
          <w:szCs w:val="24"/>
        </w:rPr>
        <w:t>This exhibit supports a policy concern, not a present damages calculation. A claim that the proposed law has reduced the property’s market value would require the final enacted text, a definitive governmental position, qualified appraisal evidence, comparable sales, income analysis where appropriate and evidence of buyer reaction. At present, the evidence supports the narrower conclusion that taxes and regulatory restrictions can cumulatively affect attractiveness and marketability and should be studied before adoption.</w:t>
      </w:r>
    </w:p>
    <w:sectPr w:rsidR="006F739B" w:rsidRPr="00424BC9">
      <w:headerReference w:type="default" r:id="rId12"/>
      <w:footerReference w:type="default" r:id="rId13"/>
      <w:headerReference w:type="first" r:id="rId14"/>
      <w:footerReference w:type="first" r:id="rId15"/>
      <w:pgSz w:w="12240" w:h="15840"/>
      <w:pgMar w:top="1123" w:right="1224" w:bottom="1037" w:left="1224" w:header="504" w:footer="5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1B173" w14:textId="77777777" w:rsidR="000D3D71" w:rsidRDefault="000D3D71">
      <w:pPr>
        <w:spacing w:after="0" w:line="240" w:lineRule="auto"/>
      </w:pPr>
      <w:r>
        <w:separator/>
      </w:r>
    </w:p>
  </w:endnote>
  <w:endnote w:type="continuationSeparator" w:id="0">
    <w:p w14:paraId="14196391" w14:textId="77777777" w:rsidR="000D3D71" w:rsidRDefault="000D3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panose1 w:val="020B0604020202020204"/>
    <w:charset w:val="01"/>
    <w:family w:val="swiss"/>
    <w:pitch w:val="variable"/>
    <w:sig w:usb0="E0000AFF" w:usb1="500078FF" w:usb2="00000021" w:usb3="00000000" w:csb0="000001BF" w:csb1="00000000"/>
  </w:font>
  <w:font w:name="Noto Sans">
    <w:panose1 w:val="020B0502040504020204"/>
    <w:charset w:val="00"/>
    <w:family w:val="swiss"/>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7E8D" w14:textId="7BC32CD9" w:rsidR="006F739B" w:rsidRDefault="00000000">
    <w:pPr>
      <w:pStyle w:val="Footer"/>
      <w:jc w:val="center"/>
    </w:pPr>
    <w:r>
      <w:rPr>
        <w:rFonts w:ascii="Calibri" w:hAnsi="Calibri"/>
        <w:color w:val="5B6570"/>
        <w:sz w:val="16"/>
      </w:rPr>
      <w:t xml:space="preserve">Exhibit </w:t>
    </w:r>
    <w:r w:rsidR="00424BC9">
      <w:rPr>
        <w:rFonts w:ascii="Calibri" w:hAnsi="Calibri"/>
        <w:color w:val="5B6570"/>
        <w:sz w:val="16"/>
      </w:rPr>
      <w:t>D | Taxes</w:t>
    </w:r>
    <w:r>
      <w:rPr>
        <w:rFonts w:ascii="Calibri" w:hAnsi="Calibri"/>
        <w:color w:val="5B6570"/>
        <w:sz w:val="16"/>
      </w:rPr>
      <w:t xml:space="preserve">, Regulatory </w:t>
    </w:r>
    <w:r w:rsidR="00424BC9">
      <w:rPr>
        <w:rFonts w:ascii="Calibri" w:hAnsi="Calibri"/>
        <w:color w:val="5B6570"/>
        <w:sz w:val="16"/>
      </w:rPr>
      <w:t>Burden,</w:t>
    </w:r>
    <w:r>
      <w:rPr>
        <w:rFonts w:ascii="Calibri" w:hAnsi="Calibri"/>
        <w:color w:val="5B6570"/>
        <w:sz w:val="16"/>
      </w:rPr>
      <w:t xml:space="preserve"> and Property Marketability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12D6" w14:textId="0D09398B" w:rsidR="006F739B" w:rsidRDefault="00000000">
    <w:pPr>
      <w:pStyle w:val="Footer"/>
      <w:jc w:val="center"/>
    </w:pPr>
    <w:r>
      <w:rPr>
        <w:rFonts w:ascii="Calibri" w:hAnsi="Calibri"/>
        <w:color w:val="5B6570"/>
        <w:sz w:val="16"/>
      </w:rPr>
      <w:t xml:space="preserve">Exhibit </w:t>
    </w:r>
    <w:r w:rsidR="00424BC9">
      <w:rPr>
        <w:rFonts w:ascii="Calibri" w:hAnsi="Calibri"/>
        <w:color w:val="5B6570"/>
        <w:sz w:val="16"/>
      </w:rPr>
      <w:t>D | Taxes</w:t>
    </w:r>
    <w:r>
      <w:rPr>
        <w:rFonts w:ascii="Calibri" w:hAnsi="Calibri"/>
        <w:color w:val="5B6570"/>
        <w:sz w:val="16"/>
      </w:rPr>
      <w:t xml:space="preserve">, Regulatory </w:t>
    </w:r>
    <w:r w:rsidR="00424BC9">
      <w:rPr>
        <w:rFonts w:ascii="Calibri" w:hAnsi="Calibri"/>
        <w:color w:val="5B6570"/>
        <w:sz w:val="16"/>
      </w:rPr>
      <w:t>Burden,</w:t>
    </w:r>
    <w:r>
      <w:rPr>
        <w:rFonts w:ascii="Calibri" w:hAnsi="Calibri"/>
        <w:color w:val="5B6570"/>
        <w:sz w:val="16"/>
      </w:rPr>
      <w:t xml:space="preserve"> and Property Marketability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510C8" w14:textId="77777777" w:rsidR="000D3D71" w:rsidRDefault="000D3D71">
      <w:pPr>
        <w:spacing w:after="0" w:line="240" w:lineRule="auto"/>
      </w:pPr>
      <w:r>
        <w:separator/>
      </w:r>
    </w:p>
  </w:footnote>
  <w:footnote w:type="continuationSeparator" w:id="0">
    <w:p w14:paraId="5DA42A09" w14:textId="77777777" w:rsidR="000D3D71" w:rsidRDefault="000D3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6785" w14:textId="77777777" w:rsidR="006F739B" w:rsidRDefault="00000000" w:rsidP="00BC06CF">
    <w:pPr>
      <w:pStyle w:val="Header"/>
      <w:jc w:val="center"/>
    </w:pPr>
    <w:r>
      <w:rPr>
        <w:rFonts w:ascii="Calibri" w:hAnsi="Calibri"/>
        <w:b/>
        <w:color w:val="5B6570"/>
        <w:sz w:val="17"/>
      </w:rPr>
      <w:t>VILLAGE OF TUXEDO PARK — PROPOSED LOCAL LAW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491A" w14:textId="77777777" w:rsidR="006F739B" w:rsidRDefault="00000000">
    <w:pPr>
      <w:pStyle w:val="Header"/>
    </w:pPr>
    <w:r>
      <w:rPr>
        <w:rFonts w:ascii="Calibri" w:hAnsi="Calibri"/>
        <w:b/>
        <w:color w:val="5B6570"/>
        <w:sz w:val="17"/>
      </w:rPr>
      <w:t>VILLAGE OF TUXEDO PARK — PROPOSED LOCAL LAW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3320"/>
    <w:multiLevelType w:val="multilevel"/>
    <w:tmpl w:val="3826860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A6F4236"/>
    <w:multiLevelType w:val="multilevel"/>
    <w:tmpl w:val="BFE2D1D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90255C"/>
    <w:multiLevelType w:val="multilevel"/>
    <w:tmpl w:val="FB22EF3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1034B9"/>
    <w:multiLevelType w:val="multilevel"/>
    <w:tmpl w:val="D9C61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3D2361A"/>
    <w:multiLevelType w:val="multilevel"/>
    <w:tmpl w:val="A9CA24E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68814F7"/>
    <w:multiLevelType w:val="multilevel"/>
    <w:tmpl w:val="6CE2B91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F7860F9"/>
    <w:multiLevelType w:val="multilevel"/>
    <w:tmpl w:val="0DC6B77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871096">
    <w:abstractNumId w:val="5"/>
  </w:num>
  <w:num w:numId="2" w16cid:durableId="481971437">
    <w:abstractNumId w:val="0"/>
  </w:num>
  <w:num w:numId="3" w16cid:durableId="1635132802">
    <w:abstractNumId w:val="2"/>
  </w:num>
  <w:num w:numId="4" w16cid:durableId="2093698300">
    <w:abstractNumId w:val="6"/>
  </w:num>
  <w:num w:numId="5" w16cid:durableId="821778901">
    <w:abstractNumId w:val="4"/>
  </w:num>
  <w:num w:numId="6" w16cid:durableId="215166964">
    <w:abstractNumId w:val="1"/>
  </w:num>
  <w:num w:numId="7" w16cid:durableId="1151406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739B"/>
    <w:rsid w:val="000D3D71"/>
    <w:rsid w:val="00411DD9"/>
    <w:rsid w:val="00424BC9"/>
    <w:rsid w:val="005202EE"/>
    <w:rsid w:val="006F739B"/>
    <w:rsid w:val="00BC06CF"/>
    <w:rsid w:val="00E914D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774BA"/>
  <w15:docId w15:val="{8A6B2163-9FBA-4C70-9443-946BB1220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MS Mincho" w:hAnsi="Aptos"/>
      <w:color w:val="222222"/>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234331"/>
      <w:sz w:val="27"/>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23433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character" w:customStyle="1" w:styleId="BodyText2Char">
    <w:name w:val="Body Text 2 Char"/>
    <w:basedOn w:val="DefaultParagraphFont"/>
    <w:link w:val="BodyText2"/>
    <w:uiPriority w:val="99"/>
    <w:rsid w:val="00AA1D8D"/>
  </w:style>
  <w:style w:type="character" w:customStyle="1" w:styleId="BodyText3Char">
    <w:name w:val="Body Text 3 Char"/>
    <w:basedOn w:val="DefaultParagraphFont"/>
    <w:link w:val="BodyText3"/>
    <w:uiPriority w:val="99"/>
    <w:rsid w:val="00AA1D8D"/>
    <w:rPr>
      <w:sz w:val="16"/>
      <w:szCs w:val="16"/>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rsid w:val="00AA1D8D"/>
    <w:pPr>
      <w:spacing w:after="120" w:line="480" w:lineRule="auto"/>
    </w:pPr>
  </w:style>
  <w:style w:type="paragraph" w:styleId="BodyText3">
    <w:name w:val="Body Text 3"/>
    <w:basedOn w:val="Normal"/>
    <w:link w:val="BodyText3Char"/>
    <w:uiPriority w:val="99"/>
    <w:unhideWhenUsed/>
    <w:rsid w:val="00AA1D8D"/>
    <w:pPr>
      <w:spacing w:after="120"/>
    </w:pPr>
    <w:rPr>
      <w:sz w:val="16"/>
      <w:szCs w:val="16"/>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hanging="2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ind w:left="432" w:hanging="230"/>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Source">
    <w:name w:val="Source"/>
    <w:pPr>
      <w:spacing w:after="100" w:line="276" w:lineRule="auto"/>
    </w:pPr>
    <w:rPr>
      <w:rFonts w:ascii="Calibri" w:eastAsia="MS Mincho" w:hAnsi="Calibri"/>
      <w:color w:val="5B6570"/>
      <w:sz w:val="17"/>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xedopark-ny.gov/home/files/final-budget-2025-2026-general-fun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ode360.com/1113649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tuxedopark-ny.gov/official-notices/files/2026-final-assessment-roll" TargetMode="External"/><Relationship Id="rId4" Type="http://schemas.openxmlformats.org/officeDocument/2006/relationships/settings" Target="settings.xml"/><Relationship Id="rId9" Type="http://schemas.openxmlformats.org/officeDocument/2006/relationships/hyperlink" Target="https://www.tuxedopark-ny.gov/sites/g/files/vyhlif6941/f/events/vtp_2026-2027_proposed_budget_4-16-2026_jcl_0.pdf"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1412</Words>
  <Characters>8052</Characters>
  <Application>Microsoft Office Word</Application>
  <DocSecurity>0</DocSecurity>
  <Lines>67</Lines>
  <Paragraphs>18</Paragraphs>
  <ScaleCrop>false</ScaleCrop>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David McFadden, Founder/CEO, Consulting For Architects, Inc.</cp:lastModifiedBy>
  <cp:revision>4</cp:revision>
  <dcterms:created xsi:type="dcterms:W3CDTF">2013-12-23T23:15:00Z</dcterms:created>
  <dcterms:modified xsi:type="dcterms:W3CDTF">2026-08-06T19:26:00Z</dcterms:modified>
  <dc:language>en-US</dc:language>
</cp:coreProperties>
</file>