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22540556"/>
        <w:docPartObj>
          <w:docPartGallery w:val="Table of Contents"/>
          <w:docPartUnique/>
        </w:docPartObj>
      </w:sdtPr>
      <w:sdtEndPr>
        <w:rPr>
          <w:noProof/>
        </w:rPr>
      </w:sdtEndPr>
      <w:sdtContent>
        <w:p w:rsidR="00AE486C" w:rsidRDefault="00AE486C">
          <w:pPr>
            <w:pStyle w:val="TOCHeading"/>
          </w:pPr>
          <w:proofErr w:type="spellStart"/>
          <w:r>
            <w:t>Spis</w:t>
          </w:r>
          <w:proofErr w:type="spellEnd"/>
          <w:r>
            <w:t xml:space="preserve"> </w:t>
          </w:r>
          <w:proofErr w:type="spellStart"/>
          <w:r>
            <w:t>treści</w:t>
          </w:r>
          <w:proofErr w:type="spellEnd"/>
        </w:p>
        <w:p w:rsidR="00AB0A9F" w:rsidRDefault="00AE486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5828429" w:history="1">
            <w:r w:rsidR="00AB0A9F" w:rsidRPr="007D633D">
              <w:rPr>
                <w:rStyle w:val="Hyperlink"/>
                <w:noProof/>
              </w:rPr>
              <w:t>1.</w:t>
            </w:r>
            <w:r w:rsidR="00AB0A9F">
              <w:rPr>
                <w:rFonts w:eastAsiaTheme="minorEastAsia"/>
                <w:noProof/>
              </w:rPr>
              <w:tab/>
            </w:r>
            <w:r w:rsidR="00AB0A9F" w:rsidRPr="007D633D">
              <w:rPr>
                <w:rStyle w:val="Hyperlink"/>
                <w:noProof/>
              </w:rPr>
              <w:t>Wstęp</w:t>
            </w:r>
            <w:r w:rsidR="00AB0A9F">
              <w:rPr>
                <w:noProof/>
                <w:webHidden/>
              </w:rPr>
              <w:tab/>
            </w:r>
            <w:r w:rsidR="00AB0A9F">
              <w:rPr>
                <w:noProof/>
                <w:webHidden/>
              </w:rPr>
              <w:fldChar w:fldCharType="begin"/>
            </w:r>
            <w:r w:rsidR="00AB0A9F">
              <w:rPr>
                <w:noProof/>
                <w:webHidden/>
              </w:rPr>
              <w:instrText xml:space="preserve"> PAGEREF _Toc485828429 \h </w:instrText>
            </w:r>
            <w:r w:rsidR="00AB0A9F">
              <w:rPr>
                <w:noProof/>
                <w:webHidden/>
              </w:rPr>
            </w:r>
            <w:r w:rsidR="00AB0A9F">
              <w:rPr>
                <w:noProof/>
                <w:webHidden/>
              </w:rPr>
              <w:fldChar w:fldCharType="separate"/>
            </w:r>
            <w:r w:rsidR="00AB0A9F">
              <w:rPr>
                <w:noProof/>
                <w:webHidden/>
              </w:rPr>
              <w:t>1</w:t>
            </w:r>
            <w:r w:rsidR="00AB0A9F">
              <w:rPr>
                <w:noProof/>
                <w:webHidden/>
              </w:rPr>
              <w:fldChar w:fldCharType="end"/>
            </w:r>
          </w:hyperlink>
        </w:p>
        <w:p w:rsidR="00AB0A9F" w:rsidRDefault="00D170E3">
          <w:pPr>
            <w:pStyle w:val="TOC1"/>
            <w:tabs>
              <w:tab w:val="left" w:pos="440"/>
              <w:tab w:val="right" w:leader="dot" w:pos="9350"/>
            </w:tabs>
            <w:rPr>
              <w:rFonts w:eastAsiaTheme="minorEastAsia"/>
              <w:noProof/>
            </w:rPr>
          </w:pPr>
          <w:hyperlink w:anchor="_Toc485828430" w:history="1">
            <w:r w:rsidR="00AB0A9F" w:rsidRPr="007D633D">
              <w:rPr>
                <w:rStyle w:val="Hyperlink"/>
                <w:noProof/>
              </w:rPr>
              <w:t>2.</w:t>
            </w:r>
            <w:r w:rsidR="00AB0A9F">
              <w:rPr>
                <w:rFonts w:eastAsiaTheme="minorEastAsia"/>
                <w:noProof/>
              </w:rPr>
              <w:tab/>
            </w:r>
            <w:r w:rsidR="00AB0A9F" w:rsidRPr="007D633D">
              <w:rPr>
                <w:rStyle w:val="Hyperlink"/>
                <w:noProof/>
              </w:rPr>
              <w:t>Predykcja rynków</w:t>
            </w:r>
            <w:r w:rsidR="00AB0A9F">
              <w:rPr>
                <w:noProof/>
                <w:webHidden/>
              </w:rPr>
              <w:tab/>
            </w:r>
            <w:r w:rsidR="00AB0A9F">
              <w:rPr>
                <w:noProof/>
                <w:webHidden/>
              </w:rPr>
              <w:fldChar w:fldCharType="begin"/>
            </w:r>
            <w:r w:rsidR="00AB0A9F">
              <w:rPr>
                <w:noProof/>
                <w:webHidden/>
              </w:rPr>
              <w:instrText xml:space="preserve"> PAGEREF _Toc485828430 \h </w:instrText>
            </w:r>
            <w:r w:rsidR="00AB0A9F">
              <w:rPr>
                <w:noProof/>
                <w:webHidden/>
              </w:rPr>
            </w:r>
            <w:r w:rsidR="00AB0A9F">
              <w:rPr>
                <w:noProof/>
                <w:webHidden/>
              </w:rPr>
              <w:fldChar w:fldCharType="separate"/>
            </w:r>
            <w:r w:rsidR="00AB0A9F">
              <w:rPr>
                <w:noProof/>
                <w:webHidden/>
              </w:rPr>
              <w:t>1</w:t>
            </w:r>
            <w:r w:rsidR="00AB0A9F">
              <w:rPr>
                <w:noProof/>
                <w:webHidden/>
              </w:rPr>
              <w:fldChar w:fldCharType="end"/>
            </w:r>
          </w:hyperlink>
        </w:p>
        <w:p w:rsidR="00AB0A9F" w:rsidRDefault="00D170E3">
          <w:pPr>
            <w:pStyle w:val="TOC2"/>
            <w:tabs>
              <w:tab w:val="left" w:pos="880"/>
              <w:tab w:val="right" w:leader="dot" w:pos="9350"/>
            </w:tabs>
            <w:rPr>
              <w:rFonts w:eastAsiaTheme="minorEastAsia"/>
              <w:noProof/>
            </w:rPr>
          </w:pPr>
          <w:hyperlink w:anchor="_Toc485828431" w:history="1">
            <w:r w:rsidR="00AB0A9F" w:rsidRPr="007D633D">
              <w:rPr>
                <w:rStyle w:val="Hyperlink"/>
                <w:noProof/>
                <w:lang w:val="pl-PL"/>
              </w:rPr>
              <w:t>2.1.</w:t>
            </w:r>
            <w:r w:rsidR="00AB0A9F">
              <w:rPr>
                <w:rFonts w:eastAsiaTheme="minorEastAsia"/>
                <w:noProof/>
              </w:rPr>
              <w:tab/>
            </w:r>
            <w:r w:rsidR="00AB0A9F" w:rsidRPr="007D633D">
              <w:rPr>
                <w:rStyle w:val="Hyperlink"/>
                <w:noProof/>
                <w:lang w:val="pl-PL"/>
              </w:rPr>
              <w:t>Przewidywanie rynków</w:t>
            </w:r>
            <w:r w:rsidR="00AB0A9F">
              <w:rPr>
                <w:noProof/>
                <w:webHidden/>
              </w:rPr>
              <w:tab/>
            </w:r>
            <w:r w:rsidR="00AB0A9F">
              <w:rPr>
                <w:noProof/>
                <w:webHidden/>
              </w:rPr>
              <w:fldChar w:fldCharType="begin"/>
            </w:r>
            <w:r w:rsidR="00AB0A9F">
              <w:rPr>
                <w:noProof/>
                <w:webHidden/>
              </w:rPr>
              <w:instrText xml:space="preserve"> PAGEREF _Toc485828431 \h </w:instrText>
            </w:r>
            <w:r w:rsidR="00AB0A9F">
              <w:rPr>
                <w:noProof/>
                <w:webHidden/>
              </w:rPr>
            </w:r>
            <w:r w:rsidR="00AB0A9F">
              <w:rPr>
                <w:noProof/>
                <w:webHidden/>
              </w:rPr>
              <w:fldChar w:fldCharType="separate"/>
            </w:r>
            <w:r w:rsidR="00AB0A9F">
              <w:rPr>
                <w:noProof/>
                <w:webHidden/>
              </w:rPr>
              <w:t>1</w:t>
            </w:r>
            <w:r w:rsidR="00AB0A9F">
              <w:rPr>
                <w:noProof/>
                <w:webHidden/>
              </w:rPr>
              <w:fldChar w:fldCharType="end"/>
            </w:r>
          </w:hyperlink>
        </w:p>
        <w:p w:rsidR="00AB0A9F" w:rsidRDefault="00D170E3">
          <w:pPr>
            <w:pStyle w:val="TOC2"/>
            <w:tabs>
              <w:tab w:val="left" w:pos="880"/>
              <w:tab w:val="right" w:leader="dot" w:pos="9350"/>
            </w:tabs>
            <w:rPr>
              <w:rFonts w:eastAsiaTheme="minorEastAsia"/>
              <w:noProof/>
            </w:rPr>
          </w:pPr>
          <w:hyperlink w:anchor="_Toc485828432" w:history="1">
            <w:r w:rsidR="00AB0A9F" w:rsidRPr="007D633D">
              <w:rPr>
                <w:rStyle w:val="Hyperlink"/>
                <w:noProof/>
                <w:lang w:val="pl-PL"/>
              </w:rPr>
              <w:t>2.2.</w:t>
            </w:r>
            <w:r w:rsidR="00AB0A9F">
              <w:rPr>
                <w:rFonts w:eastAsiaTheme="minorEastAsia"/>
                <w:noProof/>
              </w:rPr>
              <w:tab/>
            </w:r>
            <w:r w:rsidR="00AB0A9F" w:rsidRPr="007D633D">
              <w:rPr>
                <w:rStyle w:val="Hyperlink"/>
                <w:noProof/>
                <w:lang w:val="pl-PL"/>
              </w:rPr>
              <w:t>Rynek Forex</w:t>
            </w:r>
            <w:r w:rsidR="00AB0A9F">
              <w:rPr>
                <w:noProof/>
                <w:webHidden/>
              </w:rPr>
              <w:tab/>
            </w:r>
            <w:r w:rsidR="00AB0A9F">
              <w:rPr>
                <w:noProof/>
                <w:webHidden/>
              </w:rPr>
              <w:fldChar w:fldCharType="begin"/>
            </w:r>
            <w:r w:rsidR="00AB0A9F">
              <w:rPr>
                <w:noProof/>
                <w:webHidden/>
              </w:rPr>
              <w:instrText xml:space="preserve"> PAGEREF _Toc485828432 \h </w:instrText>
            </w:r>
            <w:r w:rsidR="00AB0A9F">
              <w:rPr>
                <w:noProof/>
                <w:webHidden/>
              </w:rPr>
            </w:r>
            <w:r w:rsidR="00AB0A9F">
              <w:rPr>
                <w:noProof/>
                <w:webHidden/>
              </w:rPr>
              <w:fldChar w:fldCharType="separate"/>
            </w:r>
            <w:r w:rsidR="00AB0A9F">
              <w:rPr>
                <w:noProof/>
                <w:webHidden/>
              </w:rPr>
              <w:t>1</w:t>
            </w:r>
            <w:r w:rsidR="00AB0A9F">
              <w:rPr>
                <w:noProof/>
                <w:webHidden/>
              </w:rPr>
              <w:fldChar w:fldCharType="end"/>
            </w:r>
          </w:hyperlink>
        </w:p>
        <w:p w:rsidR="00AB0A9F" w:rsidRDefault="00D170E3">
          <w:pPr>
            <w:pStyle w:val="TOC3"/>
            <w:tabs>
              <w:tab w:val="left" w:pos="1320"/>
              <w:tab w:val="right" w:leader="dot" w:pos="9350"/>
            </w:tabs>
            <w:rPr>
              <w:rFonts w:eastAsiaTheme="minorEastAsia"/>
              <w:noProof/>
            </w:rPr>
          </w:pPr>
          <w:hyperlink w:anchor="_Toc485828433" w:history="1">
            <w:r w:rsidR="00AB0A9F" w:rsidRPr="007D633D">
              <w:rPr>
                <w:rStyle w:val="Hyperlink"/>
                <w:i/>
                <w:iCs/>
                <w:noProof/>
              </w:rPr>
              <w:t>2.2.1.</w:t>
            </w:r>
            <w:r w:rsidR="00AB0A9F">
              <w:rPr>
                <w:rFonts w:eastAsiaTheme="minorEastAsia"/>
                <w:noProof/>
              </w:rPr>
              <w:tab/>
            </w:r>
            <w:r w:rsidR="00AB0A9F" w:rsidRPr="007D633D">
              <w:rPr>
                <w:rStyle w:val="Hyperlink"/>
                <w:noProof/>
                <w:lang w:val="pl-PL"/>
              </w:rPr>
              <w:t>Historia forex</w:t>
            </w:r>
            <w:r w:rsidR="00AB0A9F">
              <w:rPr>
                <w:noProof/>
                <w:webHidden/>
              </w:rPr>
              <w:tab/>
            </w:r>
            <w:r w:rsidR="00AB0A9F">
              <w:rPr>
                <w:noProof/>
                <w:webHidden/>
              </w:rPr>
              <w:fldChar w:fldCharType="begin"/>
            </w:r>
            <w:r w:rsidR="00AB0A9F">
              <w:rPr>
                <w:noProof/>
                <w:webHidden/>
              </w:rPr>
              <w:instrText xml:space="preserve"> PAGEREF _Toc485828433 \h </w:instrText>
            </w:r>
            <w:r w:rsidR="00AB0A9F">
              <w:rPr>
                <w:noProof/>
                <w:webHidden/>
              </w:rPr>
            </w:r>
            <w:r w:rsidR="00AB0A9F">
              <w:rPr>
                <w:noProof/>
                <w:webHidden/>
              </w:rPr>
              <w:fldChar w:fldCharType="separate"/>
            </w:r>
            <w:r w:rsidR="00AB0A9F">
              <w:rPr>
                <w:noProof/>
                <w:webHidden/>
              </w:rPr>
              <w:t>2</w:t>
            </w:r>
            <w:r w:rsidR="00AB0A9F">
              <w:rPr>
                <w:noProof/>
                <w:webHidden/>
              </w:rPr>
              <w:fldChar w:fldCharType="end"/>
            </w:r>
          </w:hyperlink>
        </w:p>
        <w:p w:rsidR="00AB0A9F" w:rsidRDefault="00D170E3">
          <w:pPr>
            <w:pStyle w:val="TOC1"/>
            <w:tabs>
              <w:tab w:val="right" w:leader="dot" w:pos="9350"/>
            </w:tabs>
            <w:rPr>
              <w:rFonts w:eastAsiaTheme="minorEastAsia"/>
              <w:noProof/>
            </w:rPr>
          </w:pPr>
          <w:hyperlink w:anchor="_Toc485828434" w:history="1">
            <w:r w:rsidR="00AB0A9F" w:rsidRPr="007D633D">
              <w:rPr>
                <w:rStyle w:val="Hyperlink"/>
                <w:noProof/>
              </w:rPr>
              <w:t>3. Dane</w:t>
            </w:r>
            <w:r w:rsidR="00AB0A9F">
              <w:rPr>
                <w:noProof/>
                <w:webHidden/>
              </w:rPr>
              <w:tab/>
            </w:r>
            <w:r w:rsidR="00AB0A9F">
              <w:rPr>
                <w:noProof/>
                <w:webHidden/>
              </w:rPr>
              <w:fldChar w:fldCharType="begin"/>
            </w:r>
            <w:r w:rsidR="00AB0A9F">
              <w:rPr>
                <w:noProof/>
                <w:webHidden/>
              </w:rPr>
              <w:instrText xml:space="preserve"> PAGEREF _Toc485828434 \h </w:instrText>
            </w:r>
            <w:r w:rsidR="00AB0A9F">
              <w:rPr>
                <w:noProof/>
                <w:webHidden/>
              </w:rPr>
            </w:r>
            <w:r w:rsidR="00AB0A9F">
              <w:rPr>
                <w:noProof/>
                <w:webHidden/>
              </w:rPr>
              <w:fldChar w:fldCharType="separate"/>
            </w:r>
            <w:r w:rsidR="00AB0A9F">
              <w:rPr>
                <w:noProof/>
                <w:webHidden/>
              </w:rPr>
              <w:t>2</w:t>
            </w:r>
            <w:r w:rsidR="00AB0A9F">
              <w:rPr>
                <w:noProof/>
                <w:webHidden/>
              </w:rPr>
              <w:fldChar w:fldCharType="end"/>
            </w:r>
          </w:hyperlink>
        </w:p>
        <w:p w:rsidR="00AB0A9F" w:rsidRDefault="00D170E3">
          <w:pPr>
            <w:pStyle w:val="TOC1"/>
            <w:tabs>
              <w:tab w:val="right" w:leader="dot" w:pos="9350"/>
            </w:tabs>
            <w:rPr>
              <w:rFonts w:eastAsiaTheme="minorEastAsia"/>
              <w:noProof/>
            </w:rPr>
          </w:pPr>
          <w:hyperlink w:anchor="_Toc485828435" w:history="1">
            <w:r w:rsidR="00AB0A9F" w:rsidRPr="007D633D">
              <w:rPr>
                <w:rStyle w:val="Hyperlink"/>
                <w:noProof/>
              </w:rPr>
              <w:t>4. Model</w:t>
            </w:r>
            <w:r w:rsidR="00AB0A9F">
              <w:rPr>
                <w:noProof/>
                <w:webHidden/>
              </w:rPr>
              <w:tab/>
            </w:r>
            <w:r w:rsidR="00AB0A9F">
              <w:rPr>
                <w:noProof/>
                <w:webHidden/>
              </w:rPr>
              <w:fldChar w:fldCharType="begin"/>
            </w:r>
            <w:r w:rsidR="00AB0A9F">
              <w:rPr>
                <w:noProof/>
                <w:webHidden/>
              </w:rPr>
              <w:instrText xml:space="preserve"> PAGEREF _Toc485828435 \h </w:instrText>
            </w:r>
            <w:r w:rsidR="00AB0A9F">
              <w:rPr>
                <w:noProof/>
                <w:webHidden/>
              </w:rPr>
            </w:r>
            <w:r w:rsidR="00AB0A9F">
              <w:rPr>
                <w:noProof/>
                <w:webHidden/>
              </w:rPr>
              <w:fldChar w:fldCharType="separate"/>
            </w:r>
            <w:r w:rsidR="00AB0A9F">
              <w:rPr>
                <w:noProof/>
                <w:webHidden/>
              </w:rPr>
              <w:t>2</w:t>
            </w:r>
            <w:r w:rsidR="00AB0A9F">
              <w:rPr>
                <w:noProof/>
                <w:webHidden/>
              </w:rPr>
              <w:fldChar w:fldCharType="end"/>
            </w:r>
          </w:hyperlink>
        </w:p>
        <w:p w:rsidR="00AB0A9F" w:rsidRDefault="00D170E3">
          <w:pPr>
            <w:pStyle w:val="TOC1"/>
            <w:tabs>
              <w:tab w:val="right" w:leader="dot" w:pos="9350"/>
            </w:tabs>
            <w:rPr>
              <w:rFonts w:eastAsiaTheme="minorEastAsia"/>
              <w:noProof/>
            </w:rPr>
          </w:pPr>
          <w:hyperlink w:anchor="_Toc485828436" w:history="1">
            <w:r w:rsidR="00AB0A9F" w:rsidRPr="007D633D">
              <w:rPr>
                <w:rStyle w:val="Hyperlink"/>
                <w:noProof/>
              </w:rPr>
              <w:t>5. Eksperymenty i rezultaty</w:t>
            </w:r>
            <w:r w:rsidR="00AB0A9F">
              <w:rPr>
                <w:noProof/>
                <w:webHidden/>
              </w:rPr>
              <w:tab/>
            </w:r>
            <w:r w:rsidR="00AB0A9F">
              <w:rPr>
                <w:noProof/>
                <w:webHidden/>
              </w:rPr>
              <w:fldChar w:fldCharType="begin"/>
            </w:r>
            <w:r w:rsidR="00AB0A9F">
              <w:rPr>
                <w:noProof/>
                <w:webHidden/>
              </w:rPr>
              <w:instrText xml:space="preserve"> PAGEREF _Toc485828436 \h </w:instrText>
            </w:r>
            <w:r w:rsidR="00AB0A9F">
              <w:rPr>
                <w:noProof/>
                <w:webHidden/>
              </w:rPr>
            </w:r>
            <w:r w:rsidR="00AB0A9F">
              <w:rPr>
                <w:noProof/>
                <w:webHidden/>
              </w:rPr>
              <w:fldChar w:fldCharType="separate"/>
            </w:r>
            <w:r w:rsidR="00AB0A9F">
              <w:rPr>
                <w:noProof/>
                <w:webHidden/>
              </w:rPr>
              <w:t>2</w:t>
            </w:r>
            <w:r w:rsidR="00AB0A9F">
              <w:rPr>
                <w:noProof/>
                <w:webHidden/>
              </w:rPr>
              <w:fldChar w:fldCharType="end"/>
            </w:r>
          </w:hyperlink>
        </w:p>
        <w:p w:rsidR="00AE486C" w:rsidRDefault="00AE486C">
          <w:r>
            <w:rPr>
              <w:b/>
              <w:bCs/>
              <w:noProof/>
            </w:rPr>
            <w:fldChar w:fldCharType="end"/>
          </w:r>
        </w:p>
      </w:sdtContent>
    </w:sdt>
    <w:p w:rsidR="00F006D7" w:rsidRPr="00F006D7" w:rsidRDefault="00F006D7" w:rsidP="00F006D7"/>
    <w:p w:rsidR="00F006D7" w:rsidRDefault="00F006D7" w:rsidP="00F006D7"/>
    <w:p w:rsidR="00F006D7" w:rsidRDefault="00F006D7" w:rsidP="00AE486C">
      <w:pPr>
        <w:pStyle w:val="Heading1"/>
        <w:numPr>
          <w:ilvl w:val="0"/>
          <w:numId w:val="8"/>
        </w:numPr>
      </w:pPr>
      <w:bookmarkStart w:id="0" w:name="_Toc485828429"/>
      <w:proofErr w:type="spellStart"/>
      <w:r>
        <w:t>Wstęp</w:t>
      </w:r>
      <w:bookmarkEnd w:id="0"/>
      <w:proofErr w:type="spellEnd"/>
    </w:p>
    <w:p w:rsidR="00F006D7" w:rsidRDefault="00F006D7" w:rsidP="00AE486C">
      <w:pPr>
        <w:pStyle w:val="Heading1"/>
        <w:numPr>
          <w:ilvl w:val="0"/>
          <w:numId w:val="8"/>
        </w:numPr>
      </w:pPr>
      <w:bookmarkStart w:id="1" w:name="_Toc485828430"/>
      <w:proofErr w:type="spellStart"/>
      <w:r>
        <w:t>Predykcja</w:t>
      </w:r>
      <w:proofErr w:type="spellEnd"/>
      <w:r>
        <w:t xml:space="preserve"> </w:t>
      </w:r>
      <w:proofErr w:type="spellStart"/>
      <w:r>
        <w:t>rynków</w:t>
      </w:r>
      <w:bookmarkEnd w:id="1"/>
      <w:proofErr w:type="spellEnd"/>
    </w:p>
    <w:p w:rsidR="00F228B3" w:rsidRDefault="00F228B3" w:rsidP="00AE486C">
      <w:pPr>
        <w:pStyle w:val="Heading2"/>
        <w:numPr>
          <w:ilvl w:val="1"/>
          <w:numId w:val="8"/>
        </w:numPr>
        <w:rPr>
          <w:lang w:val="pl-PL"/>
        </w:rPr>
      </w:pPr>
      <w:bookmarkStart w:id="2" w:name="_Toc485828431"/>
      <w:r>
        <w:rPr>
          <w:lang w:val="pl-PL"/>
        </w:rPr>
        <w:t>Przewidywanie rynków</w:t>
      </w:r>
      <w:bookmarkEnd w:id="2"/>
    </w:p>
    <w:p w:rsidR="00F006D7" w:rsidRDefault="00F006D7" w:rsidP="00230DDC">
      <w:pPr>
        <w:tabs>
          <w:tab w:val="left" w:pos="2130"/>
        </w:tabs>
        <w:ind w:left="720"/>
        <w:rPr>
          <w:lang w:val="pl-PL"/>
        </w:rPr>
      </w:pPr>
      <w:r w:rsidRPr="005B08E6">
        <w:rPr>
          <w:lang w:val="pl-PL"/>
        </w:rPr>
        <w:t>Dokładna predykcja rynków walutowych jest bardzo trudna i skomplikowana ponieważ na ruch ceny składa się wiele czynników takich jak inflacja, polityka monetarna, wzrost gospodarczy kraju, wydarzenia polityczne, czynniki naturalne czy korelacja z innymi rynkami takimi</w:t>
      </w:r>
      <w:r w:rsidR="00F12B20">
        <w:rPr>
          <w:lang w:val="pl-PL"/>
        </w:rPr>
        <w:t xml:space="preserve"> </w:t>
      </w:r>
      <w:r w:rsidRPr="005B08E6">
        <w:rPr>
          <w:lang w:val="pl-PL"/>
        </w:rPr>
        <w:t xml:space="preserve"> jak złoto czy ropa. </w:t>
      </w:r>
      <w:r w:rsidR="00F12B20">
        <w:rPr>
          <w:lang w:val="pl-PL"/>
        </w:rPr>
        <w:t xml:space="preserve">Do określenia zachowania ceny używa się metod należących do dziedziny analizy fundamentalen oraz analizy technicznej które w połączeniu z </w:t>
      </w:r>
      <w:r w:rsidRPr="005B08E6">
        <w:rPr>
          <w:lang w:val="pl-PL"/>
        </w:rPr>
        <w:t xml:space="preserve"> użyciem odpowiednich technik uczenia maszynowego jak sztuczne sieci neuronowe, drzewa czy algorytmy generyczne </w:t>
      </w:r>
      <w:r w:rsidR="00F12B20">
        <w:rPr>
          <w:lang w:val="pl-PL"/>
        </w:rPr>
        <w:t xml:space="preserve">daja możliwość określenia </w:t>
      </w:r>
      <w:r w:rsidRPr="005B08E6">
        <w:rPr>
          <w:lang w:val="pl-PL"/>
        </w:rPr>
        <w:t>przybliżone</w:t>
      </w:r>
      <w:r w:rsidR="00F12B20">
        <w:rPr>
          <w:lang w:val="pl-PL"/>
        </w:rPr>
        <w:t>j</w:t>
      </w:r>
      <w:r w:rsidRPr="005B08E6">
        <w:rPr>
          <w:lang w:val="pl-PL"/>
        </w:rPr>
        <w:t xml:space="preserve"> wartości ceny czy kierunku jej przyszłego ruchu</w:t>
      </w:r>
      <w:r w:rsidR="00F12B20">
        <w:rPr>
          <w:lang w:val="pl-PL"/>
        </w:rPr>
        <w:t xml:space="preserve"> za pomocą komputera, wyręczając tymsamym czlowieka przynajmniej przy w wstępniej analizie danych </w:t>
      </w:r>
      <w:r w:rsidRPr="005B08E6">
        <w:rPr>
          <w:lang w:val="pl-PL"/>
        </w:rPr>
        <w:t xml:space="preserve">. </w:t>
      </w:r>
    </w:p>
    <w:p w:rsidR="001C3592" w:rsidRDefault="001C3592" w:rsidP="001C3592">
      <w:pPr>
        <w:pStyle w:val="Heading2"/>
        <w:numPr>
          <w:ilvl w:val="1"/>
          <w:numId w:val="8"/>
        </w:numPr>
        <w:rPr>
          <w:lang w:val="pl-PL"/>
        </w:rPr>
      </w:pPr>
      <w:r>
        <w:rPr>
          <w:lang w:val="pl-PL"/>
        </w:rPr>
        <w:t xml:space="preserve">Rodzaje rynków </w:t>
      </w:r>
      <w:r w:rsidR="00D170E3">
        <w:rPr>
          <w:lang w:val="pl-PL"/>
        </w:rPr>
        <w:t>finansowych</w:t>
      </w:r>
    </w:p>
    <w:p w:rsidR="00D170E3" w:rsidRDefault="00D170E3" w:rsidP="00D170E3">
      <w:pPr>
        <w:ind w:left="720"/>
        <w:rPr>
          <w:lang w:val="pl-PL"/>
        </w:rPr>
      </w:pPr>
      <w:r>
        <w:rPr>
          <w:lang w:val="pl-PL"/>
        </w:rPr>
        <w:t>Rynki finansowe to miejsca gdzie zawierane są transakcje kupna sprzedaży na określonych instrumentach. Wyróżniamy następujące rynki finansowe:</w:t>
      </w:r>
    </w:p>
    <w:p w:rsidR="00D170E3" w:rsidRDefault="00D170E3" w:rsidP="00D170E3">
      <w:pPr>
        <w:pStyle w:val="ListParagraph"/>
        <w:numPr>
          <w:ilvl w:val="0"/>
          <w:numId w:val="19"/>
        </w:numPr>
        <w:rPr>
          <w:lang w:val="pl-PL"/>
        </w:rPr>
      </w:pPr>
      <w:r>
        <w:rPr>
          <w:lang w:val="pl-PL"/>
        </w:rPr>
        <w:t>Rynki kapitałowe -  należ ą do nich giełdy i rynki obligacji,</w:t>
      </w:r>
    </w:p>
    <w:p w:rsidR="00D170E3" w:rsidRDefault="00D170E3" w:rsidP="00D170E3">
      <w:pPr>
        <w:pStyle w:val="ListParagraph"/>
        <w:numPr>
          <w:ilvl w:val="0"/>
          <w:numId w:val="19"/>
        </w:numPr>
        <w:rPr>
          <w:lang w:val="pl-PL"/>
        </w:rPr>
      </w:pPr>
      <w:r>
        <w:rPr>
          <w:lang w:val="pl-PL"/>
        </w:rPr>
        <w:t>Rynki towarowe – upraszczają handel towarami,</w:t>
      </w:r>
    </w:p>
    <w:p w:rsidR="00D170E3" w:rsidRDefault="00D170E3" w:rsidP="00D170E3">
      <w:pPr>
        <w:pStyle w:val="ListParagraph"/>
        <w:numPr>
          <w:ilvl w:val="0"/>
          <w:numId w:val="19"/>
        </w:numPr>
        <w:rPr>
          <w:lang w:val="pl-PL"/>
        </w:rPr>
      </w:pPr>
      <w:r>
        <w:rPr>
          <w:lang w:val="pl-PL"/>
        </w:rPr>
        <w:t>Rynki pienięzne – umożliwiają uzyskanie dodatkowego finansowania inwestycji czy zadłużania</w:t>
      </w:r>
    </w:p>
    <w:p w:rsidR="00D170E3" w:rsidRDefault="00D170E3" w:rsidP="00D170E3">
      <w:pPr>
        <w:pStyle w:val="ListParagraph"/>
        <w:numPr>
          <w:ilvl w:val="0"/>
          <w:numId w:val="19"/>
        </w:numPr>
        <w:rPr>
          <w:lang w:val="pl-PL"/>
        </w:rPr>
      </w:pPr>
      <w:r>
        <w:rPr>
          <w:lang w:val="pl-PL"/>
        </w:rPr>
        <w:lastRenderedPageBreak/>
        <w:t>Rynki instrumentow pochodnych -</w:t>
      </w:r>
    </w:p>
    <w:p w:rsidR="00D170E3" w:rsidRDefault="00D170E3" w:rsidP="00D170E3">
      <w:pPr>
        <w:pStyle w:val="ListParagraph"/>
        <w:numPr>
          <w:ilvl w:val="0"/>
          <w:numId w:val="19"/>
        </w:numPr>
        <w:rPr>
          <w:lang w:val="pl-PL"/>
        </w:rPr>
      </w:pPr>
      <w:r>
        <w:rPr>
          <w:lang w:val="pl-PL"/>
        </w:rPr>
        <w:t>Rynki futures -</w:t>
      </w:r>
    </w:p>
    <w:p w:rsidR="00D170E3" w:rsidRDefault="00D170E3" w:rsidP="00D170E3">
      <w:pPr>
        <w:pStyle w:val="ListParagraph"/>
        <w:numPr>
          <w:ilvl w:val="0"/>
          <w:numId w:val="19"/>
        </w:numPr>
        <w:rPr>
          <w:lang w:val="pl-PL"/>
        </w:rPr>
      </w:pPr>
      <w:r>
        <w:rPr>
          <w:lang w:val="pl-PL"/>
        </w:rPr>
        <w:t>Rynki ubezpieczeniowe -</w:t>
      </w:r>
    </w:p>
    <w:p w:rsidR="00D170E3" w:rsidRPr="00D170E3" w:rsidRDefault="00D170E3" w:rsidP="00D170E3">
      <w:pPr>
        <w:pStyle w:val="ListParagraph"/>
        <w:numPr>
          <w:ilvl w:val="0"/>
          <w:numId w:val="19"/>
        </w:numPr>
        <w:rPr>
          <w:lang w:val="pl-PL"/>
        </w:rPr>
      </w:pPr>
      <w:r>
        <w:rPr>
          <w:lang w:val="pl-PL"/>
        </w:rPr>
        <w:t xml:space="preserve">Rynki walutowe – </w:t>
      </w:r>
      <w:bookmarkStart w:id="3" w:name="_GoBack"/>
      <w:bookmarkEnd w:id="3"/>
    </w:p>
    <w:p w:rsidR="0009643C" w:rsidRPr="0009643C" w:rsidRDefault="0009643C" w:rsidP="0009643C">
      <w:pPr>
        <w:ind w:left="720"/>
        <w:rPr>
          <w:lang w:val="pl-PL"/>
        </w:rPr>
      </w:pPr>
    </w:p>
    <w:p w:rsidR="00AE486C" w:rsidRPr="005B08E6" w:rsidRDefault="00AE486C" w:rsidP="00AE486C">
      <w:pPr>
        <w:pStyle w:val="Heading2"/>
        <w:numPr>
          <w:ilvl w:val="1"/>
          <w:numId w:val="8"/>
        </w:numPr>
        <w:rPr>
          <w:lang w:val="pl-PL"/>
        </w:rPr>
      </w:pPr>
      <w:bookmarkStart w:id="4" w:name="_Toc485828432"/>
      <w:r>
        <w:rPr>
          <w:lang w:val="pl-PL"/>
        </w:rPr>
        <w:t>Rynek Forex</w:t>
      </w:r>
      <w:bookmarkEnd w:id="4"/>
    </w:p>
    <w:p w:rsidR="00AE486C" w:rsidRDefault="00F006D7" w:rsidP="00AE486C">
      <w:pPr>
        <w:tabs>
          <w:tab w:val="left" w:pos="2130"/>
        </w:tabs>
        <w:ind w:left="720"/>
        <w:rPr>
          <w:lang w:val="pl-PL"/>
        </w:rPr>
      </w:pPr>
      <w:r w:rsidRPr="005B08E6">
        <w:rPr>
          <w:lang w:val="pl-PL"/>
        </w:rPr>
        <w:t xml:space="preserve">Foregin Exchange Market częściej nazywany jak Forex (ang. Foregin Exchange) jest to największy na świecie rynek walutowy gdzie rządy, banki centralne, maklerzy i inni inwestorzy wykonują operacje wymiany walut. Początkowo tylko wielkie i bogate podmioty handlowe miały możliwość użytkowania rynku Forex jednak z przyjściem I popularyzacją internetu możliwość tą otrzymali również przeciętni ludzie, którzy mogą teraz podejmować decyzje inwestycyjne nie wstając od komputera. Rynek ten będzie funkcjonował tak długo jak ludzie będą używali walut. Otwarty 24 godziny na dobę, a większość platform inwestycyjnych umożliwiających wykonywanie inwestycji dla zwykłych osób jest czynna od 22:00 GMT w niedzielę do 22:00 GMT piątek. Handel odbywa się tam w różnych sesjach handlowych : azjatyckiej, amerykańskiej I europejskiej przez cały czas pomijając weekendy oraz podczas ważnych świąt. Każda waluta na forex jest oznaczona spejcalnym trzyliterowym kodem według norm ISO przykładowo euro to EUR a dolar amerykański to USD. Notowania są mierzone w dokładności do 1 pip (ang. Price Interest Point) I jest to najmniejsza wartość zmiany jaka może nastąpić w cenie danje waluty. Dla większości walut pip wynosi 0,0001 część całości np. 3,5212. </w:t>
      </w:r>
    </w:p>
    <w:p w:rsidR="00AE486C" w:rsidRPr="00AE486C" w:rsidRDefault="00AE486C" w:rsidP="00AE486C">
      <w:pPr>
        <w:pStyle w:val="Heading3"/>
        <w:numPr>
          <w:ilvl w:val="2"/>
          <w:numId w:val="8"/>
        </w:numPr>
        <w:rPr>
          <w:lang w:val="pl-PL"/>
        </w:rPr>
      </w:pPr>
      <w:bookmarkStart w:id="5" w:name="_Toc485828433"/>
      <w:r>
        <w:rPr>
          <w:lang w:val="pl-PL"/>
        </w:rPr>
        <w:t>Historia forex</w:t>
      </w:r>
      <w:bookmarkEnd w:id="5"/>
    </w:p>
    <w:p w:rsidR="00F006D7" w:rsidRPr="00AE486C" w:rsidRDefault="00F006D7" w:rsidP="003B6EA6">
      <w:pPr>
        <w:tabs>
          <w:tab w:val="left" w:pos="2130"/>
        </w:tabs>
        <w:ind w:left="720"/>
        <w:rPr>
          <w:lang w:val="pl-PL"/>
        </w:rPr>
      </w:pPr>
      <w:r w:rsidRPr="00AE486C">
        <w:rPr>
          <w:lang w:val="pl-PL"/>
        </w:rPr>
        <w:t>http://www.investopedia.com/walkthrough/forex/beginner/level2/history.aspx</w:t>
      </w:r>
    </w:p>
    <w:p w:rsidR="00F006D7" w:rsidRPr="005B08E6" w:rsidRDefault="00F006D7" w:rsidP="003B6EA6">
      <w:pPr>
        <w:tabs>
          <w:tab w:val="left" w:pos="2130"/>
        </w:tabs>
        <w:ind w:left="720"/>
        <w:rPr>
          <w:lang w:val="pl-PL"/>
        </w:rPr>
      </w:pPr>
      <w:r w:rsidRPr="005B08E6">
        <w:rPr>
          <w:lang w:val="pl-PL"/>
        </w:rPr>
        <w:t>Początki rynku forex sięgają od roku 1875 do czasów II wojny światowej. Już wtedy pieniądz papierowy wyparł złoto jako walutę handlu, bazując na systemie waluty złotej (ang. gold standard monetary system), co oznaczało że każdy ilość waluty wypuszczanej do obiegu w kraju musiała mieć pokrycie w złocie, wprowadzało to pewne ograniczenia jednak gwarantowalo również dużą stabilność waluty. Różnica w cenie uncji złota określonych dwóch walut stanowiła wtedy przelicznik wymiany dla tych dwóch walut. Model ten miał poważną wadę kiedy wzrost importu w kraju powodował wyczerpania rezerw złota. Zmiana nastąpiłą podczas konferencji w Bretton Woods w 1944 gdzie kraje członkowskie ustaliły:</w:t>
      </w:r>
    </w:p>
    <w:p w:rsidR="00F006D7" w:rsidRPr="00230DDC" w:rsidRDefault="00F006D7" w:rsidP="00230DDC">
      <w:pPr>
        <w:pStyle w:val="ListParagraph"/>
        <w:numPr>
          <w:ilvl w:val="0"/>
          <w:numId w:val="7"/>
        </w:numPr>
        <w:tabs>
          <w:tab w:val="left" w:pos="2130"/>
        </w:tabs>
        <w:rPr>
          <w:lang w:val="pl-PL"/>
        </w:rPr>
      </w:pPr>
      <w:r w:rsidRPr="00230DDC">
        <w:rPr>
          <w:lang w:val="pl-PL"/>
        </w:rPr>
        <w:t>metode stałych kursów wymiany</w:t>
      </w:r>
    </w:p>
    <w:p w:rsidR="00F006D7" w:rsidRPr="00230DDC" w:rsidRDefault="00F006D7" w:rsidP="00230DDC">
      <w:pPr>
        <w:pStyle w:val="ListParagraph"/>
        <w:numPr>
          <w:ilvl w:val="0"/>
          <w:numId w:val="7"/>
        </w:numPr>
        <w:tabs>
          <w:tab w:val="left" w:pos="2130"/>
        </w:tabs>
        <w:rPr>
          <w:lang w:val="pl-PL"/>
        </w:rPr>
      </w:pPr>
      <w:r w:rsidRPr="00230DDC">
        <w:rPr>
          <w:lang w:val="pl-PL"/>
        </w:rPr>
        <w:t>U.S Dollar zastąpił złoto I kraje miały utzymać wartość swoich walut w niewielkiej róznicy do ceny dolara</w:t>
      </w:r>
    </w:p>
    <w:p w:rsidR="00F006D7" w:rsidRDefault="00F006D7" w:rsidP="00230DDC">
      <w:pPr>
        <w:pStyle w:val="ListParagraph"/>
        <w:numPr>
          <w:ilvl w:val="0"/>
          <w:numId w:val="7"/>
        </w:numPr>
        <w:tabs>
          <w:tab w:val="left" w:pos="2130"/>
        </w:tabs>
      </w:pPr>
      <w:proofErr w:type="spellStart"/>
      <w:r>
        <w:t>Utworzone</w:t>
      </w:r>
      <w:proofErr w:type="spellEnd"/>
      <w:r>
        <w:t xml:space="preserve"> </w:t>
      </w:r>
      <w:proofErr w:type="spellStart"/>
      <w:r>
        <w:t>zostały</w:t>
      </w:r>
      <w:proofErr w:type="spellEnd"/>
      <w:r>
        <w:t xml:space="preserve"> 3 </w:t>
      </w:r>
      <w:proofErr w:type="spellStart"/>
      <w:r>
        <w:t>międzynarodowe</w:t>
      </w:r>
      <w:proofErr w:type="spellEnd"/>
      <w:r>
        <w:t xml:space="preserve"> </w:t>
      </w:r>
      <w:proofErr w:type="spellStart"/>
      <w:r>
        <w:t>agencje</w:t>
      </w:r>
      <w:proofErr w:type="spellEnd"/>
      <w:r>
        <w:t xml:space="preserve"> do </w:t>
      </w:r>
      <w:proofErr w:type="spellStart"/>
      <w:r>
        <w:t>nadzoru</w:t>
      </w:r>
      <w:proofErr w:type="spellEnd"/>
      <w:r>
        <w:t xml:space="preserve"> </w:t>
      </w:r>
      <w:proofErr w:type="spellStart"/>
      <w:r>
        <w:t>aktywności</w:t>
      </w:r>
      <w:proofErr w:type="spellEnd"/>
      <w:r>
        <w:t xml:space="preserve"> </w:t>
      </w:r>
      <w:proofErr w:type="spellStart"/>
      <w:r>
        <w:t>ekonomicznej</w:t>
      </w:r>
      <w:proofErr w:type="spellEnd"/>
      <w:r>
        <w:t>: International Monetary Fund (IMF), International Bank for Reconstruction and Development, and the General Agreement on Tariffs and Trade (GATT).</w:t>
      </w:r>
    </w:p>
    <w:p w:rsidR="00E315B2" w:rsidRDefault="00F006D7" w:rsidP="00F75A9E">
      <w:pPr>
        <w:tabs>
          <w:tab w:val="left" w:pos="2130"/>
        </w:tabs>
        <w:ind w:left="720"/>
        <w:rPr>
          <w:lang w:val="pl-PL"/>
        </w:rPr>
      </w:pPr>
      <w:r w:rsidRPr="005B08E6">
        <w:rPr>
          <w:lang w:val="pl-PL"/>
        </w:rPr>
        <w:lastRenderedPageBreak/>
        <w:t>Po tej konferencji dolar amerykanski stał się najważniej</w:t>
      </w:r>
      <w:r w:rsidR="00230DDC">
        <w:rPr>
          <w:lang w:val="pl-PL"/>
        </w:rPr>
        <w:t xml:space="preserve">szą walutą świata która miała </w:t>
      </w:r>
      <w:r w:rsidRPr="005B08E6">
        <w:rPr>
          <w:lang w:val="pl-PL"/>
        </w:rPr>
        <w:t>pokrycie w złocie. Jednak model ten dotrwał do lat 70 kiedy Ameryka nie miała dość złota by pokryć wszystkie dolary w biegu,</w:t>
      </w:r>
      <w:r w:rsidR="00230DDC">
        <w:rPr>
          <w:lang w:val="pl-PL"/>
        </w:rPr>
        <w:t xml:space="preserve"> więc w roku 1971 prezyden USA </w:t>
      </w:r>
      <w:r w:rsidRPr="005B08E6">
        <w:rPr>
          <w:lang w:val="pl-PL"/>
        </w:rPr>
        <w:t>Richard Nixon zawiesił wymienialność dolarów na złoto. System wymiany walut pozostał do dziś jedna</w:t>
      </w:r>
      <w:r w:rsidR="00230DDC">
        <w:rPr>
          <w:lang w:val="pl-PL"/>
        </w:rPr>
        <w:t>k nie ma już pokrycia w złocie.</w:t>
      </w:r>
    </w:p>
    <w:p w:rsidR="00F75A9E" w:rsidRDefault="00F75A9E" w:rsidP="00F75A9E">
      <w:pPr>
        <w:pStyle w:val="Heading3"/>
        <w:numPr>
          <w:ilvl w:val="2"/>
          <w:numId w:val="8"/>
        </w:numPr>
        <w:rPr>
          <w:lang w:val="pl-PL"/>
        </w:rPr>
      </w:pPr>
      <w:r>
        <w:rPr>
          <w:lang w:val="pl-PL"/>
        </w:rPr>
        <w:t>Pary walutowe</w:t>
      </w:r>
    </w:p>
    <w:p w:rsidR="00F75A9E" w:rsidRDefault="00F75A9E" w:rsidP="00F75A9E">
      <w:pPr>
        <w:ind w:left="720"/>
        <w:rPr>
          <w:lang w:val="pl-PL"/>
        </w:rPr>
      </w:pPr>
      <w:r>
        <w:rPr>
          <w:lang w:val="pl-PL"/>
        </w:rPr>
        <w:t xml:space="preserve">Aby wykonywać transkacje handlowe z użyciem walut na rynku forex należy znać ich wartość, którą określa się  w porównaniu do innej waluty. </w:t>
      </w:r>
      <w:r w:rsidR="00DE1819">
        <w:rPr>
          <w:lang w:val="pl-PL"/>
        </w:rPr>
        <w:t xml:space="preserve"> Przykładowo </w:t>
      </w:r>
      <w:r w:rsidR="00892A51">
        <w:rPr>
          <w:lang w:val="pl-PL"/>
        </w:rPr>
        <w:t>wartość euro do złotkówki</w:t>
      </w:r>
      <w:r w:rsidR="00DE1819">
        <w:rPr>
          <w:lang w:val="pl-PL"/>
        </w:rPr>
        <w:t xml:space="preserve">  4.23 oznacza że 1 euro jest warty 4.23 złotego,  </w:t>
      </w:r>
      <w:r w:rsidR="00892A51">
        <w:rPr>
          <w:lang w:val="pl-PL"/>
        </w:rPr>
        <w:t xml:space="preserve">czy wartość euro do dolara </w:t>
      </w:r>
      <w:r w:rsidR="00DE1819">
        <w:rPr>
          <w:lang w:val="pl-PL"/>
        </w:rPr>
        <w:t xml:space="preserve"> 1.2 oznacza że jeden euro jest warty 1.2 dolara amerykańskiego.</w:t>
      </w:r>
      <w:r w:rsidR="00892A51">
        <w:rPr>
          <w:lang w:val="pl-PL"/>
        </w:rPr>
        <w:t xml:space="preserve"> Porównania w taki sposób różnych walut tworzą pary walutowe EUR/PLN</w:t>
      </w:r>
      <w:r w:rsidR="00F12B20">
        <w:rPr>
          <w:lang w:val="pl-PL"/>
        </w:rPr>
        <w:t xml:space="preserve"> o kursie 4.23</w:t>
      </w:r>
      <w:r w:rsidR="00892A51">
        <w:rPr>
          <w:lang w:val="pl-PL"/>
        </w:rPr>
        <w:t xml:space="preserve"> czy jedna z najpopularniejszych EUR/USD</w:t>
      </w:r>
      <w:r w:rsidR="00F12B20">
        <w:rPr>
          <w:lang w:val="pl-PL"/>
        </w:rPr>
        <w:t xml:space="preserve"> o kursie 1.2</w:t>
      </w:r>
      <w:r w:rsidR="00892A51">
        <w:rPr>
          <w:lang w:val="pl-PL"/>
        </w:rPr>
        <w:t>.</w:t>
      </w:r>
      <w:r w:rsidR="00F12B20">
        <w:rPr>
          <w:lang w:val="pl-PL"/>
        </w:rPr>
        <w:t xml:space="preserve"> Walutę pierwszą w parze walutowej nazywamy walutą bazową, natomiast drugą walutą  kwotowaną. </w:t>
      </w:r>
    </w:p>
    <w:p w:rsidR="00AF1658" w:rsidRDefault="00AF1658" w:rsidP="00F75A9E">
      <w:pPr>
        <w:ind w:left="720"/>
        <w:rPr>
          <w:lang w:val="pl-PL"/>
        </w:rPr>
      </w:pPr>
    </w:p>
    <w:p w:rsidR="00AF1658" w:rsidRDefault="00AF1658" w:rsidP="00F75A9E">
      <w:pPr>
        <w:ind w:left="720"/>
        <w:rPr>
          <w:lang w:val="pl-PL"/>
        </w:rPr>
      </w:pPr>
    </w:p>
    <w:p w:rsidR="00AF1658" w:rsidRDefault="00AF1658" w:rsidP="00F75A9E">
      <w:pPr>
        <w:ind w:left="720"/>
        <w:rPr>
          <w:lang w:val="pl-PL"/>
        </w:rPr>
      </w:pPr>
      <w:r>
        <w:rPr>
          <w:lang w:val="pl-PL"/>
        </w:rPr>
        <w:t>Wyróżniane są trzy podstawowe typt walut:</w:t>
      </w:r>
    </w:p>
    <w:p w:rsidR="00AF1658" w:rsidRDefault="00AF1658" w:rsidP="00450B22">
      <w:pPr>
        <w:pStyle w:val="ListParagraph"/>
        <w:numPr>
          <w:ilvl w:val="0"/>
          <w:numId w:val="13"/>
        </w:numPr>
        <w:rPr>
          <w:lang w:val="pl-PL"/>
        </w:rPr>
      </w:pPr>
      <w:r>
        <w:rPr>
          <w:lang w:val="pl-PL"/>
        </w:rPr>
        <w:t>Głowne</w:t>
      </w:r>
      <w:r w:rsidR="00450B22">
        <w:rPr>
          <w:lang w:val="pl-PL"/>
        </w:rPr>
        <w:t xml:space="preserve"> – są </w:t>
      </w:r>
      <w:r w:rsidR="002C1E16">
        <w:rPr>
          <w:lang w:val="pl-PL"/>
        </w:rPr>
        <w:t>wszystkie pary odnoszące się do</w:t>
      </w:r>
      <w:r w:rsidR="00450B22">
        <w:rPr>
          <w:lang w:val="pl-PL"/>
        </w:rPr>
        <w:t xml:space="preserve"> dolata amerykańskiego po jednej ze strony kwotoweanej lub bazowej. Głowne pary z racji że są najczęsciej używane wyróżniają się wysoką płynnością oraz niskimi kosztami transakcji. Transakcje dotyczące par z tej kategorii stanowią większość transakcji na rynku forex.</w:t>
      </w:r>
    </w:p>
    <w:tbl>
      <w:tblPr>
        <w:tblStyle w:val="TableGrid"/>
        <w:tblW w:w="0" w:type="auto"/>
        <w:tblInd w:w="1440" w:type="dxa"/>
        <w:tblLook w:val="04A0" w:firstRow="1" w:lastRow="0" w:firstColumn="1" w:lastColumn="0" w:noHBand="0" w:noVBand="1"/>
      </w:tblPr>
      <w:tblGrid>
        <w:gridCol w:w="2624"/>
        <w:gridCol w:w="2971"/>
        <w:gridCol w:w="2541"/>
      </w:tblGrid>
      <w:tr w:rsidR="00450B22" w:rsidTr="00450B22">
        <w:tc>
          <w:tcPr>
            <w:tcW w:w="3192" w:type="dxa"/>
          </w:tcPr>
          <w:p w:rsidR="00450B22" w:rsidRDefault="00450B22" w:rsidP="00450B22">
            <w:pPr>
              <w:pStyle w:val="ListParagraph"/>
              <w:ind w:left="0"/>
              <w:jc w:val="center"/>
              <w:rPr>
                <w:lang w:val="pl-PL"/>
              </w:rPr>
            </w:pPr>
            <w:r>
              <w:rPr>
                <w:lang w:val="pl-PL"/>
              </w:rPr>
              <w:t>Para</w:t>
            </w:r>
          </w:p>
        </w:tc>
        <w:tc>
          <w:tcPr>
            <w:tcW w:w="3192" w:type="dxa"/>
          </w:tcPr>
          <w:p w:rsidR="00450B22" w:rsidRDefault="00450B22" w:rsidP="00450B22">
            <w:pPr>
              <w:pStyle w:val="ListParagraph"/>
              <w:ind w:left="0"/>
              <w:jc w:val="center"/>
              <w:rPr>
                <w:lang w:val="pl-PL"/>
              </w:rPr>
            </w:pPr>
            <w:r>
              <w:rPr>
                <w:lang w:val="pl-PL"/>
              </w:rPr>
              <w:t>Kraje</w:t>
            </w:r>
          </w:p>
        </w:tc>
        <w:tc>
          <w:tcPr>
            <w:tcW w:w="3192" w:type="dxa"/>
          </w:tcPr>
          <w:p w:rsidR="00450B22" w:rsidRDefault="00450B22" w:rsidP="00450B22">
            <w:pPr>
              <w:pStyle w:val="ListParagraph"/>
              <w:ind w:left="0"/>
              <w:jc w:val="center"/>
              <w:rPr>
                <w:lang w:val="pl-PL"/>
              </w:rPr>
            </w:pPr>
            <w:r>
              <w:rPr>
                <w:lang w:val="pl-PL"/>
              </w:rPr>
              <w:t>Udział % w forex</w:t>
            </w:r>
          </w:p>
        </w:tc>
      </w:tr>
      <w:tr w:rsidR="00450B22" w:rsidTr="00450B22">
        <w:tc>
          <w:tcPr>
            <w:tcW w:w="3192" w:type="dxa"/>
          </w:tcPr>
          <w:p w:rsidR="00450B22" w:rsidRDefault="00450B22" w:rsidP="00450B22">
            <w:pPr>
              <w:pStyle w:val="ListParagraph"/>
              <w:ind w:left="0"/>
              <w:jc w:val="center"/>
              <w:rPr>
                <w:lang w:val="pl-PL"/>
              </w:rPr>
            </w:pPr>
            <w:r>
              <w:rPr>
                <w:lang w:val="pl-PL"/>
              </w:rPr>
              <w:t>USD/EUR</w:t>
            </w:r>
          </w:p>
        </w:tc>
        <w:tc>
          <w:tcPr>
            <w:tcW w:w="3192" w:type="dxa"/>
          </w:tcPr>
          <w:p w:rsidR="00450B22" w:rsidRDefault="00450B22" w:rsidP="00450B22">
            <w:pPr>
              <w:pStyle w:val="ListParagraph"/>
              <w:ind w:left="0"/>
              <w:jc w:val="center"/>
              <w:rPr>
                <w:lang w:val="pl-PL"/>
              </w:rPr>
            </w:pPr>
            <w:r>
              <w:rPr>
                <w:lang w:val="pl-PL"/>
              </w:rPr>
              <w:t>Stany Zjednoczone/Strefa euro</w:t>
            </w:r>
          </w:p>
        </w:tc>
        <w:tc>
          <w:tcPr>
            <w:tcW w:w="3192" w:type="dxa"/>
          </w:tcPr>
          <w:p w:rsidR="00450B22" w:rsidRDefault="00450B22" w:rsidP="00450B22">
            <w:pPr>
              <w:pStyle w:val="ListParagraph"/>
              <w:ind w:left="0"/>
              <w:jc w:val="center"/>
              <w:rPr>
                <w:lang w:val="pl-PL"/>
              </w:rPr>
            </w:pPr>
            <w:r>
              <w:rPr>
                <w:lang w:val="pl-PL"/>
              </w:rPr>
              <w:t>24.1</w:t>
            </w:r>
          </w:p>
        </w:tc>
      </w:tr>
      <w:tr w:rsidR="00450B22" w:rsidTr="00450B22">
        <w:tc>
          <w:tcPr>
            <w:tcW w:w="3192" w:type="dxa"/>
          </w:tcPr>
          <w:p w:rsidR="00450B22" w:rsidRDefault="00450B22" w:rsidP="00450B22">
            <w:pPr>
              <w:pStyle w:val="ListParagraph"/>
              <w:ind w:left="0"/>
              <w:jc w:val="center"/>
              <w:rPr>
                <w:lang w:val="pl-PL"/>
              </w:rPr>
            </w:pPr>
            <w:r>
              <w:rPr>
                <w:lang w:val="pl-PL"/>
              </w:rPr>
              <w:t>USD/JPY</w:t>
            </w:r>
          </w:p>
        </w:tc>
        <w:tc>
          <w:tcPr>
            <w:tcW w:w="3192" w:type="dxa"/>
          </w:tcPr>
          <w:p w:rsidR="00450B22" w:rsidRDefault="00450B22" w:rsidP="00450B22">
            <w:pPr>
              <w:pStyle w:val="ListParagraph"/>
              <w:ind w:left="0"/>
              <w:jc w:val="center"/>
              <w:rPr>
                <w:lang w:val="pl-PL"/>
              </w:rPr>
            </w:pPr>
            <w:r>
              <w:rPr>
                <w:lang w:val="pl-PL"/>
              </w:rPr>
              <w:t>Stany Zjednoczone/Japonia</w:t>
            </w:r>
          </w:p>
        </w:tc>
        <w:tc>
          <w:tcPr>
            <w:tcW w:w="3192" w:type="dxa"/>
          </w:tcPr>
          <w:p w:rsidR="00450B22" w:rsidRDefault="00450B22" w:rsidP="00450B22">
            <w:pPr>
              <w:pStyle w:val="ListParagraph"/>
              <w:ind w:left="0"/>
              <w:jc w:val="center"/>
              <w:rPr>
                <w:lang w:val="pl-PL"/>
              </w:rPr>
            </w:pPr>
            <w:r>
              <w:rPr>
                <w:lang w:val="pl-PL"/>
              </w:rPr>
              <w:t>18.3</w:t>
            </w:r>
          </w:p>
        </w:tc>
      </w:tr>
      <w:tr w:rsidR="00450B22" w:rsidTr="00450B22">
        <w:tc>
          <w:tcPr>
            <w:tcW w:w="3192" w:type="dxa"/>
          </w:tcPr>
          <w:p w:rsidR="00450B22" w:rsidRDefault="00450B22" w:rsidP="00450B22">
            <w:pPr>
              <w:pStyle w:val="ListParagraph"/>
              <w:ind w:left="0"/>
              <w:jc w:val="center"/>
              <w:rPr>
                <w:lang w:val="pl-PL"/>
              </w:rPr>
            </w:pPr>
            <w:r>
              <w:rPr>
                <w:lang w:val="pl-PL"/>
              </w:rPr>
              <w:t>USD/GBP</w:t>
            </w:r>
          </w:p>
        </w:tc>
        <w:tc>
          <w:tcPr>
            <w:tcW w:w="3192" w:type="dxa"/>
          </w:tcPr>
          <w:p w:rsidR="00450B22" w:rsidRDefault="00450B22" w:rsidP="00450B22">
            <w:pPr>
              <w:pStyle w:val="ListParagraph"/>
              <w:ind w:left="0"/>
              <w:jc w:val="center"/>
              <w:rPr>
                <w:lang w:val="pl-PL"/>
              </w:rPr>
            </w:pPr>
            <w:r>
              <w:rPr>
                <w:lang w:val="pl-PL"/>
              </w:rPr>
              <w:t>Stany Zjednoczone/Wielka Brytania</w:t>
            </w:r>
          </w:p>
        </w:tc>
        <w:tc>
          <w:tcPr>
            <w:tcW w:w="3192" w:type="dxa"/>
          </w:tcPr>
          <w:p w:rsidR="00450B22" w:rsidRDefault="00450B22" w:rsidP="00450B22">
            <w:pPr>
              <w:pStyle w:val="ListParagraph"/>
              <w:ind w:left="0"/>
              <w:jc w:val="center"/>
              <w:rPr>
                <w:lang w:val="pl-PL"/>
              </w:rPr>
            </w:pPr>
            <w:r>
              <w:rPr>
                <w:lang w:val="pl-PL"/>
              </w:rPr>
              <w:t>8.8</w:t>
            </w:r>
          </w:p>
        </w:tc>
      </w:tr>
      <w:tr w:rsidR="00450B22" w:rsidTr="00450B22">
        <w:tc>
          <w:tcPr>
            <w:tcW w:w="3192" w:type="dxa"/>
          </w:tcPr>
          <w:p w:rsidR="00450B22" w:rsidRDefault="00450B22" w:rsidP="00450B22">
            <w:pPr>
              <w:pStyle w:val="ListParagraph"/>
              <w:ind w:left="0"/>
              <w:jc w:val="center"/>
              <w:rPr>
                <w:lang w:val="pl-PL"/>
              </w:rPr>
            </w:pPr>
            <w:r>
              <w:rPr>
                <w:lang w:val="pl-PL"/>
              </w:rPr>
              <w:t>USD/AUD</w:t>
            </w:r>
          </w:p>
        </w:tc>
        <w:tc>
          <w:tcPr>
            <w:tcW w:w="3192" w:type="dxa"/>
          </w:tcPr>
          <w:p w:rsidR="00450B22" w:rsidRDefault="00450B22" w:rsidP="00450B22">
            <w:pPr>
              <w:pStyle w:val="ListParagraph"/>
              <w:ind w:left="0"/>
              <w:jc w:val="center"/>
              <w:rPr>
                <w:lang w:val="pl-PL"/>
              </w:rPr>
            </w:pPr>
            <w:r>
              <w:rPr>
                <w:lang w:val="pl-PL"/>
              </w:rPr>
              <w:t>Stany Zjednoczone/Australia</w:t>
            </w:r>
          </w:p>
        </w:tc>
        <w:tc>
          <w:tcPr>
            <w:tcW w:w="3192" w:type="dxa"/>
          </w:tcPr>
          <w:p w:rsidR="00450B22" w:rsidRDefault="00450B22" w:rsidP="00450B22">
            <w:pPr>
              <w:pStyle w:val="ListParagraph"/>
              <w:ind w:left="0"/>
              <w:jc w:val="center"/>
              <w:rPr>
                <w:lang w:val="pl-PL"/>
              </w:rPr>
            </w:pPr>
            <w:r>
              <w:rPr>
                <w:lang w:val="pl-PL"/>
              </w:rPr>
              <w:t>6.8</w:t>
            </w:r>
          </w:p>
        </w:tc>
      </w:tr>
      <w:tr w:rsidR="00450B22" w:rsidTr="00450B22">
        <w:tc>
          <w:tcPr>
            <w:tcW w:w="3192" w:type="dxa"/>
          </w:tcPr>
          <w:p w:rsidR="00450B22" w:rsidRDefault="00450B22" w:rsidP="00450B22">
            <w:pPr>
              <w:pStyle w:val="ListParagraph"/>
              <w:ind w:left="0"/>
              <w:jc w:val="center"/>
              <w:rPr>
                <w:lang w:val="pl-PL"/>
              </w:rPr>
            </w:pPr>
            <w:r>
              <w:rPr>
                <w:lang w:val="pl-PL"/>
              </w:rPr>
              <w:t>USD/CAD</w:t>
            </w:r>
          </w:p>
        </w:tc>
        <w:tc>
          <w:tcPr>
            <w:tcW w:w="3192" w:type="dxa"/>
          </w:tcPr>
          <w:p w:rsidR="00450B22" w:rsidRDefault="00450B22" w:rsidP="00450B22">
            <w:pPr>
              <w:pStyle w:val="ListParagraph"/>
              <w:ind w:left="0"/>
              <w:jc w:val="center"/>
              <w:rPr>
                <w:lang w:val="pl-PL"/>
              </w:rPr>
            </w:pPr>
            <w:r>
              <w:rPr>
                <w:lang w:val="pl-PL"/>
              </w:rPr>
              <w:t>Stany Zjednoczone/Kanada</w:t>
            </w:r>
          </w:p>
        </w:tc>
        <w:tc>
          <w:tcPr>
            <w:tcW w:w="3192" w:type="dxa"/>
          </w:tcPr>
          <w:p w:rsidR="00450B22" w:rsidRDefault="00450B22" w:rsidP="00450B22">
            <w:pPr>
              <w:pStyle w:val="ListParagraph"/>
              <w:ind w:left="0"/>
              <w:jc w:val="center"/>
              <w:rPr>
                <w:lang w:val="pl-PL"/>
              </w:rPr>
            </w:pPr>
            <w:r>
              <w:rPr>
                <w:lang w:val="pl-PL"/>
              </w:rPr>
              <w:t>3.7</w:t>
            </w:r>
          </w:p>
        </w:tc>
      </w:tr>
      <w:tr w:rsidR="00450B22" w:rsidTr="00450B22">
        <w:tc>
          <w:tcPr>
            <w:tcW w:w="3192" w:type="dxa"/>
          </w:tcPr>
          <w:p w:rsidR="00450B22" w:rsidRDefault="00450B22" w:rsidP="00450B22">
            <w:pPr>
              <w:pStyle w:val="ListParagraph"/>
              <w:ind w:left="0"/>
              <w:jc w:val="center"/>
              <w:rPr>
                <w:lang w:val="pl-PL"/>
              </w:rPr>
            </w:pPr>
            <w:r>
              <w:rPr>
                <w:lang w:val="pl-PL"/>
              </w:rPr>
              <w:t>USD/CHF</w:t>
            </w:r>
          </w:p>
        </w:tc>
        <w:tc>
          <w:tcPr>
            <w:tcW w:w="3192" w:type="dxa"/>
          </w:tcPr>
          <w:p w:rsidR="00450B22" w:rsidRDefault="00450B22" w:rsidP="00450B22">
            <w:pPr>
              <w:pStyle w:val="ListParagraph"/>
              <w:ind w:left="0"/>
              <w:jc w:val="center"/>
              <w:rPr>
                <w:lang w:val="pl-PL"/>
              </w:rPr>
            </w:pPr>
            <w:r>
              <w:rPr>
                <w:lang w:val="pl-PL"/>
              </w:rPr>
              <w:t>Stany Zjednoczone/Szwajcaria</w:t>
            </w:r>
          </w:p>
        </w:tc>
        <w:tc>
          <w:tcPr>
            <w:tcW w:w="3192" w:type="dxa"/>
          </w:tcPr>
          <w:p w:rsidR="00450B22" w:rsidRDefault="00450B22" w:rsidP="00450B22">
            <w:pPr>
              <w:pStyle w:val="ListParagraph"/>
              <w:ind w:left="0"/>
              <w:jc w:val="center"/>
              <w:rPr>
                <w:lang w:val="pl-PL"/>
              </w:rPr>
            </w:pPr>
            <w:r>
              <w:rPr>
                <w:lang w:val="pl-PL"/>
              </w:rPr>
              <w:t>3.4</w:t>
            </w:r>
          </w:p>
        </w:tc>
      </w:tr>
    </w:tbl>
    <w:p w:rsidR="00450B22" w:rsidRDefault="00450B22" w:rsidP="00450B22">
      <w:pPr>
        <w:pStyle w:val="ListParagraph"/>
        <w:ind w:left="1440"/>
        <w:rPr>
          <w:lang w:val="pl-PL"/>
        </w:rPr>
      </w:pPr>
    </w:p>
    <w:p w:rsidR="00450B22" w:rsidRDefault="006D1132" w:rsidP="00450B22">
      <w:pPr>
        <w:pStyle w:val="ListParagraph"/>
        <w:ind w:left="1440"/>
        <w:rPr>
          <w:lang w:val="pl-PL"/>
        </w:rPr>
      </w:pPr>
      <w:r>
        <w:rPr>
          <w:lang w:val="pl-PL"/>
        </w:rPr>
        <w:tab/>
      </w:r>
      <w:r>
        <w:rPr>
          <w:lang w:val="pl-PL"/>
        </w:rPr>
        <w:tab/>
      </w:r>
      <w:r>
        <w:rPr>
          <w:lang w:val="pl-PL"/>
        </w:rPr>
        <w:tab/>
        <w:t>Tabela 1. Głowne pary walutowe</w:t>
      </w:r>
      <w:r w:rsidR="003D59B8">
        <w:rPr>
          <w:lang w:val="pl-PL"/>
        </w:rPr>
        <w:t xml:space="preserve"> dane z 2013</w:t>
      </w:r>
    </w:p>
    <w:p w:rsidR="002C1E16" w:rsidRPr="002C1E16" w:rsidRDefault="006D1132" w:rsidP="002C1E16">
      <w:pPr>
        <w:pStyle w:val="ListParagraph"/>
        <w:ind w:left="1440"/>
        <w:rPr>
          <w:lang w:val="pl-PL"/>
        </w:rPr>
      </w:pPr>
      <w:r>
        <w:rPr>
          <w:lang w:val="pl-PL"/>
        </w:rPr>
        <w:tab/>
      </w:r>
      <w:r>
        <w:rPr>
          <w:lang w:val="pl-PL"/>
        </w:rPr>
        <w:tab/>
        <w:t xml:space="preserve">Źródło: opracowani własne </w:t>
      </w:r>
      <w:hyperlink r:id="rId7" w:history="1">
        <w:r w:rsidR="002C1E16" w:rsidRPr="007F30B5">
          <w:rPr>
            <w:rStyle w:val="Hyperlink"/>
            <w:lang w:val="pl-PL"/>
          </w:rPr>
          <w:t>http://www.bis.org/publ/rpfx13fx.pdf</w:t>
        </w:r>
      </w:hyperlink>
    </w:p>
    <w:p w:rsidR="002C1E16" w:rsidRDefault="00AF1658" w:rsidP="002C1E16">
      <w:pPr>
        <w:pStyle w:val="ListParagraph"/>
        <w:numPr>
          <w:ilvl w:val="0"/>
          <w:numId w:val="13"/>
        </w:numPr>
        <w:rPr>
          <w:lang w:val="pl-PL"/>
        </w:rPr>
      </w:pPr>
      <w:r>
        <w:rPr>
          <w:lang w:val="pl-PL"/>
        </w:rPr>
        <w:t>Krzyżowe</w:t>
      </w:r>
      <w:r w:rsidR="002C1E16">
        <w:rPr>
          <w:lang w:val="pl-PL"/>
        </w:rPr>
        <w:t xml:space="preserve"> – są to pary które nie odnoszą się do dolara amerykańskiego. Pary krzyżowe nie są tak popularne jak główne przez co koszty handlu nimi są wieksze.</w:t>
      </w:r>
    </w:p>
    <w:tbl>
      <w:tblPr>
        <w:tblStyle w:val="TableGrid"/>
        <w:tblW w:w="0" w:type="auto"/>
        <w:tblInd w:w="1440" w:type="dxa"/>
        <w:tblLook w:val="04A0" w:firstRow="1" w:lastRow="0" w:firstColumn="1" w:lastColumn="0" w:noHBand="0" w:noVBand="1"/>
      </w:tblPr>
      <w:tblGrid>
        <w:gridCol w:w="4076"/>
        <w:gridCol w:w="4060"/>
      </w:tblGrid>
      <w:tr w:rsidR="002C1E16" w:rsidTr="00167FF1">
        <w:tc>
          <w:tcPr>
            <w:tcW w:w="4076" w:type="dxa"/>
          </w:tcPr>
          <w:p w:rsidR="002C1E16" w:rsidRDefault="002C1E16" w:rsidP="00167FF1">
            <w:pPr>
              <w:pStyle w:val="ListParagraph"/>
              <w:ind w:left="0"/>
              <w:jc w:val="center"/>
              <w:rPr>
                <w:lang w:val="pl-PL"/>
              </w:rPr>
            </w:pPr>
            <w:r>
              <w:rPr>
                <w:lang w:val="pl-PL"/>
              </w:rPr>
              <w:t>Para</w:t>
            </w:r>
          </w:p>
        </w:tc>
        <w:tc>
          <w:tcPr>
            <w:tcW w:w="4060" w:type="dxa"/>
          </w:tcPr>
          <w:p w:rsidR="002C1E16" w:rsidRDefault="002C1E16" w:rsidP="00167FF1">
            <w:pPr>
              <w:pStyle w:val="ListParagraph"/>
              <w:ind w:left="0"/>
              <w:jc w:val="center"/>
              <w:rPr>
                <w:lang w:val="pl-PL"/>
              </w:rPr>
            </w:pPr>
            <w:r>
              <w:rPr>
                <w:lang w:val="pl-PL"/>
              </w:rPr>
              <w:t>Kraje</w:t>
            </w:r>
          </w:p>
        </w:tc>
      </w:tr>
      <w:tr w:rsidR="002C1E16" w:rsidTr="00167FF1">
        <w:tc>
          <w:tcPr>
            <w:tcW w:w="4076" w:type="dxa"/>
          </w:tcPr>
          <w:p w:rsidR="002C1E16" w:rsidRPr="00167FF1" w:rsidRDefault="00167FF1" w:rsidP="00167FF1">
            <w:pPr>
              <w:jc w:val="center"/>
              <w:rPr>
                <w:lang w:val="pl-PL"/>
              </w:rPr>
            </w:pPr>
            <w:r w:rsidRPr="00167FF1">
              <w:rPr>
                <w:lang w:val="pl-PL"/>
              </w:rPr>
              <w:t>EUR/AUD</w:t>
            </w:r>
          </w:p>
        </w:tc>
        <w:tc>
          <w:tcPr>
            <w:tcW w:w="4060" w:type="dxa"/>
          </w:tcPr>
          <w:p w:rsidR="002C1E16" w:rsidRDefault="00167FF1" w:rsidP="00167FF1">
            <w:pPr>
              <w:pStyle w:val="ListParagraph"/>
              <w:ind w:left="0"/>
              <w:jc w:val="center"/>
              <w:rPr>
                <w:lang w:val="pl-PL"/>
              </w:rPr>
            </w:pPr>
            <w:r>
              <w:rPr>
                <w:lang w:val="pl-PL"/>
              </w:rPr>
              <w:t>Strefa Euro / Kanada</w:t>
            </w:r>
          </w:p>
        </w:tc>
      </w:tr>
      <w:tr w:rsidR="00167FF1" w:rsidTr="00167FF1">
        <w:tc>
          <w:tcPr>
            <w:tcW w:w="4076" w:type="dxa"/>
          </w:tcPr>
          <w:p w:rsidR="00167FF1" w:rsidRPr="00167FF1" w:rsidRDefault="00167FF1" w:rsidP="00167FF1">
            <w:pPr>
              <w:jc w:val="center"/>
              <w:rPr>
                <w:lang w:val="pl-PL"/>
              </w:rPr>
            </w:pPr>
            <w:r w:rsidRPr="00167FF1">
              <w:rPr>
                <w:lang w:val="pl-PL"/>
              </w:rPr>
              <w:t>EUR/JPY</w:t>
            </w:r>
          </w:p>
        </w:tc>
        <w:tc>
          <w:tcPr>
            <w:tcW w:w="4060" w:type="dxa"/>
          </w:tcPr>
          <w:p w:rsidR="00167FF1" w:rsidRDefault="00167FF1" w:rsidP="00167FF1">
            <w:pPr>
              <w:pStyle w:val="ListParagraph"/>
              <w:ind w:left="0"/>
              <w:jc w:val="center"/>
              <w:rPr>
                <w:lang w:val="pl-PL"/>
              </w:rPr>
            </w:pPr>
            <w:r>
              <w:rPr>
                <w:lang w:val="pl-PL"/>
              </w:rPr>
              <w:t>Strefa Euro / Japonia</w:t>
            </w:r>
          </w:p>
        </w:tc>
      </w:tr>
      <w:tr w:rsidR="002C1E16" w:rsidTr="00167FF1">
        <w:tc>
          <w:tcPr>
            <w:tcW w:w="4076" w:type="dxa"/>
          </w:tcPr>
          <w:p w:rsidR="002C1E16" w:rsidRDefault="00167FF1" w:rsidP="00167FF1">
            <w:pPr>
              <w:pStyle w:val="ListParagraph"/>
              <w:ind w:left="0"/>
              <w:jc w:val="center"/>
              <w:rPr>
                <w:lang w:val="pl-PL"/>
              </w:rPr>
            </w:pPr>
            <w:r w:rsidRPr="00167FF1">
              <w:rPr>
                <w:lang w:val="pl-PL"/>
              </w:rPr>
              <w:t>EUR/NZD</w:t>
            </w:r>
          </w:p>
        </w:tc>
        <w:tc>
          <w:tcPr>
            <w:tcW w:w="4060" w:type="dxa"/>
          </w:tcPr>
          <w:p w:rsidR="002C1E16" w:rsidRDefault="00167FF1" w:rsidP="00167FF1">
            <w:pPr>
              <w:pStyle w:val="ListParagraph"/>
              <w:ind w:left="0"/>
              <w:jc w:val="center"/>
              <w:rPr>
                <w:lang w:val="pl-PL"/>
              </w:rPr>
            </w:pPr>
            <w:r>
              <w:rPr>
                <w:lang w:val="pl-PL"/>
              </w:rPr>
              <w:t>Strefa Euro / Nowa Zelandia</w:t>
            </w:r>
          </w:p>
        </w:tc>
      </w:tr>
      <w:tr w:rsidR="002C1E16" w:rsidTr="00167FF1">
        <w:tc>
          <w:tcPr>
            <w:tcW w:w="4076" w:type="dxa"/>
          </w:tcPr>
          <w:p w:rsidR="002C1E16" w:rsidRDefault="00167FF1" w:rsidP="00167FF1">
            <w:pPr>
              <w:pStyle w:val="ListParagraph"/>
              <w:ind w:left="0"/>
              <w:jc w:val="center"/>
              <w:rPr>
                <w:lang w:val="pl-PL"/>
              </w:rPr>
            </w:pPr>
            <w:r w:rsidRPr="00167FF1">
              <w:rPr>
                <w:lang w:val="pl-PL"/>
              </w:rPr>
              <w:t>CHF/JPY</w:t>
            </w:r>
          </w:p>
        </w:tc>
        <w:tc>
          <w:tcPr>
            <w:tcW w:w="4060" w:type="dxa"/>
          </w:tcPr>
          <w:p w:rsidR="002C1E16" w:rsidRDefault="00167FF1" w:rsidP="00167FF1">
            <w:pPr>
              <w:pStyle w:val="ListParagraph"/>
              <w:ind w:left="0"/>
              <w:jc w:val="center"/>
              <w:rPr>
                <w:lang w:val="pl-PL"/>
              </w:rPr>
            </w:pPr>
            <w:r>
              <w:rPr>
                <w:lang w:val="pl-PL"/>
              </w:rPr>
              <w:t>Szajcaria / Japonia</w:t>
            </w:r>
          </w:p>
        </w:tc>
      </w:tr>
      <w:tr w:rsidR="00167FF1" w:rsidTr="00167FF1">
        <w:tc>
          <w:tcPr>
            <w:tcW w:w="4076" w:type="dxa"/>
          </w:tcPr>
          <w:p w:rsidR="00167FF1" w:rsidRPr="00167FF1" w:rsidRDefault="00167FF1" w:rsidP="00167FF1">
            <w:pPr>
              <w:pStyle w:val="ListParagraph"/>
              <w:ind w:left="0"/>
              <w:jc w:val="center"/>
              <w:rPr>
                <w:lang w:val="pl-PL"/>
              </w:rPr>
            </w:pPr>
            <w:r w:rsidRPr="00167FF1">
              <w:rPr>
                <w:lang w:val="pl-PL"/>
              </w:rPr>
              <w:t>GBP/</w:t>
            </w:r>
            <w:r>
              <w:rPr>
                <w:lang w:val="pl-PL"/>
              </w:rPr>
              <w:t>AUD</w:t>
            </w:r>
          </w:p>
        </w:tc>
        <w:tc>
          <w:tcPr>
            <w:tcW w:w="4060" w:type="dxa"/>
          </w:tcPr>
          <w:p w:rsidR="00167FF1" w:rsidRDefault="00167FF1" w:rsidP="00167FF1">
            <w:pPr>
              <w:pStyle w:val="ListParagraph"/>
              <w:ind w:left="0"/>
              <w:jc w:val="center"/>
              <w:rPr>
                <w:lang w:val="pl-PL"/>
              </w:rPr>
            </w:pPr>
            <w:r>
              <w:rPr>
                <w:lang w:val="pl-PL"/>
              </w:rPr>
              <w:t>Wielka Brytania / Kanada</w:t>
            </w:r>
          </w:p>
        </w:tc>
      </w:tr>
    </w:tbl>
    <w:p w:rsidR="00167FF1" w:rsidRDefault="00167FF1" w:rsidP="00167FF1">
      <w:pPr>
        <w:pStyle w:val="ListParagraph"/>
        <w:ind w:left="2880" w:firstLine="720"/>
        <w:rPr>
          <w:lang w:val="pl-PL"/>
        </w:rPr>
      </w:pPr>
      <w:r>
        <w:rPr>
          <w:lang w:val="pl-PL"/>
        </w:rPr>
        <w:t>Tabela 1. Krzyżowe pary walutowe</w:t>
      </w:r>
    </w:p>
    <w:p w:rsidR="002C1E16" w:rsidRPr="00167FF1" w:rsidRDefault="00167FF1" w:rsidP="00167FF1">
      <w:pPr>
        <w:pStyle w:val="ListParagraph"/>
        <w:ind w:left="1440"/>
        <w:rPr>
          <w:lang w:val="pl-PL"/>
        </w:rPr>
      </w:pPr>
      <w:r>
        <w:rPr>
          <w:lang w:val="pl-PL"/>
        </w:rPr>
        <w:tab/>
      </w:r>
      <w:r>
        <w:rPr>
          <w:lang w:val="pl-PL"/>
        </w:rPr>
        <w:tab/>
        <w:t>Źródło: opracowani własne</w:t>
      </w:r>
      <w:r w:rsidRPr="002C1E16">
        <w:rPr>
          <w:lang w:val="pl-PL"/>
        </w:rPr>
        <w:t xml:space="preserve"> </w:t>
      </w:r>
    </w:p>
    <w:p w:rsidR="00AF1658" w:rsidRDefault="00AF1658" w:rsidP="00450B22">
      <w:pPr>
        <w:pStyle w:val="ListParagraph"/>
        <w:numPr>
          <w:ilvl w:val="0"/>
          <w:numId w:val="13"/>
        </w:numPr>
        <w:rPr>
          <w:lang w:val="pl-PL"/>
        </w:rPr>
      </w:pPr>
      <w:r>
        <w:rPr>
          <w:lang w:val="pl-PL"/>
        </w:rPr>
        <w:lastRenderedPageBreak/>
        <w:t>Egzotyczne</w:t>
      </w:r>
      <w:r w:rsidR="00167FF1">
        <w:rPr>
          <w:lang w:val="pl-PL"/>
        </w:rPr>
        <w:t xml:space="preserve"> -  są to pary walutowe składające się z jednej z głownych bardziej znaczących walut do walut które są mniej znaczące ekonomicznie w skali globalnej. Handel z użyciem tych par waluto</w:t>
      </w:r>
      <w:r w:rsidR="003D59B8">
        <w:rPr>
          <w:lang w:val="pl-PL"/>
        </w:rPr>
        <w:t>wych stanowi najmniejszą część rynku forex.</w:t>
      </w:r>
    </w:p>
    <w:tbl>
      <w:tblPr>
        <w:tblStyle w:val="TableGrid"/>
        <w:tblW w:w="0" w:type="auto"/>
        <w:tblInd w:w="1440" w:type="dxa"/>
        <w:tblLook w:val="04A0" w:firstRow="1" w:lastRow="0" w:firstColumn="1" w:lastColumn="0" w:noHBand="0" w:noVBand="1"/>
      </w:tblPr>
      <w:tblGrid>
        <w:gridCol w:w="4026"/>
        <w:gridCol w:w="4110"/>
      </w:tblGrid>
      <w:tr w:rsidR="003D59B8" w:rsidTr="003D59B8">
        <w:tc>
          <w:tcPr>
            <w:tcW w:w="4788" w:type="dxa"/>
          </w:tcPr>
          <w:p w:rsidR="003D59B8" w:rsidRDefault="003D59B8" w:rsidP="003D59B8">
            <w:pPr>
              <w:pStyle w:val="ListParagraph"/>
              <w:ind w:left="0"/>
              <w:rPr>
                <w:lang w:val="pl-PL"/>
              </w:rPr>
            </w:pPr>
            <w:r>
              <w:rPr>
                <w:lang w:val="pl-PL"/>
              </w:rPr>
              <w:t>Para</w:t>
            </w:r>
          </w:p>
        </w:tc>
        <w:tc>
          <w:tcPr>
            <w:tcW w:w="4788" w:type="dxa"/>
          </w:tcPr>
          <w:p w:rsidR="003D59B8" w:rsidRDefault="003D59B8" w:rsidP="003D59B8">
            <w:pPr>
              <w:pStyle w:val="ListParagraph"/>
              <w:ind w:left="0"/>
              <w:rPr>
                <w:lang w:val="pl-PL"/>
              </w:rPr>
            </w:pPr>
            <w:r>
              <w:rPr>
                <w:lang w:val="pl-PL"/>
              </w:rPr>
              <w:t>Kraje</w:t>
            </w:r>
          </w:p>
        </w:tc>
      </w:tr>
      <w:tr w:rsidR="003D59B8" w:rsidTr="003D59B8">
        <w:tc>
          <w:tcPr>
            <w:tcW w:w="4788" w:type="dxa"/>
          </w:tcPr>
          <w:p w:rsidR="003D59B8" w:rsidRDefault="003D59B8" w:rsidP="003D59B8">
            <w:pPr>
              <w:pStyle w:val="ListParagraph"/>
              <w:ind w:left="0"/>
              <w:rPr>
                <w:lang w:val="pl-PL"/>
              </w:rPr>
            </w:pPr>
            <w:r>
              <w:rPr>
                <w:lang w:val="pl-PL"/>
              </w:rPr>
              <w:t>EUR/PLN</w:t>
            </w:r>
          </w:p>
        </w:tc>
        <w:tc>
          <w:tcPr>
            <w:tcW w:w="4788" w:type="dxa"/>
          </w:tcPr>
          <w:p w:rsidR="003D59B8" w:rsidRDefault="003D59B8" w:rsidP="003D59B8">
            <w:pPr>
              <w:pStyle w:val="ListParagraph"/>
              <w:ind w:left="0"/>
              <w:rPr>
                <w:lang w:val="pl-PL"/>
              </w:rPr>
            </w:pPr>
            <w:r>
              <w:rPr>
                <w:lang w:val="pl-PL"/>
              </w:rPr>
              <w:t>Strefa Euro / Polska</w:t>
            </w:r>
          </w:p>
        </w:tc>
      </w:tr>
      <w:tr w:rsidR="003D59B8" w:rsidTr="003D59B8">
        <w:tc>
          <w:tcPr>
            <w:tcW w:w="4788" w:type="dxa"/>
          </w:tcPr>
          <w:p w:rsidR="003D59B8" w:rsidRDefault="003D59B8" w:rsidP="003D59B8">
            <w:pPr>
              <w:pStyle w:val="ListParagraph"/>
              <w:ind w:left="0"/>
              <w:rPr>
                <w:lang w:val="pl-PL"/>
              </w:rPr>
            </w:pPr>
            <w:r>
              <w:rPr>
                <w:lang w:val="pl-PL"/>
              </w:rPr>
              <w:t>EUR/HKD</w:t>
            </w:r>
          </w:p>
        </w:tc>
        <w:tc>
          <w:tcPr>
            <w:tcW w:w="4788" w:type="dxa"/>
          </w:tcPr>
          <w:p w:rsidR="003D59B8" w:rsidRDefault="003D59B8" w:rsidP="003D59B8">
            <w:pPr>
              <w:pStyle w:val="ListParagraph"/>
              <w:ind w:left="0"/>
              <w:rPr>
                <w:lang w:val="pl-PL"/>
              </w:rPr>
            </w:pPr>
            <w:r>
              <w:rPr>
                <w:lang w:val="pl-PL"/>
              </w:rPr>
              <w:t>Strefa Euro / Hongkong</w:t>
            </w:r>
          </w:p>
        </w:tc>
      </w:tr>
      <w:tr w:rsidR="003D59B8" w:rsidTr="003D59B8">
        <w:tc>
          <w:tcPr>
            <w:tcW w:w="4788" w:type="dxa"/>
          </w:tcPr>
          <w:p w:rsidR="003D59B8" w:rsidRDefault="003D59B8" w:rsidP="003D59B8">
            <w:pPr>
              <w:pStyle w:val="ListParagraph"/>
              <w:ind w:left="0"/>
              <w:rPr>
                <w:lang w:val="pl-PL"/>
              </w:rPr>
            </w:pPr>
            <w:r w:rsidRPr="003D59B8">
              <w:rPr>
                <w:lang w:val="pl-PL"/>
              </w:rPr>
              <w:t>USD/SGD</w:t>
            </w:r>
          </w:p>
        </w:tc>
        <w:tc>
          <w:tcPr>
            <w:tcW w:w="4788" w:type="dxa"/>
          </w:tcPr>
          <w:p w:rsidR="003D59B8" w:rsidRDefault="003D59B8" w:rsidP="003D59B8">
            <w:pPr>
              <w:pStyle w:val="ListParagraph"/>
              <w:ind w:left="0"/>
              <w:rPr>
                <w:lang w:val="pl-PL"/>
              </w:rPr>
            </w:pPr>
            <w:r>
              <w:rPr>
                <w:lang w:val="pl-PL"/>
              </w:rPr>
              <w:t>Stany Zjednocznoe / Singapur</w:t>
            </w:r>
          </w:p>
        </w:tc>
      </w:tr>
      <w:tr w:rsidR="003D59B8" w:rsidTr="003D59B8">
        <w:tc>
          <w:tcPr>
            <w:tcW w:w="4788" w:type="dxa"/>
          </w:tcPr>
          <w:p w:rsidR="003D59B8" w:rsidRDefault="003D59B8" w:rsidP="003D59B8">
            <w:pPr>
              <w:pStyle w:val="ListParagraph"/>
              <w:ind w:left="0"/>
              <w:rPr>
                <w:lang w:val="pl-PL"/>
              </w:rPr>
            </w:pPr>
            <w:r w:rsidRPr="003D59B8">
              <w:rPr>
                <w:lang w:val="pl-PL"/>
              </w:rPr>
              <w:t>USD/ZAR</w:t>
            </w:r>
          </w:p>
        </w:tc>
        <w:tc>
          <w:tcPr>
            <w:tcW w:w="4788" w:type="dxa"/>
          </w:tcPr>
          <w:p w:rsidR="003D59B8" w:rsidRDefault="003D59B8" w:rsidP="003D59B8">
            <w:pPr>
              <w:pStyle w:val="ListParagraph"/>
              <w:ind w:left="0"/>
              <w:rPr>
                <w:lang w:val="pl-PL"/>
              </w:rPr>
            </w:pPr>
            <w:r>
              <w:rPr>
                <w:lang w:val="pl-PL"/>
              </w:rPr>
              <w:t>Stany Zjednocznone / Afryka Południowa</w:t>
            </w:r>
          </w:p>
        </w:tc>
      </w:tr>
    </w:tbl>
    <w:p w:rsidR="00B4680E" w:rsidRDefault="00B4680E" w:rsidP="00274E8F">
      <w:pPr>
        <w:pStyle w:val="Heading2"/>
        <w:rPr>
          <w:lang w:val="pl-PL"/>
        </w:rPr>
      </w:pPr>
    </w:p>
    <w:p w:rsidR="00AF1658" w:rsidRDefault="00274E8F" w:rsidP="00274E8F">
      <w:pPr>
        <w:pStyle w:val="Heading2"/>
        <w:numPr>
          <w:ilvl w:val="1"/>
          <w:numId w:val="8"/>
        </w:numPr>
        <w:rPr>
          <w:lang w:val="pl-PL"/>
        </w:rPr>
      </w:pPr>
      <w:r>
        <w:rPr>
          <w:lang w:val="pl-PL"/>
        </w:rPr>
        <w:t>Analiza fundamentalna</w:t>
      </w:r>
    </w:p>
    <w:p w:rsidR="004E067C" w:rsidRDefault="004E067C" w:rsidP="00274E8F">
      <w:pPr>
        <w:ind w:left="720"/>
        <w:rPr>
          <w:lang w:val="pl-PL"/>
        </w:rPr>
      </w:pPr>
      <w:r>
        <w:rPr>
          <w:lang w:val="pl-PL"/>
        </w:rPr>
        <w:t>Jest to jedna z dwoch technik analizy rynków kapitałowych. Głównym zadaniem</w:t>
      </w:r>
      <w:r w:rsidR="0016084C">
        <w:rPr>
          <w:lang w:val="pl-PL"/>
        </w:rPr>
        <w:t xml:space="preserve"> analizy fundamentalnej</w:t>
      </w:r>
      <w:r>
        <w:rPr>
          <w:lang w:val="pl-PL"/>
        </w:rPr>
        <w:t xml:space="preserve"> </w:t>
      </w:r>
      <w:r w:rsidR="0016084C">
        <w:rPr>
          <w:lang w:val="pl-PL"/>
        </w:rPr>
        <w:t xml:space="preserve">jest śledzenie i analiza czynników </w:t>
      </w:r>
      <w:r>
        <w:rPr>
          <w:lang w:val="pl-PL"/>
        </w:rPr>
        <w:t>zewnętrznych</w:t>
      </w:r>
      <w:r w:rsidR="0016084C">
        <w:rPr>
          <w:lang w:val="pl-PL"/>
        </w:rPr>
        <w:t xml:space="preserve"> mających wpływ na popyt i podaż </w:t>
      </w:r>
      <w:r>
        <w:rPr>
          <w:lang w:val="pl-PL"/>
        </w:rPr>
        <w:t xml:space="preserve"> takich jak decyzje banków, przemowy ważnch polityków, prezesów dużych firm</w:t>
      </w:r>
      <w:r w:rsidR="0016084C">
        <w:rPr>
          <w:lang w:val="pl-PL"/>
        </w:rPr>
        <w:t>, publikacje raportów</w:t>
      </w:r>
      <w:r>
        <w:rPr>
          <w:lang w:val="pl-PL"/>
        </w:rPr>
        <w:t>.</w:t>
      </w:r>
      <w:r w:rsidR="0016084C">
        <w:rPr>
          <w:lang w:val="pl-PL"/>
        </w:rPr>
        <w:t xml:space="preserve"> Celem jest by na podstawie takich analizy takich infomracji zareagować i wykonać odpowiednią transkacje zanim informacje wpłyną na rynek. Wszelkiego rodzaju nowe wiadomości są ważne z punktu widzenia analizy fundamentalnej ponieważ mają potencjalny wpływ na rynek. Tego rodzaju analizy są stosowane głownie </w:t>
      </w:r>
      <w:r w:rsidR="001C3592">
        <w:rPr>
          <w:lang w:val="pl-PL"/>
        </w:rPr>
        <w:t xml:space="preserve">w długoterminowych inwestycjach oraz częściej to pojęcie jest spotykane przy rynkach papierów wartościowych gdy określa się wartość spółek. Nie znaczy to jednak że analiza fundamentalna nie jest stosowana na rynku forex. </w:t>
      </w:r>
      <w:r w:rsidR="00C14535">
        <w:rPr>
          <w:lang w:val="pl-PL"/>
        </w:rPr>
        <w:t>Podstawowym narzędziem jakie jest używane podczas inwestycji na giełdzie walutowej jest kalendarz ekonomiczny gdzie można odnaleźć informacje na temat wydarzeń mających wpływ na poszczególne waluty.</w:t>
      </w:r>
    </w:p>
    <w:p w:rsidR="00274E8F" w:rsidRDefault="004E067C" w:rsidP="004E067C">
      <w:pPr>
        <w:ind w:left="720"/>
        <w:jc w:val="center"/>
        <w:rPr>
          <w:lang w:val="pl-PL"/>
        </w:rPr>
      </w:pPr>
      <w:r w:rsidRPr="004E067C">
        <w:rPr>
          <w:lang w:val="pl-PL"/>
        </w:rPr>
        <w:drawing>
          <wp:inline distT="0" distB="0" distL="0" distR="0" wp14:anchorId="7C4F83D8" wp14:editId="3FC38FCA">
            <wp:extent cx="5943600" cy="293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38780"/>
                    </a:xfrm>
                    <a:prstGeom prst="rect">
                      <a:avLst/>
                    </a:prstGeom>
                  </pic:spPr>
                </pic:pic>
              </a:graphicData>
            </a:graphic>
          </wp:inline>
        </w:drawing>
      </w:r>
    </w:p>
    <w:p w:rsidR="00C14535" w:rsidRDefault="00C14535" w:rsidP="00C14535">
      <w:pPr>
        <w:ind w:left="720"/>
        <w:jc w:val="center"/>
        <w:rPr>
          <w:lang w:val="pl-PL"/>
        </w:rPr>
      </w:pPr>
      <w:r>
        <w:rPr>
          <w:lang w:val="pl-PL"/>
        </w:rPr>
        <w:t xml:space="preserve">Obrazek 1 Kalenadrz ekonomiczny Źródło: </w:t>
      </w:r>
      <w:hyperlink r:id="rId9" w:history="1">
        <w:r w:rsidRPr="00EE20EB">
          <w:rPr>
            <w:rStyle w:val="Hyperlink"/>
            <w:lang w:val="pl-PL"/>
          </w:rPr>
          <w:t>www.forexfactory.com</w:t>
        </w:r>
      </w:hyperlink>
    </w:p>
    <w:p w:rsidR="00C14535" w:rsidRDefault="00C14535" w:rsidP="00C14535">
      <w:pPr>
        <w:ind w:left="720"/>
        <w:rPr>
          <w:lang w:val="pl-PL"/>
        </w:rPr>
      </w:pPr>
      <w:r>
        <w:rPr>
          <w:lang w:val="pl-PL"/>
        </w:rPr>
        <w:lastRenderedPageBreak/>
        <w:t>Na powyższym obrazku widać przykładowy kalendarz ekonomiczny dla dnia 23 czerwca 2017r. Wydarzenia podzielone są w nim początkowo ze względu na godzinę o której występują. Dla każdej godziny przyporządkowana jest lista wydarzeń które wtedy będą miały miejsce. Każde wydażenie ma podaną walutę na jak</w:t>
      </w:r>
      <w:r w:rsidR="0009643C">
        <w:rPr>
          <w:lang w:val="pl-PL"/>
        </w:rPr>
        <w:t xml:space="preserve">ą będzie miało wpływ, określoną siłę wpływu </w:t>
      </w:r>
      <w:r>
        <w:rPr>
          <w:lang w:val="pl-PL"/>
        </w:rPr>
        <w:t>w tym przypadku trzema różnymi kolorami ( w innych kalendarzach może być to inaczej prezentowane ale zazwyczaj jest to prezentacja w trzech stopniach wpływu):</w:t>
      </w:r>
    </w:p>
    <w:p w:rsidR="00C14535" w:rsidRDefault="00C14535" w:rsidP="00C14535">
      <w:pPr>
        <w:pStyle w:val="ListParagraph"/>
        <w:numPr>
          <w:ilvl w:val="0"/>
          <w:numId w:val="18"/>
        </w:numPr>
        <w:rPr>
          <w:lang w:val="pl-PL"/>
        </w:rPr>
      </w:pPr>
      <w:r>
        <w:rPr>
          <w:lang w:val="pl-PL"/>
        </w:rPr>
        <w:t>Żółty – najmniejszy wpływ</w:t>
      </w:r>
    </w:p>
    <w:p w:rsidR="00C14535" w:rsidRDefault="00C14535" w:rsidP="00C14535">
      <w:pPr>
        <w:pStyle w:val="ListParagraph"/>
        <w:numPr>
          <w:ilvl w:val="0"/>
          <w:numId w:val="18"/>
        </w:numPr>
        <w:rPr>
          <w:lang w:val="pl-PL"/>
        </w:rPr>
      </w:pPr>
      <w:r>
        <w:rPr>
          <w:lang w:val="pl-PL"/>
        </w:rPr>
        <w:t>Pomarańczowy – średni wpływ</w:t>
      </w:r>
    </w:p>
    <w:p w:rsidR="00C14535" w:rsidRDefault="00C14535" w:rsidP="00C14535">
      <w:pPr>
        <w:pStyle w:val="ListParagraph"/>
        <w:numPr>
          <w:ilvl w:val="0"/>
          <w:numId w:val="18"/>
        </w:numPr>
        <w:rPr>
          <w:lang w:val="pl-PL"/>
        </w:rPr>
      </w:pPr>
      <w:r>
        <w:rPr>
          <w:lang w:val="pl-PL"/>
        </w:rPr>
        <w:t>Czerwony – duży wpływ</w:t>
      </w:r>
    </w:p>
    <w:p w:rsidR="00C14535" w:rsidRPr="00C14535" w:rsidRDefault="0009643C" w:rsidP="00C14535">
      <w:pPr>
        <w:ind w:left="720"/>
        <w:rPr>
          <w:lang w:val="pl-PL"/>
        </w:rPr>
      </w:pPr>
      <w:r>
        <w:rPr>
          <w:lang w:val="pl-PL"/>
        </w:rPr>
        <w:t>rodzaj wydarzenia, dodatkowe szczegóły, realny wpływ jeżeli wydarzenie już miało miejsce, prognozę , oraz poprzedni wpływ.</w:t>
      </w:r>
    </w:p>
    <w:p w:rsidR="00274E8F" w:rsidRDefault="00274E8F" w:rsidP="00AA5DE3">
      <w:pPr>
        <w:pStyle w:val="Heading2"/>
        <w:numPr>
          <w:ilvl w:val="1"/>
          <w:numId w:val="8"/>
        </w:numPr>
        <w:rPr>
          <w:lang w:val="pl-PL"/>
        </w:rPr>
      </w:pPr>
      <w:r>
        <w:rPr>
          <w:lang w:val="pl-PL"/>
        </w:rPr>
        <w:t>Analiza techniczna</w:t>
      </w:r>
    </w:p>
    <w:p w:rsidR="005426B0" w:rsidRDefault="00AA5DE3" w:rsidP="005426B0">
      <w:pPr>
        <w:pStyle w:val="Heading2"/>
        <w:numPr>
          <w:ilvl w:val="1"/>
          <w:numId w:val="8"/>
        </w:numPr>
        <w:rPr>
          <w:lang w:val="pl-PL"/>
        </w:rPr>
      </w:pPr>
      <w:r>
        <w:rPr>
          <w:lang w:val="pl-PL"/>
        </w:rPr>
        <w:t>Uczenie maszynowe</w:t>
      </w:r>
    </w:p>
    <w:p w:rsidR="00AA5DE3" w:rsidRPr="00AA5DE3" w:rsidRDefault="00AA5DE3" w:rsidP="00AA5DE3">
      <w:pPr>
        <w:pStyle w:val="Heading2"/>
        <w:numPr>
          <w:ilvl w:val="1"/>
          <w:numId w:val="8"/>
        </w:numPr>
        <w:rPr>
          <w:lang w:val="pl-PL"/>
        </w:rPr>
      </w:pPr>
      <w:r w:rsidRPr="00AA5DE3">
        <w:rPr>
          <w:lang w:val="pl-PL"/>
        </w:rPr>
        <w:t>Przegląd dotychczasowych prac</w:t>
      </w:r>
    </w:p>
    <w:p w:rsidR="005426B0" w:rsidRDefault="005426B0" w:rsidP="005426B0">
      <w:pPr>
        <w:rPr>
          <w:lang w:val="pl-PL"/>
        </w:rPr>
      </w:pPr>
    </w:p>
    <w:p w:rsidR="00F006D7" w:rsidRPr="00F75A9E" w:rsidRDefault="00F006D7" w:rsidP="00AB0A9F">
      <w:pPr>
        <w:pStyle w:val="Heading1"/>
        <w:rPr>
          <w:lang w:val="pl-PL"/>
        </w:rPr>
      </w:pPr>
      <w:bookmarkStart w:id="6" w:name="_Toc485828434"/>
      <w:r w:rsidRPr="00F75A9E">
        <w:rPr>
          <w:lang w:val="pl-PL"/>
        </w:rPr>
        <w:t>3. Dane</w:t>
      </w:r>
      <w:bookmarkEnd w:id="6"/>
    </w:p>
    <w:p w:rsidR="00F006D7" w:rsidRPr="00F75A9E" w:rsidRDefault="00F006D7" w:rsidP="00AB0A9F">
      <w:pPr>
        <w:pStyle w:val="Heading1"/>
        <w:rPr>
          <w:lang w:val="pl-PL"/>
        </w:rPr>
      </w:pPr>
      <w:bookmarkStart w:id="7" w:name="_Toc485828435"/>
      <w:r w:rsidRPr="00F75A9E">
        <w:rPr>
          <w:lang w:val="pl-PL"/>
        </w:rPr>
        <w:t>4. Model</w:t>
      </w:r>
      <w:bookmarkEnd w:id="7"/>
    </w:p>
    <w:p w:rsidR="00F006D7" w:rsidRPr="00F75A9E" w:rsidRDefault="00F006D7" w:rsidP="0016084C">
      <w:pPr>
        <w:pStyle w:val="Heading1"/>
        <w:rPr>
          <w:lang w:val="pl-PL"/>
        </w:rPr>
      </w:pPr>
      <w:bookmarkStart w:id="8" w:name="_Toc485828436"/>
      <w:r w:rsidRPr="00F75A9E">
        <w:rPr>
          <w:lang w:val="pl-PL"/>
        </w:rPr>
        <w:t>5. Eksperymenty i rezultaty</w:t>
      </w:r>
      <w:bookmarkEnd w:id="8"/>
    </w:p>
    <w:sectPr w:rsidR="00F006D7" w:rsidRPr="00F7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1EB7"/>
    <w:multiLevelType w:val="hybridMultilevel"/>
    <w:tmpl w:val="1618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679BC"/>
    <w:multiLevelType w:val="hybridMultilevel"/>
    <w:tmpl w:val="EF7A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65930"/>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3">
    <w:nsid w:val="12311F9F"/>
    <w:multiLevelType w:val="hybridMultilevel"/>
    <w:tmpl w:val="8D58D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3271E8"/>
    <w:multiLevelType w:val="hybridMultilevel"/>
    <w:tmpl w:val="3EE89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0205E"/>
    <w:multiLevelType w:val="hybridMultilevel"/>
    <w:tmpl w:val="F156F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47E8E"/>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7">
    <w:nsid w:val="3CED0E3E"/>
    <w:multiLevelType w:val="hybridMultilevel"/>
    <w:tmpl w:val="1AAC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8712E9"/>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9">
    <w:nsid w:val="3DDA0A54"/>
    <w:multiLevelType w:val="multilevel"/>
    <w:tmpl w:val="9A94B99E"/>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520" w:hanging="2520"/>
      </w:pPr>
      <w:rPr>
        <w:rFonts w:hint="default"/>
      </w:rPr>
    </w:lvl>
    <w:lvl w:ilvl="5">
      <w:start w:val="1"/>
      <w:numFmt w:val="decimal"/>
      <w:isLgl/>
      <w:lvlText w:val="%1.%2.%3.%4.%5.%6."/>
      <w:lvlJc w:val="left"/>
      <w:pPr>
        <w:ind w:left="2880" w:hanging="2880"/>
      </w:pPr>
      <w:rPr>
        <w:rFonts w:hint="default"/>
      </w:rPr>
    </w:lvl>
    <w:lvl w:ilvl="6">
      <w:start w:val="1"/>
      <w:numFmt w:val="decimal"/>
      <w:isLgl/>
      <w:lvlText w:val="%1.%2.%3.%4.%5.%6.%7."/>
      <w:lvlJc w:val="left"/>
      <w:pPr>
        <w:ind w:left="3240" w:hanging="324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10">
    <w:nsid w:val="3F736C57"/>
    <w:multiLevelType w:val="hybridMultilevel"/>
    <w:tmpl w:val="47E20E66"/>
    <w:lvl w:ilvl="0" w:tplc="0409000F">
      <w:start w:val="1"/>
      <w:numFmt w:val="decimal"/>
      <w:lvlText w:val="%1."/>
      <w:lvlJc w:val="left"/>
      <w:pPr>
        <w:ind w:left="2850" w:hanging="360"/>
      </w:p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11">
    <w:nsid w:val="412F6D78"/>
    <w:multiLevelType w:val="hybridMultilevel"/>
    <w:tmpl w:val="BA0AA2F0"/>
    <w:lvl w:ilvl="0" w:tplc="E2CA1F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A81E90"/>
    <w:multiLevelType w:val="multilevel"/>
    <w:tmpl w:val="6842416E"/>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525A2005"/>
    <w:multiLevelType w:val="hybridMultilevel"/>
    <w:tmpl w:val="8252EB30"/>
    <w:lvl w:ilvl="0" w:tplc="0409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73437EA"/>
    <w:multiLevelType w:val="hybridMultilevel"/>
    <w:tmpl w:val="94FCF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2E6971"/>
    <w:multiLevelType w:val="hybridMultilevel"/>
    <w:tmpl w:val="E9B67F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3FC6B00"/>
    <w:multiLevelType w:val="hybridMultilevel"/>
    <w:tmpl w:val="468A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2B3378"/>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8">
    <w:nsid w:val="763227B7"/>
    <w:multiLevelType w:val="hybridMultilevel"/>
    <w:tmpl w:val="97A0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8"/>
  </w:num>
  <w:num w:numId="4">
    <w:abstractNumId w:val="5"/>
  </w:num>
  <w:num w:numId="5">
    <w:abstractNumId w:val="10"/>
  </w:num>
  <w:num w:numId="6">
    <w:abstractNumId w:val="9"/>
  </w:num>
  <w:num w:numId="7">
    <w:abstractNumId w:val="15"/>
  </w:num>
  <w:num w:numId="8">
    <w:abstractNumId w:val="2"/>
  </w:num>
  <w:num w:numId="9">
    <w:abstractNumId w:val="17"/>
  </w:num>
  <w:num w:numId="10">
    <w:abstractNumId w:val="6"/>
  </w:num>
  <w:num w:numId="11">
    <w:abstractNumId w:val="0"/>
  </w:num>
  <w:num w:numId="12">
    <w:abstractNumId w:val="18"/>
  </w:num>
  <w:num w:numId="13">
    <w:abstractNumId w:val="13"/>
  </w:num>
  <w:num w:numId="14">
    <w:abstractNumId w:val="16"/>
  </w:num>
  <w:num w:numId="15">
    <w:abstractNumId w:val="7"/>
  </w:num>
  <w:num w:numId="16">
    <w:abstractNumId w:val="12"/>
  </w:num>
  <w:num w:numId="17">
    <w:abstractNumId w:val="1"/>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6D7"/>
    <w:rsid w:val="0009643C"/>
    <w:rsid w:val="0016084C"/>
    <w:rsid w:val="00167FF1"/>
    <w:rsid w:val="001C3592"/>
    <w:rsid w:val="00230DDC"/>
    <w:rsid w:val="00274E8F"/>
    <w:rsid w:val="002C1E16"/>
    <w:rsid w:val="003B6EA6"/>
    <w:rsid w:val="003D59B8"/>
    <w:rsid w:val="00450B22"/>
    <w:rsid w:val="004E067C"/>
    <w:rsid w:val="005426B0"/>
    <w:rsid w:val="005B08E6"/>
    <w:rsid w:val="006D1132"/>
    <w:rsid w:val="00892A51"/>
    <w:rsid w:val="00AA5DE3"/>
    <w:rsid w:val="00AB0A9F"/>
    <w:rsid w:val="00AE486C"/>
    <w:rsid w:val="00AF1658"/>
    <w:rsid w:val="00B13C8E"/>
    <w:rsid w:val="00B4680E"/>
    <w:rsid w:val="00C14535"/>
    <w:rsid w:val="00CD77E2"/>
    <w:rsid w:val="00D170E3"/>
    <w:rsid w:val="00DE1819"/>
    <w:rsid w:val="00E315B2"/>
    <w:rsid w:val="00F006D7"/>
    <w:rsid w:val="00F12B20"/>
    <w:rsid w:val="00F228B3"/>
    <w:rsid w:val="00F75A9E"/>
    <w:rsid w:val="00FD7B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8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8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6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00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06D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006D7"/>
    <w:rPr>
      <w:i/>
      <w:iCs/>
      <w:color w:val="808080" w:themeColor="text1" w:themeTint="7F"/>
    </w:rPr>
  </w:style>
  <w:style w:type="paragraph" w:styleId="ListParagraph">
    <w:name w:val="List Paragraph"/>
    <w:basedOn w:val="Normal"/>
    <w:uiPriority w:val="34"/>
    <w:qFormat/>
    <w:rsid w:val="00F006D7"/>
    <w:pPr>
      <w:ind w:left="720"/>
      <w:contextualSpacing/>
    </w:pPr>
  </w:style>
  <w:style w:type="character" w:customStyle="1" w:styleId="Heading1Char">
    <w:name w:val="Heading 1 Char"/>
    <w:basedOn w:val="DefaultParagraphFont"/>
    <w:link w:val="Heading1"/>
    <w:uiPriority w:val="9"/>
    <w:rsid w:val="00B13C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13C8E"/>
    <w:pPr>
      <w:outlineLvl w:val="9"/>
    </w:pPr>
    <w:rPr>
      <w:lang w:eastAsia="ja-JP"/>
    </w:rPr>
  </w:style>
  <w:style w:type="paragraph" w:styleId="BalloonText">
    <w:name w:val="Balloon Text"/>
    <w:basedOn w:val="Normal"/>
    <w:link w:val="BalloonTextChar"/>
    <w:uiPriority w:val="99"/>
    <w:semiHidden/>
    <w:unhideWhenUsed/>
    <w:rsid w:val="00B13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8E"/>
    <w:rPr>
      <w:rFonts w:ascii="Tahoma" w:hAnsi="Tahoma" w:cs="Tahoma"/>
      <w:sz w:val="16"/>
      <w:szCs w:val="16"/>
    </w:rPr>
  </w:style>
  <w:style w:type="paragraph" w:styleId="TOC1">
    <w:name w:val="toc 1"/>
    <w:basedOn w:val="Normal"/>
    <w:next w:val="Normal"/>
    <w:autoRedefine/>
    <w:uiPriority w:val="39"/>
    <w:unhideWhenUsed/>
    <w:rsid w:val="00AE486C"/>
    <w:pPr>
      <w:spacing w:after="100"/>
    </w:pPr>
  </w:style>
  <w:style w:type="character" w:styleId="Hyperlink">
    <w:name w:val="Hyperlink"/>
    <w:basedOn w:val="DefaultParagraphFont"/>
    <w:uiPriority w:val="99"/>
    <w:unhideWhenUsed/>
    <w:rsid w:val="00AE486C"/>
    <w:rPr>
      <w:color w:val="0000FF" w:themeColor="hyperlink"/>
      <w:u w:val="single"/>
    </w:rPr>
  </w:style>
  <w:style w:type="character" w:customStyle="1" w:styleId="Heading2Char">
    <w:name w:val="Heading 2 Char"/>
    <w:basedOn w:val="DefaultParagraphFont"/>
    <w:link w:val="Heading2"/>
    <w:uiPriority w:val="9"/>
    <w:rsid w:val="00AE48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486C"/>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E486C"/>
    <w:pPr>
      <w:spacing w:after="100"/>
      <w:ind w:left="220"/>
    </w:pPr>
  </w:style>
  <w:style w:type="paragraph" w:styleId="TOC3">
    <w:name w:val="toc 3"/>
    <w:basedOn w:val="Normal"/>
    <w:next w:val="Normal"/>
    <w:autoRedefine/>
    <w:uiPriority w:val="39"/>
    <w:unhideWhenUsed/>
    <w:rsid w:val="00AE486C"/>
    <w:pPr>
      <w:spacing w:after="100"/>
      <w:ind w:left="440"/>
    </w:pPr>
  </w:style>
  <w:style w:type="table" w:styleId="TableGrid">
    <w:name w:val="Table Grid"/>
    <w:basedOn w:val="TableNormal"/>
    <w:uiPriority w:val="59"/>
    <w:rsid w:val="0045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11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8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8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6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00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06D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006D7"/>
    <w:rPr>
      <w:i/>
      <w:iCs/>
      <w:color w:val="808080" w:themeColor="text1" w:themeTint="7F"/>
    </w:rPr>
  </w:style>
  <w:style w:type="paragraph" w:styleId="ListParagraph">
    <w:name w:val="List Paragraph"/>
    <w:basedOn w:val="Normal"/>
    <w:uiPriority w:val="34"/>
    <w:qFormat/>
    <w:rsid w:val="00F006D7"/>
    <w:pPr>
      <w:ind w:left="720"/>
      <w:contextualSpacing/>
    </w:pPr>
  </w:style>
  <w:style w:type="character" w:customStyle="1" w:styleId="Heading1Char">
    <w:name w:val="Heading 1 Char"/>
    <w:basedOn w:val="DefaultParagraphFont"/>
    <w:link w:val="Heading1"/>
    <w:uiPriority w:val="9"/>
    <w:rsid w:val="00B13C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13C8E"/>
    <w:pPr>
      <w:outlineLvl w:val="9"/>
    </w:pPr>
    <w:rPr>
      <w:lang w:eastAsia="ja-JP"/>
    </w:rPr>
  </w:style>
  <w:style w:type="paragraph" w:styleId="BalloonText">
    <w:name w:val="Balloon Text"/>
    <w:basedOn w:val="Normal"/>
    <w:link w:val="BalloonTextChar"/>
    <w:uiPriority w:val="99"/>
    <w:semiHidden/>
    <w:unhideWhenUsed/>
    <w:rsid w:val="00B13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8E"/>
    <w:rPr>
      <w:rFonts w:ascii="Tahoma" w:hAnsi="Tahoma" w:cs="Tahoma"/>
      <w:sz w:val="16"/>
      <w:szCs w:val="16"/>
    </w:rPr>
  </w:style>
  <w:style w:type="paragraph" w:styleId="TOC1">
    <w:name w:val="toc 1"/>
    <w:basedOn w:val="Normal"/>
    <w:next w:val="Normal"/>
    <w:autoRedefine/>
    <w:uiPriority w:val="39"/>
    <w:unhideWhenUsed/>
    <w:rsid w:val="00AE486C"/>
    <w:pPr>
      <w:spacing w:after="100"/>
    </w:pPr>
  </w:style>
  <w:style w:type="character" w:styleId="Hyperlink">
    <w:name w:val="Hyperlink"/>
    <w:basedOn w:val="DefaultParagraphFont"/>
    <w:uiPriority w:val="99"/>
    <w:unhideWhenUsed/>
    <w:rsid w:val="00AE486C"/>
    <w:rPr>
      <w:color w:val="0000FF" w:themeColor="hyperlink"/>
      <w:u w:val="single"/>
    </w:rPr>
  </w:style>
  <w:style w:type="character" w:customStyle="1" w:styleId="Heading2Char">
    <w:name w:val="Heading 2 Char"/>
    <w:basedOn w:val="DefaultParagraphFont"/>
    <w:link w:val="Heading2"/>
    <w:uiPriority w:val="9"/>
    <w:rsid w:val="00AE48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486C"/>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E486C"/>
    <w:pPr>
      <w:spacing w:after="100"/>
      <w:ind w:left="220"/>
    </w:pPr>
  </w:style>
  <w:style w:type="paragraph" w:styleId="TOC3">
    <w:name w:val="toc 3"/>
    <w:basedOn w:val="Normal"/>
    <w:next w:val="Normal"/>
    <w:autoRedefine/>
    <w:uiPriority w:val="39"/>
    <w:unhideWhenUsed/>
    <w:rsid w:val="00AE486C"/>
    <w:pPr>
      <w:spacing w:after="100"/>
      <w:ind w:left="440"/>
    </w:pPr>
  </w:style>
  <w:style w:type="table" w:styleId="TableGrid">
    <w:name w:val="Table Grid"/>
    <w:basedOn w:val="TableNormal"/>
    <w:uiPriority w:val="59"/>
    <w:rsid w:val="0045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113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bis.org/publ/rpfx13fx.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forexfac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4E424FF-EB50-40CD-8716-DF73EBC7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dc:creator>
  <cp:keywords/>
  <dc:description/>
  <cp:lastModifiedBy>maciej</cp:lastModifiedBy>
  <cp:revision>1</cp:revision>
  <dcterms:created xsi:type="dcterms:W3CDTF">2017-06-21T14:44:00Z</dcterms:created>
  <dcterms:modified xsi:type="dcterms:W3CDTF">2017-06-23T13:45:00Z</dcterms:modified>
</cp:coreProperties>
</file>