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F4361">
              <w:t>4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1F4361">
              <w:t>Modele z komutacją pakietów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7C18A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7C18A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7C18A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9A43CF" w:rsidRDefault="00323EF0" w:rsidP="00323EF0">
      <w:pPr>
        <w:ind w:left="372" w:firstLine="708"/>
      </w:pPr>
      <w:r>
        <w:t>Obliczyć</w:t>
      </w:r>
      <w:r w:rsidR="001F4361">
        <w:t xml:space="preserve"> </w:t>
      </w:r>
      <w:r>
        <w:t>miary</w:t>
      </w:r>
      <w:r w:rsidR="001F4361">
        <w:t xml:space="preserve"> </w:t>
      </w:r>
      <w:r>
        <w:t>wydajności i przedstawić</w:t>
      </w:r>
      <w:r w:rsidR="001F4361">
        <w:t xml:space="preserve"> w formie </w:t>
      </w:r>
      <w:r>
        <w:t>wykresów</w:t>
      </w:r>
      <w:r w:rsidR="009977B6">
        <w:t>:</w:t>
      </w:r>
    </w:p>
    <w:p w:rsidR="009A43CF" w:rsidRDefault="001F4361" w:rsidP="009A43CF">
      <w:pPr>
        <w:ind w:left="1080" w:firstLine="708"/>
      </w:pPr>
      <w:r>
        <w:t>C=3</w:t>
      </w:r>
    </w:p>
    <w:p w:rsidR="009A43CF" w:rsidRDefault="009977B6" w:rsidP="009A43CF">
      <w:pPr>
        <w:ind w:left="1080" w:firstLine="708"/>
      </w:pPr>
      <w:r>
        <w:t>m</w:t>
      </w:r>
      <w:r w:rsidR="001F4361">
        <w:t>1=6</w:t>
      </w:r>
    </w:p>
    <w:p w:rsidR="001F4361" w:rsidRDefault="009977B6" w:rsidP="009A43CF">
      <w:pPr>
        <w:ind w:left="1080" w:firstLine="708"/>
      </w:pPr>
      <w:r>
        <w:t>m</w:t>
      </w:r>
      <w:r w:rsidR="001F4361">
        <w:t>=10</w:t>
      </w:r>
    </w:p>
    <w:p w:rsidR="009A43CF" w:rsidRDefault="009A43CF" w:rsidP="009A43CF">
      <w:pPr>
        <w:ind w:left="1080" w:firstLine="708"/>
      </w:pPr>
      <w:r w:rsidRPr="009A43CF">
        <w:t>μ</w:t>
      </w:r>
      <w:r w:rsidR="001F4361">
        <w:t xml:space="preserve"> = 10</w:t>
      </w:r>
    </w:p>
    <w:p w:rsidR="009A43CF" w:rsidRDefault="009A43CF" w:rsidP="006B6DE5">
      <w:pPr>
        <w:ind w:left="1080" w:firstLine="708"/>
      </w:pPr>
      <w:r w:rsidRPr="009A43CF">
        <w:t>λ</w:t>
      </w:r>
      <w:r w:rsidR="001F4361">
        <w:t>1= 2,4,....,14</w:t>
      </w:r>
    </w:p>
    <w:p w:rsidR="001F4361" w:rsidRDefault="001F4361" w:rsidP="001F4361">
      <w:pPr>
        <w:ind w:left="1080" w:firstLine="708"/>
      </w:pPr>
      <w:r w:rsidRPr="009A43CF">
        <w:t>λ</w:t>
      </w:r>
      <w:r>
        <w:t>2= 4,8,....,28 // lambdy brać parami 2 I 4 Z DOLU 2 4I 8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bookmarkStart w:id="1" w:name="_Toc465805849"/>
      <w:r>
        <w:t xml:space="preserve">Prawdopodobienstwa stanow </w:t>
      </w:r>
      <w:r w:rsidR="001F4361">
        <w:t>modelu</w:t>
      </w:r>
      <w:r>
        <w:t xml:space="preserve"> tylko dla </w:t>
      </w:r>
      <w:r w:rsidR="00062EE7" w:rsidRPr="009A43CF">
        <w:t>λ</w:t>
      </w:r>
      <w:r w:rsidR="001F4361">
        <w:t>1</w:t>
      </w:r>
      <w:r w:rsidR="00062EE7">
        <w:t xml:space="preserve"> </w:t>
      </w:r>
      <w:r w:rsidR="001F4361">
        <w:t>= 10</w:t>
      </w:r>
      <w:r>
        <w:t>.0</w:t>
      </w:r>
      <w:r w:rsidR="001F4361">
        <w:t xml:space="preserve"> i </w:t>
      </w:r>
      <w:r w:rsidR="001F4361" w:rsidRPr="009A43CF">
        <w:t>λ</w:t>
      </w:r>
      <w:r w:rsidR="001F4361">
        <w:t>2 = 20.0</w:t>
      </w:r>
    </w:p>
    <w:p w:rsidR="003E4CAF" w:rsidRDefault="001F4361" w:rsidP="003E4CAF">
      <w:pPr>
        <w:pStyle w:val="ListParagraph"/>
        <w:numPr>
          <w:ilvl w:val="0"/>
          <w:numId w:val="9"/>
        </w:numPr>
      </w:pPr>
      <w:r>
        <w:t>Prawdopodobieństo straty dla ruchu tranzytowego Pstr2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Prawdopodobieństo straty dla ruchu lokalnego Pstr1</w:t>
      </w:r>
    </w:p>
    <w:p w:rsidR="003E4CAF" w:rsidRDefault="001F4361" w:rsidP="00062EE7">
      <w:pPr>
        <w:pStyle w:val="ListParagraph"/>
        <w:numPr>
          <w:ilvl w:val="0"/>
          <w:numId w:val="9"/>
        </w:numPr>
      </w:pPr>
      <w:r>
        <w:t>Współczynnik strat dla ruchu tranzytowego Pt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Współczynnik strat dla ruchu lokalnego Pl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Współczynnik strat dla obu ruchów Pstr</w:t>
      </w:r>
    </w:p>
    <w:p w:rsidR="00515451" w:rsidRDefault="00515451" w:rsidP="00515451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1B12">
        <w:rPr>
          <w:rFonts w:eastAsiaTheme="minorEastAsia"/>
        </w:rPr>
        <w:t>/m</w:t>
      </w:r>
      <w:r>
        <w:t xml:space="preserve"> – </w:t>
      </w:r>
      <w:r w:rsidR="00761BC7">
        <w:t xml:space="preserve">model </w:t>
      </w:r>
      <w:r w:rsidR="00821B12">
        <w:t>z komutacją wiadomości.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7F5E37" w:rsidRDefault="00821B12" w:rsidP="000D6915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86FC17B" wp14:editId="2F1B215F">
            <wp:extent cx="4800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Gdzie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4240">
        <w:rPr>
          <w:rFonts w:eastAsiaTheme="minorEastAsia"/>
        </w:rPr>
        <w:t xml:space="preserve"> obliczamy </w:t>
      </w:r>
      <w:r w:rsidR="000D6915">
        <w:rPr>
          <w:rFonts w:eastAsiaTheme="minorEastAsia"/>
        </w:rPr>
        <w:t>trzema</w:t>
      </w:r>
      <w:r w:rsidR="009B4240">
        <w:rPr>
          <w:rFonts w:eastAsiaTheme="minorEastAsia"/>
        </w:rPr>
        <w:t xml:space="preserve"> wzorami</w:t>
      </w:r>
      <w:r>
        <w:rPr>
          <w:rFonts w:eastAsiaTheme="minorEastAsia"/>
        </w:rPr>
        <w:t>.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0D6915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</w:t>
      </w:r>
      <w:r w:rsidR="000D6915">
        <w:rPr>
          <w:rFonts w:eastAsiaTheme="minorEastAsia"/>
        </w:rPr>
        <w:t>-1</w:t>
      </w:r>
      <w:r w:rsidR="0042557F">
        <w:rPr>
          <w:rFonts w:eastAsiaTheme="minorEastAsia"/>
        </w:rPr>
        <w:t xml:space="preserve"> </w:t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33AE01" wp14:editId="58019BBF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</w:p>
    <w:p w:rsidR="009B4240" w:rsidRP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rFonts w:eastAsiaTheme="minorEastAsia"/>
        </w:rPr>
        <w:t>dla c+1 ≤ i ≤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-1</w:t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8A049CE" wp14:editId="747E79C5">
            <wp:extent cx="36957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dla </w:t>
      </w:r>
      <w:r>
        <w:rPr>
          <w:rFonts w:eastAsiaTheme="minorEastAsia"/>
        </w:rPr>
        <w:t>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≤i≤c+m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47E93AC" wp14:editId="41ACA7E4">
            <wp:extent cx="51435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5961C7">
      <w:pPr>
        <w:pStyle w:val="NoSpacing"/>
        <w:ind w:left="708"/>
        <w:rPr>
          <w:noProof/>
          <w:lang w:eastAsia="pl-PL"/>
        </w:rPr>
      </w:pPr>
    </w:p>
    <w:p w:rsidR="00ED751D" w:rsidRP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Parametry </w:t>
      </w:r>
      <m:oMath>
        <m:r>
          <w:rPr>
            <w:rFonts w:ascii="Cambria Math" w:eastAsiaTheme="minorEastAsia" w:hAnsi="Cambria Math"/>
          </w:rPr>
          <m:t xml:space="preserve">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B559535" wp14:editId="53CB963E">
            <wp:extent cx="23431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Pr="006F25CD" w:rsidRDefault="006F25CD" w:rsidP="005961C7">
      <w:pPr>
        <w:pStyle w:val="NoSpacing"/>
        <w:ind w:left="708"/>
        <w:rPr>
          <w:rFonts w:eastAsiaTheme="minorEastAsia"/>
        </w:rPr>
      </w:pPr>
    </w:p>
    <w:p w:rsidR="009B4240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suma wszystkich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264FDE" wp14:editId="59C23EE2">
            <wp:extent cx="4229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5961C7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Dalej prawdopodobieństwa</w:t>
      </w:r>
      <w:r>
        <w:rPr>
          <w:rFonts w:eastAsiaTheme="minorEastAsia"/>
        </w:rPr>
        <w:t xml:space="preserve"> stanów fazowych </w:t>
      </w:r>
      <w:r>
        <w:rPr>
          <w:rFonts w:eastAsiaTheme="minorEastAsia"/>
        </w:rPr>
        <w:t>obliczamy używając wzoru</w:t>
      </w:r>
      <w:r>
        <w:rPr>
          <w:rFonts w:eastAsiaTheme="minorEastAsia"/>
        </w:rPr>
        <w:t>:</w:t>
      </w:r>
    </w:p>
    <w:p w:rsidR="006F25CD" w:rsidRDefault="006F25CD" w:rsidP="006F25CD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9194468" wp14:editId="3962336E">
            <wp:extent cx="96202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ind w:left="708"/>
      </w:pPr>
      <w:r>
        <w:t>Prawdopodobieństo str</w:t>
      </w:r>
      <w:r w:rsidR="00B10996">
        <w:t>aty dla ruchu tranzytowego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514A9C63" wp14:editId="14801950">
            <wp:extent cx="414337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6F25CD" w:rsidRDefault="006F25CD" w:rsidP="006F25CD">
      <w:pPr>
        <w:ind w:left="708"/>
      </w:pPr>
      <w:r>
        <w:lastRenderedPageBreak/>
        <w:t xml:space="preserve">Prawdopodobieństo </w:t>
      </w:r>
      <w:r w:rsidR="00B10996">
        <w:t xml:space="preserve">straty dla ruchu lokalnego 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14307F06" wp14:editId="600A4384">
            <wp:extent cx="42291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tranzytowego Pt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09F02D31" wp14:editId="4EF690B6">
            <wp:extent cx="1619250" cy="600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lokalnego Pl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299C01A3" wp14:editId="70FCEEE2">
            <wp:extent cx="15716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t>Współczynnik strat dla obu ruchów Pstr</w:t>
      </w:r>
    </w:p>
    <w:p w:rsidR="006F25CD" w:rsidRDefault="00B10996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1FB926B" wp14:editId="38150813">
            <wp:extent cx="34385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B10996">
        <w:t>= 10 i 20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9A5B2E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 w:rsidR="00D65855">
        <w:instrText xml:space="preserve"> \* MERGEFORMAT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0,307696961025174000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0,461545441537761000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0,153848480512587000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0,051282826837529000</w:t>
            </w:r>
            <w:r w:rsidR="001A48B3" w:rsidRPr="001A48B3">
              <w:t xml:space="preserve">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0,017094275612509700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0,005698091870836560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C028CD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0,001899363956945520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E07F6" w:rsidRDefault="00BE07F6" w:rsidP="00BE07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0,000633121318981840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C520C" w:rsidRDefault="00EC520C" w:rsidP="00EC52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0,000211040439660613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2447F" w:rsidRDefault="00E2447F" w:rsidP="00E244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F67CF" w:rsidRDefault="002F67CF" w:rsidP="002F67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0,000015632625160045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22958" w:rsidRDefault="00222958" w:rsidP="002229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0,000003473916702232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D65855" w:rsidRPr="009E471B" w:rsidRDefault="009E471B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0,000000771981489385</w:t>
            </w:r>
          </w:p>
        </w:tc>
      </w:tr>
      <w:tr w:rsidR="00D65855" w:rsidRPr="00427094" w:rsidTr="00760FA3">
        <w:trPr>
          <w:trHeight w:val="300"/>
        </w:trPr>
        <w:tc>
          <w:tcPr>
            <w:tcW w:w="3059" w:type="dxa"/>
            <w:noWrap/>
          </w:tcPr>
          <w:p w:rsidR="00D65855" w:rsidRDefault="00D65855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0,000000171551442086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D65855">
        <w:rPr>
          <w:noProof/>
          <w:lang w:eastAsia="pl-PL"/>
        </w:rPr>
        <w:drawing>
          <wp:inline distT="0" distB="0" distL="0" distR="0" wp14:anchorId="0F51EA8B" wp14:editId="0699D159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54C91">
        <w:br w:type="textWrapping" w:clear="all"/>
      </w:r>
    </w:p>
    <w:p w:rsidR="00DE2396" w:rsidRPr="00427094" w:rsidRDefault="00DE2396" w:rsidP="00760FA3">
      <w:pPr>
        <w:pStyle w:val="ListParagraph"/>
        <w:ind w:left="1440"/>
      </w:pPr>
    </w:p>
    <w:p w:rsidR="00D179D5" w:rsidRPr="00D179D5" w:rsidRDefault="00DE2396" w:rsidP="00D179D5">
      <w:pPr>
        <w:pStyle w:val="ListParagraph"/>
        <w:numPr>
          <w:ilvl w:val="0"/>
          <w:numId w:val="10"/>
        </w:numPr>
        <w:ind w:left="993"/>
      </w:pPr>
      <w:r w:rsidRPr="00D65855">
        <w:lastRenderedPageBreak/>
        <w:t>Prawdopodobieństo straty dla ruchu tranzytowego</w:t>
      </w:r>
      <w:r w:rsidR="00760FA3">
        <w:t xml:space="preserve">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65855" w:rsidP="00D65855">
            <w:r w:rsidRPr="00D65855">
              <w:t xml:space="preserve">Prawdopodobieństo straty dla ruchu tranzytowego </w:t>
            </w:r>
            <w:r>
              <w:t xml:space="preserve">dla wszystkich lambd 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D65855" w:rsidRDefault="00D65855" w:rsidP="00D65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0,00000000008858240957026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B537B7" w:rsidP="00B537B7">
            <w:r>
              <w:rPr>
                <w:rFonts w:ascii="Calibri" w:hAnsi="Calibri"/>
                <w:color w:val="000000"/>
              </w:rPr>
              <w:t>0,00000003541455716416950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1E56D0" w:rsidP="001E56D0">
            <w:r>
              <w:rPr>
                <w:rFonts w:ascii="Calibri" w:hAnsi="Calibri"/>
                <w:color w:val="000000"/>
              </w:rPr>
              <w:t>0,00000108423540721003000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63668" w:rsidRDefault="00844461" w:rsidP="008444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0,00001163929130605120000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630C02" w:rsidRDefault="00630C02" w:rsidP="00630C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0,00007034681322020440000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01655E" w:rsidRDefault="00E92341" w:rsidP="00E923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0,00029493851779430200000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4733DF" w:rsidRDefault="004733DF" w:rsidP="004733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0,00095707095617853300000</w:t>
            </w:r>
          </w:p>
          <w:p w:rsidR="00D179D5" w:rsidRPr="00DE2396" w:rsidRDefault="00D179D5" w:rsidP="004733DF">
            <w:pPr>
              <w:tabs>
                <w:tab w:val="left" w:pos="1665"/>
              </w:tabs>
            </w:pPr>
          </w:p>
        </w:tc>
      </w:tr>
    </w:tbl>
    <w:p w:rsidR="00760FA3" w:rsidRDefault="00D6585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67A1BCE1" wp14:editId="70E8CB14">
            <wp:extent cx="4276725" cy="2466975"/>
            <wp:effectExtent l="0" t="0" r="9525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179D5" w:rsidRPr="00241F5B" w:rsidRDefault="00DE2396" w:rsidP="00D179D5">
      <w:pPr>
        <w:pStyle w:val="ListParagraph"/>
        <w:numPr>
          <w:ilvl w:val="0"/>
          <w:numId w:val="10"/>
        </w:numPr>
        <w:ind w:left="993"/>
      </w:pPr>
      <w:r>
        <w:t>Prawdopodobieństwo straty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3059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DE2396" w:rsidP="00CF3896">
            <w:r>
              <w:t>Prawdopodobieństwo straty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075327" w:rsidRDefault="00DE2396" w:rsidP="00DE23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0,000000000121175422928870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50B45" w:rsidRDefault="00450B45" w:rsidP="00450B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0,000000063387190437976100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7418C" w:rsidRDefault="0047418C" w:rsidP="0047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0,000002470752728504440000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4F7932" w:rsidP="004F79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0,000033199441383754100000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2C3B6D" w:rsidP="002C3B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0,000248673760207557000000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627511" w:rsidRDefault="00627511" w:rsidP="006275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0,001286356027494720000000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770F1C" w:rsidRDefault="00770F1C" w:rsidP="00770F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0,005151781022252340000000</w:t>
            </w:r>
          </w:p>
        </w:tc>
      </w:tr>
    </w:tbl>
    <w:p w:rsidR="00287FC5" w:rsidRDefault="00DE2396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5939ABF3" wp14:editId="0635BDCD">
            <wp:extent cx="4276725" cy="2419350"/>
            <wp:effectExtent l="0" t="0" r="9525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F40839" w:rsidP="00241F5B">
      <w:pPr>
        <w:pStyle w:val="ListParagraph"/>
        <w:numPr>
          <w:ilvl w:val="0"/>
          <w:numId w:val="10"/>
        </w:numPr>
        <w:ind w:left="993" w:hanging="284"/>
      </w:pPr>
      <w:r>
        <w:t>Współczynnik strat dla ruchu tranzytowego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9A5B2E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184" w:type="dxa"/>
        <w:tblLook w:val="04A0" w:firstRow="1" w:lastRow="0" w:firstColumn="1" w:lastColumn="0" w:noHBand="0" w:noVBand="1"/>
      </w:tblPr>
      <w:tblGrid>
        <w:gridCol w:w="3184"/>
      </w:tblGrid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427094" w:rsidRDefault="00F40839" w:rsidP="00241F5B">
            <w:r>
              <w:t>Współczynnik strat dla ruchu tranzytowego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F40839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0,0000000000590549397135063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0,0000000236097047761130000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933A9A" w:rsidP="00933A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0,0000007228236048066840000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565FE" w:rsidRDefault="009565FE" w:rsidP="00956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0,0000077595275373674500000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0,0000468978754801363000000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0,0001966256785295350000000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1C6445" w:rsidRDefault="001C6445" w:rsidP="001C6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0,0006380473041190220000000</w:t>
            </w:r>
          </w:p>
        </w:tc>
      </w:tr>
    </w:tbl>
    <w:p w:rsidR="00241F5B" w:rsidRPr="0067105C" w:rsidRDefault="0067105C" w:rsidP="00F4083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F3E74F1" wp14:editId="1EAD0EFB">
            <wp:extent cx="4191000" cy="2162175"/>
            <wp:effectExtent l="0" t="0" r="0" b="952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206434" w:rsidP="00241F5B">
      <w:pPr>
        <w:pStyle w:val="ListParagraph"/>
        <w:numPr>
          <w:ilvl w:val="0"/>
          <w:numId w:val="10"/>
        </w:numPr>
        <w:ind w:left="1134"/>
      </w:pPr>
      <w:r>
        <w:lastRenderedPageBreak/>
        <w:t>Współczynnik strat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3170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06434" w:rsidP="00CF3896">
            <w:r>
              <w:t>Współczynnik strat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0,0000000000807836152859133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0,0000000422581269586507000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0,0000016471684856696300000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0,0000221329609225027000000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0,0001657825068050380000000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0,0008575706849964830000000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0,0034345206815015600000000</w:t>
            </w:r>
          </w:p>
        </w:tc>
      </w:tr>
    </w:tbl>
    <w:p w:rsidR="00C625C6" w:rsidRDefault="00206434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9429AE1" wp14:editId="68CA9661">
            <wp:extent cx="4543425" cy="2362200"/>
            <wp:effectExtent l="0" t="0" r="9525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5185E" w:rsidRDefault="0095185E" w:rsidP="0095185E">
      <w:pPr>
        <w:pStyle w:val="ListParagraph"/>
        <w:numPr>
          <w:ilvl w:val="0"/>
          <w:numId w:val="10"/>
        </w:numPr>
        <w:ind w:left="1134"/>
      </w:pPr>
      <w:r>
        <w:t>Współczynnik strat dla obu ruchów</w:t>
      </w:r>
    </w:p>
    <w:tbl>
      <w:tblPr>
        <w:tblStyle w:val="TableGrid"/>
        <w:tblpPr w:leftFromText="141" w:rightFromText="141" w:vertAnchor="text" w:tblpX="-572" w:tblpY="1"/>
        <w:tblOverlap w:val="never"/>
        <w:tblW w:w="3170" w:type="dxa"/>
        <w:tblLook w:val="04A0" w:firstRow="1" w:lastRow="0" w:firstColumn="1" w:lastColumn="0" w:noHBand="0" w:noVBand="1"/>
      </w:tblPr>
      <w:tblGrid>
        <w:gridCol w:w="3170"/>
      </w:tblGrid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427094" w:rsidRDefault="0095185E" w:rsidP="0095185E">
            <w:r>
              <w:t xml:space="preserve">Współczynnik strat dla </w:t>
            </w:r>
            <w:r>
              <w:t>obu ruchów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0,0000000001398385549994200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0,0000000658678317347637000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0,0000023699920904763100000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0,0000298924884598702000000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0,0002126803822851740000000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0,0010541963635260200000000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0,0040725679856205800000000</w:t>
            </w:r>
          </w:p>
        </w:tc>
      </w:tr>
    </w:tbl>
    <w:p w:rsidR="0095185E" w:rsidRDefault="0095185E" w:rsidP="0095185E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8B672BD" wp14:editId="47917D06">
            <wp:extent cx="4533900" cy="257175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Pr="00B71FE5" w:rsidRDefault="0095185E" w:rsidP="00B71FE5">
      <w:pPr>
        <w:pStyle w:val="ListParagraph"/>
        <w:ind w:left="1440"/>
        <w:rPr>
          <w:rFonts w:eastAsiaTheme="minorEastAsia"/>
        </w:rPr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95185E" w:rsidP="004A54E8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3F5FCDB8" wp14:editId="668F31D7">
            <wp:extent cx="4572000" cy="457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95185E" w:rsidP="004A54E8">
      <w:r>
        <w:rPr>
          <w:noProof/>
          <w:lang w:eastAsia="pl-PL"/>
        </w:rPr>
        <w:drawing>
          <wp:inline distT="0" distB="0" distL="0" distR="0" wp14:anchorId="4CC076A4" wp14:editId="5BF44FEF">
            <wp:extent cx="6301105" cy="391541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E7482C" w:rsidP="004A54E8">
      <w:r>
        <w:rPr>
          <w:noProof/>
          <w:lang w:eastAsia="pl-PL"/>
        </w:rPr>
        <w:lastRenderedPageBreak/>
        <w:drawing>
          <wp:inline distT="0" distB="0" distL="0" distR="0" wp14:anchorId="6FD583C9" wp14:editId="12F155BC">
            <wp:extent cx="620077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3857F6" w:rsidRPr="003857F6" w:rsidRDefault="00E7482C" w:rsidP="003857F6">
      <w:r>
        <w:rPr>
          <w:noProof/>
          <w:lang w:eastAsia="pl-PL"/>
        </w:rPr>
        <w:drawing>
          <wp:inline distT="0" distB="0" distL="0" distR="0" wp14:anchorId="6017C21A" wp14:editId="293ECEAC">
            <wp:extent cx="6301105" cy="3902710"/>
            <wp:effectExtent l="0" t="0" r="444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lastRenderedPageBreak/>
        <w:t>Aplikacja  liczy wartości dla każdego z podpunktów: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 xml:space="preserve">Prawdopodobienstwa stanow modelu tylko dla </w:t>
      </w:r>
      <w:r w:rsidRPr="009A43CF">
        <w:t>λ</w:t>
      </w:r>
      <w:r>
        <w:t xml:space="preserve">1 = 10.0 i </w:t>
      </w:r>
      <w:r w:rsidRPr="009A43CF">
        <w:t>λ</w:t>
      </w:r>
      <w:r>
        <w:t>2 = 20.0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tranzytowego Pstr2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lokalnego Pstr1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tranzytowego Pt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lokalnego Pl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obu ruchów Pstr</w:t>
      </w:r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3" w:name="_Toc465805851"/>
      <w:r>
        <w:t>Podsumowanie</w:t>
      </w:r>
      <w:bookmarkEnd w:id="3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  <w:bookmarkStart w:id="4" w:name="_GoBack"/>
      <w:bookmarkEnd w:id="4"/>
    </w:p>
    <w:sectPr w:rsidR="00754A66" w:rsidRPr="00061FBE" w:rsidSect="00760FA3">
      <w:footerReference w:type="default" r:id="rId30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8AE" w:rsidRDefault="007C18AE" w:rsidP="00515451">
      <w:pPr>
        <w:spacing w:after="0" w:line="240" w:lineRule="auto"/>
      </w:pPr>
      <w:r>
        <w:separator/>
      </w:r>
    </w:p>
  </w:endnote>
  <w:endnote w:type="continuationSeparator" w:id="0">
    <w:p w:rsidR="007C18AE" w:rsidRDefault="007C18AE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A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8AE" w:rsidRDefault="007C18AE" w:rsidP="00515451">
      <w:pPr>
        <w:spacing w:after="0" w:line="240" w:lineRule="auto"/>
      </w:pPr>
      <w:r>
        <w:separator/>
      </w:r>
    </w:p>
  </w:footnote>
  <w:footnote w:type="continuationSeparator" w:id="0">
    <w:p w:rsidR="007C18AE" w:rsidRDefault="007C18AE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2"/>
  </w:num>
  <w:num w:numId="5">
    <w:abstractNumId w:val="4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D0B5E"/>
    <w:rsid w:val="000D6915"/>
    <w:rsid w:val="00102092"/>
    <w:rsid w:val="00184B8A"/>
    <w:rsid w:val="001A48B3"/>
    <w:rsid w:val="001C6445"/>
    <w:rsid w:val="001E56D0"/>
    <w:rsid w:val="001F4361"/>
    <w:rsid w:val="00206434"/>
    <w:rsid w:val="002201D9"/>
    <w:rsid w:val="00222958"/>
    <w:rsid w:val="00232AEB"/>
    <w:rsid w:val="00241F5B"/>
    <w:rsid w:val="002871A0"/>
    <w:rsid w:val="00287FC5"/>
    <w:rsid w:val="002C3B6D"/>
    <w:rsid w:val="002F67CF"/>
    <w:rsid w:val="0030362D"/>
    <w:rsid w:val="00323EF0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A54E8"/>
    <w:rsid w:val="004A6618"/>
    <w:rsid w:val="004E2623"/>
    <w:rsid w:val="004F7932"/>
    <w:rsid w:val="00515451"/>
    <w:rsid w:val="005961C7"/>
    <w:rsid w:val="005D2D29"/>
    <w:rsid w:val="00601E93"/>
    <w:rsid w:val="00627511"/>
    <w:rsid w:val="00630C02"/>
    <w:rsid w:val="00654C91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6B44"/>
    <w:rsid w:val="00933A9A"/>
    <w:rsid w:val="00946B9A"/>
    <w:rsid w:val="0095185E"/>
    <w:rsid w:val="009565FE"/>
    <w:rsid w:val="0096062C"/>
    <w:rsid w:val="009806E1"/>
    <w:rsid w:val="009977B6"/>
    <w:rsid w:val="009A43CF"/>
    <w:rsid w:val="009A5B2E"/>
    <w:rsid w:val="009B4240"/>
    <w:rsid w:val="009C256B"/>
    <w:rsid w:val="009C7885"/>
    <w:rsid w:val="009E471B"/>
    <w:rsid w:val="00A243CC"/>
    <w:rsid w:val="00A2617A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Prawdopodobienstwa stanow modelu tylko dla λ1 = 10.0 i λ2 = 20.0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Arkusz1!$F$13:$F$26</c:f>
              <c:numCache>
                <c:formatCode>0.000000000000000000</c:formatCode>
                <c:ptCount val="14"/>
                <c:pt idx="0">
                  <c:v>0.30769696102517424</c:v>
                </c:pt>
                <c:pt idx="1">
                  <c:v>0.46154544153776134</c:v>
                </c:pt>
                <c:pt idx="2">
                  <c:v>0.15384848051258712</c:v>
                </c:pt>
                <c:pt idx="3">
                  <c:v>5.1282826837529036E-2</c:v>
                </c:pt>
                <c:pt idx="4">
                  <c:v>1.7094275612509681E-2</c:v>
                </c:pt>
                <c:pt idx="5">
                  <c:v>5.6980918708365597E-3</c:v>
                </c:pt>
                <c:pt idx="6">
                  <c:v>1.8993639569455198E-3</c:v>
                </c:pt>
                <c:pt idx="7">
                  <c:v>6.3312131898183991E-4</c:v>
                </c:pt>
                <c:pt idx="8">
                  <c:v>2.1104043966061329E-4</c:v>
                </c:pt>
                <c:pt idx="9">
                  <c:v>7.034681322020444E-5</c:v>
                </c:pt>
                <c:pt idx="10">
                  <c:v>1.563262516004543E-5</c:v>
                </c:pt>
                <c:pt idx="11">
                  <c:v>3.4739167022323175E-6</c:v>
                </c:pt>
                <c:pt idx="12">
                  <c:v>7.7198148938495949E-7</c:v>
                </c:pt>
                <c:pt idx="13">
                  <c:v>1.715514420855465E-7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5884944"/>
        <c:axId val="1875898000"/>
      </c:lineChart>
      <c:catAx>
        <c:axId val="187588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5898000"/>
        <c:crosses val="autoZero"/>
        <c:auto val="1"/>
        <c:lblAlgn val="ctr"/>
        <c:lblOffset val="100"/>
        <c:noMultiLvlLbl val="0"/>
      </c:catAx>
      <c:valAx>
        <c:axId val="187589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588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tranzytowego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Arkusz1!$B$51:$B$57</c:f>
              <c:numCache>
                <c:formatCode>0.00000000000000000000000</c:formatCode>
                <c:ptCount val="7"/>
                <c:pt idx="0">
                  <c:v>8.8582409570259433E-11</c:v>
                </c:pt>
                <c:pt idx="1">
                  <c:v>3.5414557164169455E-8</c:v>
                </c:pt>
                <c:pt idx="2">
                  <c:v>1.0842354072100266E-6</c:v>
                </c:pt>
                <c:pt idx="3">
                  <c:v>1.1639291306051172E-5</c:v>
                </c:pt>
                <c:pt idx="4">
                  <c:v>7.034681322020444E-5</c:v>
                </c:pt>
                <c:pt idx="5">
                  <c:v>2.9493851779430186E-4</c:v>
                </c:pt>
                <c:pt idx="6">
                  <c:v>9.5707095617853346E-4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5887120"/>
        <c:axId val="1891080336"/>
      </c:lineChart>
      <c:catAx>
        <c:axId val="187588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80336"/>
        <c:crosses val="autoZero"/>
        <c:auto val="1"/>
        <c:lblAlgn val="ctr"/>
        <c:lblOffset val="100"/>
        <c:noMultiLvlLbl val="0"/>
      </c:catAx>
      <c:valAx>
        <c:axId val="189108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7588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lokalnego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Arkusz1!$B$61:$B$67</c:f>
              <c:numCache>
                <c:formatCode>0.000000000000000000000000</c:formatCode>
                <c:ptCount val="7"/>
                <c:pt idx="0">
                  <c:v>1.2117542292886998E-10</c:v>
                </c:pt>
                <c:pt idx="1">
                  <c:v>6.3387190437976105E-8</c:v>
                </c:pt>
                <c:pt idx="2">
                  <c:v>2.4707527285044384E-6</c:v>
                </c:pt>
                <c:pt idx="3">
                  <c:v>3.3199441383754082E-5</c:v>
                </c:pt>
                <c:pt idx="4">
                  <c:v>2.486737602075571E-4</c:v>
                </c:pt>
                <c:pt idx="5">
                  <c:v>1.2863560274947239E-3</c:v>
                </c:pt>
                <c:pt idx="6">
                  <c:v>5.1517810222523365E-3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078160"/>
        <c:axId val="1891083056"/>
      </c:lineChart>
      <c:catAx>
        <c:axId val="189107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83056"/>
        <c:crosses val="autoZero"/>
        <c:auto val="1"/>
        <c:lblAlgn val="ctr"/>
        <c:lblOffset val="100"/>
        <c:noMultiLvlLbl val="0"/>
      </c:catAx>
      <c:valAx>
        <c:axId val="18910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7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tranzytowego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Arkusz1!$B$70:$B$76</c:f>
              <c:numCache>
                <c:formatCode>0.0000000000000000000000000</c:formatCode>
                <c:ptCount val="7"/>
                <c:pt idx="0">
                  <c:v>5.905493971350628E-11</c:v>
                </c:pt>
                <c:pt idx="1">
                  <c:v>2.3609704776112969E-8</c:v>
                </c:pt>
                <c:pt idx="2">
                  <c:v>7.2282360480668449E-7</c:v>
                </c:pt>
                <c:pt idx="3">
                  <c:v>7.7595275373674474E-6</c:v>
                </c:pt>
                <c:pt idx="4">
                  <c:v>4.6897875480136291E-5</c:v>
                </c:pt>
                <c:pt idx="5">
                  <c:v>1.9662567852953458E-4</c:v>
                </c:pt>
                <c:pt idx="6">
                  <c:v>6.3804730411902238E-4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070544"/>
        <c:axId val="1891071632"/>
      </c:lineChart>
      <c:catAx>
        <c:axId val="189107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71632"/>
        <c:crosses val="autoZero"/>
        <c:auto val="1"/>
        <c:lblAlgn val="ctr"/>
        <c:lblOffset val="100"/>
        <c:noMultiLvlLbl val="0"/>
      </c:catAx>
      <c:valAx>
        <c:axId val="189107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7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lokalnego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Arkusz1!$B$79:$B$85</c:f>
              <c:numCache>
                <c:formatCode>0.0000000000000000000000000</c:formatCode>
                <c:ptCount val="7"/>
                <c:pt idx="0">
                  <c:v>8.0783615285913315E-11</c:v>
                </c:pt>
                <c:pt idx="1">
                  <c:v>4.2258126958650734E-8</c:v>
                </c:pt>
                <c:pt idx="2">
                  <c:v>1.6471684856696257E-6</c:v>
                </c:pt>
                <c:pt idx="3">
                  <c:v>2.2132960922502719E-5</c:v>
                </c:pt>
                <c:pt idx="4">
                  <c:v>1.6578250680503805E-4</c:v>
                </c:pt>
                <c:pt idx="5">
                  <c:v>8.575706849964827E-4</c:v>
                </c:pt>
                <c:pt idx="6">
                  <c:v>3.4345206815015582E-3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073808"/>
        <c:axId val="1884290848"/>
      </c:lineChart>
      <c:catAx>
        <c:axId val="189107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4290848"/>
        <c:crosses val="autoZero"/>
        <c:auto val="1"/>
        <c:lblAlgn val="ctr"/>
        <c:lblOffset val="100"/>
        <c:noMultiLvlLbl val="0"/>
      </c:catAx>
      <c:valAx>
        <c:axId val="188429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107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obu ruchów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Arkusz1!$B$88:$B$94</c:f>
              <c:numCache>
                <c:formatCode>0.0000000000000000000000000</c:formatCode>
                <c:ptCount val="7"/>
                <c:pt idx="0">
                  <c:v>1.3983855499941961E-10</c:v>
                </c:pt>
                <c:pt idx="1">
                  <c:v>6.5867831734763707E-8</c:v>
                </c:pt>
                <c:pt idx="2">
                  <c:v>2.3699920904763104E-6</c:v>
                </c:pt>
                <c:pt idx="3">
                  <c:v>2.9892488459870165E-5</c:v>
                </c:pt>
                <c:pt idx="4">
                  <c:v>2.1268038228517433E-4</c:v>
                </c:pt>
                <c:pt idx="5">
                  <c:v>1.0541963635260173E-3</c:v>
                </c:pt>
                <c:pt idx="6">
                  <c:v>4.0725679856205808E-3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4301728"/>
        <c:axId val="1884293024"/>
      </c:lineChart>
      <c:catAx>
        <c:axId val="188430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4293024"/>
        <c:crosses val="autoZero"/>
        <c:auto val="1"/>
        <c:lblAlgn val="ctr"/>
        <c:lblOffset val="100"/>
        <c:noMultiLvlLbl val="0"/>
      </c:catAx>
      <c:valAx>
        <c:axId val="188429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430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5"/>
    <w:rsid w:val="007416B0"/>
    <w:rsid w:val="0084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8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9557-6904-4FC1-BA31-975353D3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9</Pages>
  <Words>1023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89</cp:revision>
  <dcterms:created xsi:type="dcterms:W3CDTF">2016-10-08T13:23:00Z</dcterms:created>
  <dcterms:modified xsi:type="dcterms:W3CDTF">2016-12-03T22:28:00Z</dcterms:modified>
</cp:coreProperties>
</file>