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Fundamentals of Language Acquisition</w:t>
      </w:r>
    </w:p>
    <w:p>
      <w:pPr>
        <w:jc w:val="center"/>
      </w:pPr>
      <w:r>
        <w:t>Week 09 – Assignment 09 | Questions, Options &amp; Correct Answers</w:t>
      </w:r>
    </w:p>
    <w:p>
      <w:pPr>
        <w:jc w:val="center"/>
      </w:pPr>
      <w:r>
        <w:t>Transcribed from the supplied screenshots. The answer is listed after each question.</w:t>
      </w:r>
    </w:p>
    <w:p>
      <w:pPr>
        <w:pStyle w:val="Heading2"/>
      </w:pPr>
      <w:r>
        <w:t>Q1. According to Herodotus’s account, what was the infants’ first word, and what did it mean?</w:t>
      </w:r>
    </w:p>
    <w:p>
      <w:pPr>
        <w:spacing w:after="20"/>
        <w:ind w:left="360"/>
      </w:pPr>
      <w:r>
        <w:t>A. “Ma” – mother</w:t>
      </w:r>
    </w:p>
    <w:p>
      <w:pPr>
        <w:spacing w:after="20"/>
        <w:ind w:left="360"/>
      </w:pPr>
      <w:r>
        <w:t>B. “Pa” – father</w:t>
      </w:r>
    </w:p>
    <w:p>
      <w:pPr>
        <w:spacing w:after="20"/>
        <w:ind w:left="360"/>
      </w:pPr>
      <w:r>
        <w:t>C. “Bekos” – bread</w:t>
      </w:r>
    </w:p>
    <w:p>
      <w:pPr>
        <w:spacing w:after="20"/>
        <w:ind w:left="360"/>
      </w:pPr>
      <w:r>
        <w:t>D. “Aqua” – water</w:t>
      </w:r>
    </w:p>
    <w:p>
      <w:pPr>
        <w:spacing w:after="160"/>
      </w:pPr>
      <w:r>
        <w:rPr>
          <w:b/>
          <w:sz w:val="20"/>
        </w:rPr>
        <w:t>Correct answer: C. “Bekos” – bread</w:t>
      </w:r>
    </w:p>
    <w:p>
      <w:pPr>
        <w:pStyle w:val="Heading2"/>
      </w:pPr>
      <w:r>
        <w:t>Q2. What did Lenneberg (1966) study in relation to tracheotomy and language development?</w:t>
      </w:r>
    </w:p>
    <w:p>
      <w:pPr>
        <w:spacing w:after="20"/>
        <w:ind w:left="360"/>
      </w:pPr>
      <w:r>
        <w:t>A. The child’s language abilities showed no major issues</w:t>
      </w:r>
    </w:p>
    <w:p>
      <w:pPr>
        <w:spacing w:after="20"/>
        <w:ind w:left="360"/>
      </w:pPr>
      <w:r>
        <w:t>B. Language acquisition was severely impaired</w:t>
      </w:r>
    </w:p>
    <w:p>
      <w:pPr>
        <w:spacing w:after="20"/>
        <w:ind w:left="360"/>
      </w:pPr>
      <w:r>
        <w:t>C. The child never learned to speak</w:t>
      </w:r>
    </w:p>
    <w:p>
      <w:pPr>
        <w:spacing w:after="20"/>
        <w:ind w:left="360"/>
      </w:pPr>
      <w:r>
        <w:t>D. Only comprehension was affected</w:t>
      </w:r>
    </w:p>
    <w:p>
      <w:pPr>
        <w:spacing w:after="160"/>
      </w:pPr>
      <w:r>
        <w:rPr>
          <w:b/>
          <w:sz w:val="20"/>
        </w:rPr>
        <w:t>Correct answer: A. The child’s language abilities showed no major issues</w:t>
      </w:r>
    </w:p>
    <w:p>
      <w:pPr>
        <w:pStyle w:val="Heading2"/>
      </w:pPr>
      <w:r>
        <w:t>Q3. What is “homesign”?</w:t>
      </w:r>
    </w:p>
    <w:p>
      <w:pPr>
        <w:spacing w:after="20"/>
        <w:ind w:left="360"/>
      </w:pPr>
      <w:r>
        <w:t>A. A conventional sign language taught to deaf children</w:t>
      </w:r>
    </w:p>
    <w:p>
      <w:pPr>
        <w:spacing w:after="20"/>
        <w:ind w:left="360"/>
      </w:pPr>
      <w:r>
        <w:t>B. A form of creative signing that spontaneously emerges in deaf children without a conventional language model</w:t>
      </w:r>
    </w:p>
    <w:p>
      <w:pPr>
        <w:spacing w:after="20"/>
        <w:ind w:left="360"/>
      </w:pPr>
      <w:r>
        <w:t>C. A gesture system used only by hearing children</w:t>
      </w:r>
    </w:p>
    <w:p>
      <w:pPr>
        <w:spacing w:after="20"/>
        <w:ind w:left="360"/>
      </w:pPr>
      <w:r>
        <w:t>D. A written form of communication</w:t>
      </w:r>
    </w:p>
    <w:p>
      <w:pPr>
        <w:spacing w:after="160"/>
      </w:pPr>
      <w:r>
        <w:rPr>
          <w:b/>
          <w:sz w:val="20"/>
        </w:rPr>
        <w:t>Correct answer: B. A form of creative signing that spontaneously emerges in deaf children without a conventional language model</w:t>
      </w:r>
    </w:p>
    <w:p>
      <w:pPr>
        <w:pStyle w:val="Heading2"/>
      </w:pPr>
      <w:r>
        <w:t>Q4. How did the deaf children in the homesign study use pointing differently from hearing children?</w:t>
      </w:r>
    </w:p>
    <w:p>
      <w:pPr>
        <w:spacing w:after="20"/>
        <w:ind w:left="360"/>
      </w:pPr>
      <w:r>
        <w:t>A. They pointed less than hearing children</w:t>
      </w:r>
    </w:p>
    <w:p>
      <w:pPr>
        <w:spacing w:after="20"/>
        <w:ind w:left="360"/>
      </w:pPr>
      <w:r>
        <w:t>B. They never used pointing</w:t>
      </w:r>
    </w:p>
    <w:p>
      <w:pPr>
        <w:spacing w:after="20"/>
        <w:ind w:left="360"/>
      </w:pPr>
      <w:r>
        <w:t>C. They used pointing in combination to convey semantic relationships between referents</w:t>
      </w:r>
    </w:p>
    <w:p>
      <w:pPr>
        <w:spacing w:after="20"/>
        <w:ind w:left="360"/>
      </w:pPr>
      <w:r>
        <w:t>D. They used to point only to indicate objects, never people</w:t>
      </w:r>
    </w:p>
    <w:p>
      <w:pPr>
        <w:spacing w:after="160"/>
      </w:pPr>
      <w:r>
        <w:rPr>
          <w:b/>
          <w:sz w:val="20"/>
        </w:rPr>
        <w:t>Correct answer: C. They used pointing in combination to convey semantic relationships between referents</w:t>
      </w:r>
    </w:p>
    <w:p>
      <w:pPr>
        <w:pStyle w:val="Heading2"/>
      </w:pPr>
      <w:r>
        <w:t>Q5. What term describes Christopher’s conversational limitations despite his linguistic skill?</w:t>
      </w:r>
    </w:p>
    <w:p>
      <w:pPr>
        <w:spacing w:after="20"/>
        <w:ind w:left="360"/>
      </w:pPr>
      <w:r>
        <w:t>A. Enhanced conversational fluency</w:t>
      </w:r>
    </w:p>
    <w:p>
      <w:pPr>
        <w:spacing w:after="20"/>
        <w:ind w:left="360"/>
      </w:pPr>
      <w:r>
        <w:t>B. Impoverished conversational ability</w:t>
      </w:r>
    </w:p>
    <w:p>
      <w:pPr>
        <w:spacing w:after="20"/>
        <w:ind w:left="360"/>
      </w:pPr>
      <w:r>
        <w:t>C. Selective mutism</w:t>
      </w:r>
    </w:p>
    <w:p>
      <w:pPr>
        <w:spacing w:after="20"/>
        <w:ind w:left="360"/>
      </w:pPr>
      <w:r>
        <w:t>D. Echolalia</w:t>
      </w:r>
    </w:p>
    <w:p>
      <w:pPr>
        <w:spacing w:after="160"/>
      </w:pPr>
      <w:r>
        <w:rPr>
          <w:b/>
          <w:sz w:val="20"/>
        </w:rPr>
        <w:t>Correct answer: B. Impoverished conversational ability</w:t>
      </w:r>
    </w:p>
    <w:p>
      <w:pPr>
        <w:pStyle w:val="Heading2"/>
      </w:pPr>
      <w:r>
        <w:t>Q6. What linguistic characteristic did “Clive” show, according to Smith (1989)?</w:t>
      </w:r>
    </w:p>
    <w:p>
      <w:pPr>
        <w:spacing w:after="20"/>
        <w:ind w:left="360"/>
      </w:pPr>
      <w:r>
        <w:t>A. Eagerness to communicate but with grammatical deficit</w:t>
      </w:r>
    </w:p>
    <w:p>
      <w:pPr>
        <w:spacing w:after="20"/>
        <w:ind w:left="360"/>
      </w:pPr>
      <w:r>
        <w:t>B. Fluent grammar, but reluctance to speak</w:t>
      </w:r>
    </w:p>
    <w:p>
      <w:pPr>
        <w:spacing w:after="20"/>
        <w:ind w:left="360"/>
      </w:pPr>
      <w:r>
        <w:t>C. No language ability at all</w:t>
      </w:r>
    </w:p>
    <w:p>
      <w:pPr>
        <w:spacing w:after="20"/>
        <w:ind w:left="360"/>
      </w:pPr>
      <w:r>
        <w:t>D. Perfect grammar and communication skills</w:t>
      </w:r>
    </w:p>
    <w:p>
      <w:pPr>
        <w:spacing w:after="160"/>
      </w:pPr>
      <w:r>
        <w:rPr>
          <w:b/>
          <w:sz w:val="20"/>
        </w:rPr>
        <w:t>Correct answer: A. Eagerness to communicate but with grammatical deficit</w:t>
      </w:r>
    </w:p>
    <w:p>
      <w:pPr>
        <w:pStyle w:val="Heading2"/>
      </w:pPr>
      <w:r>
        <w:t>Q7. What did the blind child in Landau and Gleitman’s (1985) study reveal about words like “look” and “see”?</w:t>
      </w:r>
    </w:p>
    <w:p>
      <w:pPr>
        <w:spacing w:after="20"/>
        <w:ind w:left="360"/>
      </w:pPr>
      <w:r>
        <w:t>A. She never learned to use these words</w:t>
      </w:r>
    </w:p>
    <w:p>
      <w:pPr>
        <w:spacing w:after="20"/>
        <w:ind w:left="360"/>
      </w:pPr>
      <w:r>
        <w:t>B. Her understanding of these words developed similarly to a sighted child</w:t>
      </w:r>
    </w:p>
    <w:p>
      <w:pPr>
        <w:spacing w:after="20"/>
        <w:ind w:left="360"/>
      </w:pPr>
      <w:r>
        <w:t>C. She used these words only in a literal tactile sense</w:t>
      </w:r>
    </w:p>
    <w:p>
      <w:pPr>
        <w:spacing w:after="20"/>
        <w:ind w:left="360"/>
      </w:pPr>
      <w:r>
        <w:t>D. She confused these words with unrelated verbs</w:t>
      </w:r>
    </w:p>
    <w:p>
      <w:pPr>
        <w:spacing w:after="160"/>
      </w:pPr>
      <w:r>
        <w:rPr>
          <w:b/>
          <w:sz w:val="20"/>
        </w:rPr>
        <w:t>Correct answer: B. Her understanding of these words developed similarly to a sighted child</w:t>
      </w:r>
    </w:p>
    <w:p>
      <w:pPr>
        <w:pStyle w:val="Heading2"/>
      </w:pPr>
      <w:r>
        <w:t>Q8. What did the “Cat in the Hat” experiment demonstrate about prenatal auditory learning?</w:t>
      </w:r>
    </w:p>
    <w:p>
      <w:pPr>
        <w:spacing w:after="20"/>
        <w:ind w:left="360"/>
      </w:pPr>
      <w:r>
        <w:t>A. Infants could distinguish a familiar story read to them in the womb from an unfamiliar one</w:t>
      </w:r>
    </w:p>
    <w:p>
      <w:pPr>
        <w:spacing w:after="20"/>
        <w:ind w:left="360"/>
      </w:pPr>
      <w:r>
        <w:t>B. Infants preferred stories read after birth</w:t>
      </w:r>
    </w:p>
    <w:p>
      <w:pPr>
        <w:spacing w:after="20"/>
        <w:ind w:left="360"/>
      </w:pPr>
      <w:r>
        <w:t>C. Infants showed no story preference at all</w:t>
      </w:r>
    </w:p>
    <w:p>
      <w:pPr>
        <w:spacing w:after="20"/>
        <w:ind w:left="360"/>
      </w:pPr>
      <w:r>
        <w:t>D. Infants could only recognise their mother’s voice, not stories</w:t>
      </w:r>
    </w:p>
    <w:p>
      <w:pPr>
        <w:spacing w:after="160"/>
      </w:pPr>
      <w:r>
        <w:rPr>
          <w:b/>
          <w:sz w:val="20"/>
        </w:rPr>
        <w:t>Correct answer: A. Infants could distinguish a familiar story read to them in the womb from an unfamiliar one</w:t>
      </w:r>
    </w:p>
    <w:p>
      <w:pPr>
        <w:pStyle w:val="Heading2"/>
      </w:pPr>
      <w:r>
        <w:t>Q9. What is another common name for Baby Talk Register (BTR)?</w:t>
      </w:r>
    </w:p>
    <w:p>
      <w:pPr>
        <w:spacing w:after="20"/>
        <w:ind w:left="360"/>
      </w:pPr>
      <w:r>
        <w:t>A. Formal register</w:t>
      </w:r>
    </w:p>
    <w:p>
      <w:pPr>
        <w:spacing w:after="20"/>
        <w:ind w:left="360"/>
      </w:pPr>
      <w:r>
        <w:t>B. Motherese/parentese/child-directed speech</w:t>
      </w:r>
    </w:p>
    <w:p>
      <w:pPr>
        <w:spacing w:after="20"/>
        <w:ind w:left="360"/>
      </w:pPr>
      <w:r>
        <w:t>C. Academic register</w:t>
      </w:r>
    </w:p>
    <w:p>
      <w:pPr>
        <w:spacing w:after="20"/>
        <w:ind w:left="360"/>
      </w:pPr>
      <w:r>
        <w:t>D. Sign register</w:t>
      </w:r>
    </w:p>
    <w:p>
      <w:pPr>
        <w:spacing w:after="160"/>
      </w:pPr>
      <w:r>
        <w:rPr>
          <w:b/>
          <w:sz w:val="20"/>
        </w:rPr>
        <w:t>Correct answer: B. Motherese/parentese/child-directed speech</w:t>
      </w:r>
    </w:p>
    <w:p>
      <w:pPr>
        <w:pStyle w:val="Heading2"/>
      </w:pPr>
      <w:r>
        <w:t>Q10. What is the approximate MLU of adult utterances?</w:t>
      </w:r>
    </w:p>
    <w:p>
      <w:pPr>
        <w:spacing w:after="20"/>
        <w:ind w:left="360"/>
      </w:pPr>
      <w:r>
        <w:t>A. 3</w:t>
      </w:r>
    </w:p>
    <w:p>
      <w:pPr>
        <w:spacing w:after="20"/>
        <w:ind w:left="360"/>
      </w:pPr>
      <w:r>
        <w:t>B. 5</w:t>
      </w:r>
    </w:p>
    <w:p>
      <w:pPr>
        <w:spacing w:after="20"/>
        <w:ind w:left="360"/>
      </w:pPr>
      <w:r>
        <w:t>C. 7</w:t>
      </w:r>
    </w:p>
    <w:p>
      <w:pPr>
        <w:spacing w:after="20"/>
        <w:ind w:left="360"/>
      </w:pPr>
      <w:r>
        <w:t>D. 10</w:t>
      </w:r>
    </w:p>
    <w:p>
      <w:pPr>
        <w:spacing w:after="160"/>
      </w:pPr>
      <w:r>
        <w:rPr>
          <w:b/>
          <w:sz w:val="20"/>
        </w:rPr>
        <w:t>Correct answer: C. 7</w:t>
      </w:r>
    </w:p>
    <w:p>
      <w:pPr>
        <w:pStyle w:val="Heading2"/>
      </w:pPr>
      <w:r>
        <w:t>Q11. Which of the following is a syntactic feature of child-directed speech identified by Elliot (1981)?</w:t>
      </w:r>
    </w:p>
    <w:p>
      <w:pPr>
        <w:spacing w:after="20"/>
        <w:ind w:left="360"/>
      </w:pPr>
      <w:r>
        <w:t>A. Longer MLU than adult-directed speech</w:t>
      </w:r>
    </w:p>
    <w:p>
      <w:pPr>
        <w:spacing w:after="20"/>
        <w:ind w:left="360"/>
      </w:pPr>
      <w:r>
        <w:t>B. Shorter MLU and fewer subordinate clauses per utterance</w:t>
      </w:r>
    </w:p>
    <w:p>
      <w:pPr>
        <w:spacing w:after="20"/>
        <w:ind w:left="360"/>
      </w:pPr>
      <w:r>
        <w:t>C. More complex sentence structures</w:t>
      </w:r>
    </w:p>
    <w:p>
      <w:pPr>
        <w:spacing w:after="20"/>
        <w:ind w:left="360"/>
      </w:pPr>
      <w:r>
        <w:t>D. Increased use of modifiers</w:t>
      </w:r>
    </w:p>
    <w:p>
      <w:pPr>
        <w:spacing w:after="160"/>
      </w:pPr>
      <w:r>
        <w:rPr>
          <w:b/>
          <w:sz w:val="20"/>
        </w:rPr>
        <w:t>Correct answer: B. Shorter MLU and fewer subordinate clauses per utterance</w:t>
      </w:r>
    </w:p>
    <w:p>
      <w:pPr>
        <w:pStyle w:val="Heading2"/>
      </w:pPr>
      <w:r>
        <w:t>Q12. Why are content words considered easier for children to learn than function words?</w:t>
      </w:r>
    </w:p>
    <w:p>
      <w:pPr>
        <w:spacing w:after="20"/>
        <w:ind w:left="360"/>
      </w:pPr>
      <w:r>
        <w:t>A. They are shorter in length</w:t>
      </w:r>
    </w:p>
    <w:p>
      <w:pPr>
        <w:spacing w:after="20"/>
        <w:ind w:left="360"/>
      </w:pPr>
      <w:r>
        <w:t>B. They are used less frequently</w:t>
      </w:r>
    </w:p>
    <w:p>
      <w:pPr>
        <w:spacing w:after="20"/>
        <w:ind w:left="360"/>
      </w:pPr>
      <w:r>
        <w:t>C. They have a ready referent</w:t>
      </w:r>
    </w:p>
    <w:p>
      <w:pPr>
        <w:spacing w:after="20"/>
        <w:ind w:left="360"/>
      </w:pPr>
      <w:r>
        <w:t>D. They require less memory</w:t>
      </w:r>
    </w:p>
    <w:p>
      <w:pPr>
        <w:spacing w:after="160"/>
      </w:pPr>
      <w:r>
        <w:rPr>
          <w:b/>
          <w:sz w:val="20"/>
        </w:rPr>
        <w:t>Correct answer: C. They have a ready referent</w:t>
      </w:r>
    </w:p>
    <w:p>
      <w:pPr>
        <w:pStyle w:val="Heading2"/>
      </w:pPr>
      <w:r>
        <w:t>Q13. Why are interrogatives and imperatives used more often in child-directed speech?</w:t>
      </w:r>
    </w:p>
    <w:p>
      <w:pPr>
        <w:spacing w:after="20"/>
        <w:ind w:left="360"/>
      </w:pPr>
      <w:r>
        <w:t>A. Interrogatives encourage responses; imperatives give commands or requests</w:t>
      </w:r>
    </w:p>
    <w:p>
      <w:pPr>
        <w:spacing w:after="20"/>
        <w:ind w:left="360"/>
      </w:pPr>
      <w:r>
        <w:t>B. They are grammatically simpler</w:t>
      </w:r>
    </w:p>
    <w:p>
      <w:pPr>
        <w:spacing w:after="20"/>
        <w:ind w:left="360"/>
      </w:pPr>
      <w:r>
        <w:t>C. They require less vocabulary</w:t>
      </w:r>
    </w:p>
    <w:p>
      <w:pPr>
        <w:spacing w:after="20"/>
        <w:ind w:left="360"/>
      </w:pPr>
      <w:r>
        <w:t>D. They are easier for adults to pronounce</w:t>
      </w:r>
    </w:p>
    <w:p>
      <w:pPr>
        <w:spacing w:after="160"/>
      </w:pPr>
      <w:r>
        <w:rPr>
          <w:b/>
          <w:sz w:val="20"/>
        </w:rPr>
        <w:t>Correct answer: A. Interrogatives encourage responses; imperatives give commands or requests</w:t>
      </w:r>
    </w:p>
    <w:p>
      <w:pPr>
        <w:pStyle w:val="Heading2"/>
      </w:pPr>
      <w:r>
        <w:t>Q14. What did Kuhl et al. (1997) find regarding vowel production in mothers speaking to infants?</w:t>
      </w:r>
    </w:p>
    <w:p>
      <w:pPr>
        <w:spacing w:after="20"/>
        <w:ind w:left="360"/>
      </w:pPr>
      <w:r>
        <w:t>A. Mothers produced acoustically extreme (stretched) vowels compared to adult-directed speech</w:t>
      </w:r>
    </w:p>
    <w:p>
      <w:pPr>
        <w:spacing w:after="20"/>
        <w:ind w:left="360"/>
      </w:pPr>
      <w:r>
        <w:t>B. Mothers used the same vowel space as in adult speech</w:t>
      </w:r>
    </w:p>
    <w:p>
      <w:pPr>
        <w:spacing w:after="20"/>
        <w:ind w:left="360"/>
      </w:pPr>
      <w:r>
        <w:t>C. Mothers reduced vowel duration when speaking to infants</w:t>
      </w:r>
    </w:p>
    <w:p>
      <w:pPr>
        <w:spacing w:after="20"/>
        <w:ind w:left="360"/>
      </w:pPr>
      <w:r>
        <w:t>D. Vowel space was smaller in infant-directed speech</w:t>
      </w:r>
    </w:p>
    <w:p>
      <w:pPr>
        <w:spacing w:after="160"/>
      </w:pPr>
      <w:r>
        <w:rPr>
          <w:b/>
          <w:sz w:val="20"/>
        </w:rPr>
        <w:t>Correct answer: A. Mothers produced acoustically extreme (stretched) vowels compared to adult-directed speech</w:t>
      </w:r>
    </w:p>
    <w:p>
      <w:pPr>
        <w:pStyle w:val="Heading2"/>
      </w:pPr>
      <w:r>
        <w:t>Q15. Which factor can “gating” through social interaction increase, thereby influencing learning across a wide variety of domains?</w:t>
      </w:r>
    </w:p>
    <w:p>
      <w:pPr>
        <w:spacing w:after="20"/>
        <w:ind w:left="360"/>
      </w:pPr>
      <w:r>
        <w:t>A. Information and memory</w:t>
      </w:r>
    </w:p>
    <w:p>
      <w:pPr>
        <w:spacing w:after="20"/>
        <w:ind w:left="360"/>
      </w:pPr>
      <w:r>
        <w:t>B. Attention and arousal</w:t>
      </w:r>
    </w:p>
    <w:p>
      <w:pPr>
        <w:spacing w:after="20"/>
        <w:ind w:left="360"/>
      </w:pPr>
      <w:r>
        <w:t>C. Sense of relationship only</w:t>
      </w:r>
    </w:p>
    <w:p>
      <w:pPr>
        <w:spacing w:after="20"/>
        <w:ind w:left="360"/>
      </w:pPr>
      <w:r>
        <w:t>D. Perception and action only</w:t>
      </w:r>
    </w:p>
    <w:p>
      <w:pPr>
        <w:spacing w:after="160"/>
      </w:pPr>
      <w:r>
        <w:rPr>
          <w:b/>
          <w:sz w:val="20"/>
        </w:rPr>
        <w:t>Correct answer: B. Attention and arousal</w:t>
      </w:r>
    </w:p>
    <w:p>
      <w:pPr>
        <w:pStyle w:val="Heading2"/>
      </w:pPr>
      <w:r>
        <w:t>Q16. What was the key finding regarding urban versus rural children’s vocabulary (Bornstein &amp; Cote, 2005)?</w:t>
      </w:r>
    </w:p>
    <w:p>
      <w:pPr>
        <w:spacing w:after="20"/>
        <w:ind w:left="360"/>
      </w:pPr>
      <w:r>
        <w:t>A. Rural children had larger vocabularies than urban children</w:t>
      </w:r>
    </w:p>
    <w:p>
      <w:pPr>
        <w:spacing w:after="20"/>
        <w:ind w:left="360"/>
      </w:pPr>
      <w:r>
        <w:t>B. There was no difference between urban and rural children</w:t>
      </w:r>
    </w:p>
    <w:p>
      <w:pPr>
        <w:spacing w:after="20"/>
        <w:ind w:left="360"/>
      </w:pPr>
      <w:r>
        <w:t>C. Vocabulary size depended only on language, not on the urban/rural setting</w:t>
      </w:r>
    </w:p>
    <w:p>
      <w:pPr>
        <w:spacing w:after="20"/>
        <w:ind w:left="360"/>
      </w:pPr>
      <w:r>
        <w:t>D. Urban children in Argentina and the US had larger expressive vocabularies than rural peers</w:t>
      </w:r>
    </w:p>
    <w:p>
      <w:pPr>
        <w:spacing w:after="160"/>
      </w:pPr>
      <w:r>
        <w:rPr>
          <w:b/>
          <w:sz w:val="20"/>
        </w:rPr>
        <w:t>Correct answer: D. Urban children in Argentina and the US had larger expressive vocabularies than rural peers</w:t>
      </w:r>
    </w:p>
    <w:p>
      <w:pPr>
        <w:pStyle w:val="Heading2"/>
      </w:pPr>
      <w:r>
        <w:t>Q17. According to Neville and Bavelier (2000), what does the “Neo-Lenneberg hypothesis” propose?</w:t>
      </w:r>
    </w:p>
    <w:p>
      <w:pPr>
        <w:spacing w:after="20"/>
        <w:ind w:left="360"/>
      </w:pPr>
      <w:r>
        <w:t>A. Language areas are fixed at birth regardless of experience</w:t>
      </w:r>
    </w:p>
    <w:p>
      <w:pPr>
        <w:spacing w:after="20"/>
        <w:ind w:left="360"/>
      </w:pPr>
      <w:r>
        <w:t>B. Language-relevant aspects of cerebral organisation are dependent on language experience</w:t>
      </w:r>
    </w:p>
    <w:p>
      <w:pPr>
        <w:spacing w:after="20"/>
        <w:ind w:left="360"/>
      </w:pPr>
      <w:r>
        <w:t>C. Brain organisation for language is entirely genetic</w:t>
      </w:r>
    </w:p>
    <w:p>
      <w:pPr>
        <w:spacing w:after="20"/>
        <w:ind w:left="360"/>
      </w:pPr>
      <w:r>
        <w:t>D. Experience does not affect brain organisation</w:t>
      </w:r>
    </w:p>
    <w:p>
      <w:pPr>
        <w:spacing w:after="160"/>
      </w:pPr>
      <w:r>
        <w:rPr>
          <w:b/>
          <w:sz w:val="20"/>
        </w:rPr>
        <w:t>Correct answer: A. Language areas are fixed at birth regardless of experience</w:t>
      </w:r>
    </w:p>
    <w:p>
      <w:pPr>
        <w:pStyle w:val="Heading2"/>
      </w:pPr>
      <w:r>
        <w:t>Q18. What is the concept of “affordances,” as proposed by James Gibson?</w:t>
      </w:r>
    </w:p>
    <w:p>
      <w:pPr>
        <w:spacing w:after="20"/>
        <w:ind w:left="360"/>
      </w:pPr>
      <w:r>
        <w:t>A. A learned behaviour that develops only through explicit teaching</w:t>
      </w:r>
    </w:p>
    <w:p>
      <w:pPr>
        <w:spacing w:after="20"/>
        <w:ind w:left="360"/>
      </w:pPr>
      <w:r>
        <w:t>B. An action possibility available in the environment, independent of whether it is actually used (e.g., a tree is “climb-up-able”)</w:t>
      </w:r>
    </w:p>
    <w:p>
      <w:pPr>
        <w:spacing w:after="20"/>
        <w:ind w:left="360"/>
      </w:pPr>
      <w:r>
        <w:t>C. A type of grammatical structure in child-directed speech</w:t>
      </w:r>
    </w:p>
    <w:p>
      <w:pPr>
        <w:spacing w:after="20"/>
        <w:ind w:left="360"/>
      </w:pPr>
      <w:r>
        <w:t>D. A measure of vocabulary size across cultures</w:t>
      </w:r>
    </w:p>
    <w:p>
      <w:pPr>
        <w:spacing w:after="160"/>
      </w:pPr>
      <w:r>
        <w:rPr>
          <w:b/>
          <w:sz w:val="20"/>
        </w:rPr>
        <w:t>Correct answer: B. An action possibility available in the environment, independent of whether it is actually used (e.g., a tree is “climb-up-able”)</w:t>
      </w:r>
    </w:p>
    <w:p>
      <w:pPr>
        <w:pStyle w:val="Heading2"/>
      </w:pPr>
      <w:r>
        <w:t>Q19. In the Kuhl et al. (1997) study, which three vowels were found to have an expanded acoustic space in Motherese?</w:t>
      </w:r>
    </w:p>
    <w:p>
      <w:pPr>
        <w:spacing w:after="20"/>
        <w:ind w:left="360"/>
      </w:pPr>
      <w:r>
        <w:t>A. /e/, /o/, /u/</w:t>
      </w:r>
    </w:p>
    <w:p>
      <w:pPr>
        <w:spacing w:after="20"/>
        <w:ind w:left="360"/>
      </w:pPr>
      <w:r>
        <w:t>B. /a/, /i/, /u/</w:t>
      </w:r>
    </w:p>
    <w:p>
      <w:pPr>
        <w:spacing w:after="20"/>
        <w:ind w:left="360"/>
      </w:pPr>
      <w:r>
        <w:t>C. /a/, /e/, /i/</w:t>
      </w:r>
    </w:p>
    <w:p>
      <w:pPr>
        <w:spacing w:after="20"/>
        <w:ind w:left="360"/>
      </w:pPr>
      <w:r>
        <w:t>D. /o/, /u/, /a/</w:t>
      </w:r>
    </w:p>
    <w:p>
      <w:pPr>
        <w:spacing w:after="160"/>
      </w:pPr>
      <w:r>
        <w:rPr>
          <w:b/>
          <w:sz w:val="20"/>
        </w:rPr>
        <w:t>Correct answer: B. /a/, /i/, /u/</w:t>
      </w:r>
    </w:p>
    <w:p>
      <w:pPr>
        <w:pStyle w:val="Heading2"/>
      </w:pPr>
      <w:r>
        <w:t>Q20. Which set of features describes the syntactic properties of BTR?</w:t>
      </w:r>
    </w:p>
    <w:p>
      <w:pPr>
        <w:spacing w:after="20"/>
        <w:ind w:left="360"/>
      </w:pPr>
      <w:r>
        <w:t>A. Short sentences, parataxis, telegraphic style, repetition</w:t>
      </w:r>
    </w:p>
    <w:p>
      <w:pPr>
        <w:spacing w:after="20"/>
        <w:ind w:left="360"/>
      </w:pPr>
      <w:r>
        <w:t>B. Complex subordination and long embedded clauses</w:t>
      </w:r>
    </w:p>
    <w:p>
      <w:pPr>
        <w:spacing w:after="20"/>
        <w:ind w:left="360"/>
      </w:pPr>
      <w:r>
        <w:t>C. Exaggerated contours, slow rate of production</w:t>
      </w:r>
    </w:p>
    <w:p>
      <w:pPr>
        <w:spacing w:after="20"/>
        <w:ind w:left="360"/>
      </w:pPr>
      <w:r>
        <w:t>D. Cluster reduction, liquid substitution, questions, and pronoun shifts</w:t>
      </w:r>
    </w:p>
    <w:p>
      <w:pPr>
        <w:spacing w:after="160"/>
      </w:pPr>
      <w:r>
        <w:rPr>
          <w:b/>
          <w:sz w:val="20"/>
        </w:rPr>
        <w:t>Correct answer: A. Short sentences, parataxis, telegraphic style, repetition</w:t>
      </w:r>
    </w:p>
    <w:p>
      <w:pPr>
        <w:pStyle w:val="Heading2"/>
      </w:pPr>
      <w:r>
        <w:t>Q21. Up to what stage does the physical development of the brain continue?</w:t>
      </w:r>
    </w:p>
    <w:p>
      <w:pPr>
        <w:spacing w:after="20"/>
        <w:ind w:left="360"/>
      </w:pPr>
      <w:r>
        <w:t>A. Till the age of the critical period of language acquisition</w:t>
      </w:r>
    </w:p>
    <w:p>
      <w:pPr>
        <w:spacing w:after="20"/>
        <w:ind w:left="360"/>
      </w:pPr>
      <w:r>
        <w:t>B. It continues for the entire lifetime</w:t>
      </w:r>
    </w:p>
    <w:p>
      <w:pPr>
        <w:spacing w:after="20"/>
        <w:ind w:left="360"/>
      </w:pPr>
      <w:r>
        <w:t>C. Puberty</w:t>
      </w:r>
    </w:p>
    <w:p>
      <w:pPr>
        <w:spacing w:after="20"/>
        <w:ind w:left="360"/>
      </w:pPr>
      <w:r>
        <w:t>D. It keeps on developing till adulthood is completed</w:t>
      </w:r>
    </w:p>
    <w:p>
      <w:pPr>
        <w:spacing w:after="160"/>
      </w:pPr>
      <w:r>
        <w:rPr>
          <w:b/>
          <w:sz w:val="20"/>
        </w:rPr>
        <w:t>Correct answer: C. Puberty</w:t>
      </w:r>
    </w:p>
    <w:p>
      <w:pPr>
        <w:pStyle w:val="Heading2"/>
      </w:pPr>
      <w:r>
        <w:t>Q22. What does the Ecological theory of language acquisition highlight?</w:t>
      </w:r>
    </w:p>
    <w:p>
      <w:pPr>
        <w:spacing w:after="20"/>
        <w:ind w:left="360"/>
      </w:pPr>
      <w:r>
        <w:t>A. This theory explains the initial steps of the language acquisition process as unintended and inevitable consequences of the infant’s multisensory interaction with the environment.</w:t>
      </w:r>
    </w:p>
    <w:p>
      <w:pPr>
        <w:spacing w:after="20"/>
        <w:ind w:left="360"/>
      </w:pPr>
      <w:r>
        <w:t>B. The sensory motor domains don’t involve the language acquisition process.</w:t>
      </w:r>
    </w:p>
    <w:p>
      <w:pPr>
        <w:spacing w:after="20"/>
        <w:ind w:left="360"/>
      </w:pPr>
      <w:r>
        <w:t>C. The children are passive learners in the process of language acquisition.</w:t>
      </w:r>
    </w:p>
    <w:p>
      <w:pPr>
        <w:spacing w:after="20"/>
        <w:ind w:left="360"/>
      </w:pPr>
      <w:r>
        <w:t>D. It’s only the brain that helps in language acquisition, and our environment doesn’t play any active role in it.</w:t>
      </w:r>
    </w:p>
    <w:p>
      <w:pPr>
        <w:spacing w:after="160"/>
      </w:pPr>
      <w:r>
        <w:rPr>
          <w:b/>
          <w:sz w:val="20"/>
        </w:rPr>
        <w:t>Correct answer: A. This theory explains the initial steps of the language acquisition process as unintended and inevitable consequences of the infant’s multisensory interaction with the environment.</w:t>
      </w:r>
    </w:p>
    <w:p>
      <w:pPr>
        <w:pStyle w:val="Heading2"/>
      </w:pPr>
      <w:r>
        <w:t>Q23. What does the concept of “direct negative evidence” suggest about children’s language learning?</w:t>
      </w:r>
    </w:p>
    <w:p>
      <w:pPr>
        <w:spacing w:after="20"/>
        <w:ind w:left="360"/>
      </w:pPr>
      <w:r>
        <w:t>A. Children often correct their mistakes whenever adults correct their phonological or syntactic mistakes by providing direct negative evidence.</w:t>
      </w:r>
    </w:p>
    <w:p>
      <w:pPr>
        <w:spacing w:after="20"/>
        <w:ind w:left="360"/>
      </w:pPr>
      <w:r>
        <w:t>B. Children don’t resist direct negative evidence. They acquire language by memorising the corrections made by adults.</w:t>
      </w:r>
    </w:p>
    <w:p>
      <w:pPr>
        <w:spacing w:after="20"/>
        <w:ind w:left="360"/>
      </w:pPr>
      <w:r>
        <w:t>C. Children acquire language through feedback from adults, based on direct negative evidence.</w:t>
      </w:r>
    </w:p>
    <w:p>
      <w:pPr>
        <w:spacing w:after="20"/>
        <w:ind w:left="360"/>
      </w:pPr>
      <w:r>
        <w:t>D. Children often resist direct negative evidence because when the adult directly hints at correction at various levels, such as phonology and syntax, the child often does not learn from it.</w:t>
      </w:r>
    </w:p>
    <w:p>
      <w:pPr>
        <w:spacing w:after="160"/>
      </w:pPr>
      <w:r>
        <w:rPr>
          <w:b/>
          <w:sz w:val="20"/>
        </w:rPr>
        <w:t>Correct answer: D. Children often resist direct negative evidence because when the adult directly hints at correction at various levels, such as phonology and syntax, the child often does not learn from it.</w:t>
      </w:r>
    </w:p>
    <w:p>
      <w:pPr>
        <w:pStyle w:val="Heading2"/>
      </w:pPr>
      <w:r>
        <w:t>Q24. What did Shafto et al. (2012) link epistemic trust to in older children?</w:t>
      </w:r>
    </w:p>
    <w:p>
      <w:pPr>
        <w:spacing w:after="20"/>
        <w:ind w:left="360"/>
      </w:pPr>
      <w:r>
        <w:t>A. Their ability to produce complex sentences</w:t>
      </w:r>
    </w:p>
    <w:p>
      <w:pPr>
        <w:spacing w:after="20"/>
        <w:ind w:left="360"/>
      </w:pPr>
      <w:r>
        <w:t>B. Their phonological development</w:t>
      </w:r>
    </w:p>
    <w:p>
      <w:pPr>
        <w:spacing w:after="20"/>
        <w:ind w:left="360"/>
      </w:pPr>
      <w:r>
        <w:t>C. Their word-learning behaviour</w:t>
      </w:r>
    </w:p>
    <w:p>
      <w:pPr>
        <w:spacing w:after="20"/>
        <w:ind w:left="360"/>
      </w:pPr>
      <w:r>
        <w:t>D. Their ability to imitate adult speech</w:t>
      </w:r>
    </w:p>
    <w:p>
      <w:pPr>
        <w:spacing w:after="160"/>
      </w:pPr>
      <w:r>
        <w:rPr>
          <w:b/>
          <w:sz w:val="20"/>
        </w:rPr>
        <w:t>Correct answer: C. Their word-learning behaviour</w:t>
      </w:r>
    </w:p>
    <w:p>
      <w:pPr>
        <w:pStyle w:val="Heading2"/>
      </w:pPr>
      <w:r>
        <w:t>Q25. What is epistemic trust?</w:t>
      </w:r>
    </w:p>
    <w:p>
      <w:pPr>
        <w:spacing w:after="20"/>
        <w:ind w:left="360"/>
      </w:pPr>
      <w:r>
        <w:t>A. The process by which a learner uses direct observations to infer which information sources are trustworthy</w:t>
      </w:r>
    </w:p>
    <w:p>
      <w:pPr>
        <w:spacing w:after="20"/>
        <w:ind w:left="360"/>
      </w:pPr>
      <w:r>
        <w:t>B. The belief that all information sources are equally reliable</w:t>
      </w:r>
    </w:p>
    <w:p>
      <w:pPr>
        <w:spacing w:after="20"/>
        <w:ind w:left="360"/>
      </w:pPr>
      <w:r>
        <w:t>C. A child’s ability to memorize vocabulary</w:t>
      </w:r>
    </w:p>
    <w:p>
      <w:pPr>
        <w:spacing w:after="20"/>
        <w:ind w:left="360"/>
      </w:pPr>
      <w:r>
        <w:t>D. The tendency to imitate only family members</w:t>
      </w:r>
    </w:p>
    <w:p>
      <w:pPr>
        <w:spacing w:after="160"/>
      </w:pPr>
      <w:r>
        <w:rPr>
          <w:b/>
          <w:sz w:val="20"/>
        </w:rPr>
        <w:t>Correct answer: A. The process by which a learner uses direct observations to infer which information sources are trustworthy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