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Enabling Techniques (PETS)</w:t>
      </w:r>
    </w:p>
    <w:p>
      <w:pPr>
        <w:jc w:val="center"/>
      </w:pPr>
      <w:r>
        <w:t>Week 12 – Assignment 12 | Questions, Options &amp; Correct Answers</w:t>
      </w:r>
    </w:p>
    <w:p>
      <w:r>
        <w:t>Note: Questions and answer choices are transcribed from the supplied screenshots. The correct answers are the options marked as accepted by the NPTEL assignment page.</w:t>
      </w:r>
    </w:p>
    <w:p>
      <w:pPr>
        <w:pStyle w:val="Heading2"/>
      </w:pPr>
      <w:r>
        <w:t>1. For an ε-differentially private mechanism M and datasets x, y with ||x − y||₁ ≤ 1, which statement about ε is correct?</w:t>
      </w:r>
    </w:p>
    <w:p>
      <w:pPr>
        <w:pStyle w:val="ListBullet"/>
      </w:pPr>
      <w:r>
        <w:t>a. Larger ε forces the outputs on x and y to be more similar, giving stronger privacy</w:t>
      </w:r>
    </w:p>
    <w:p>
      <w:pPr>
        <w:pStyle w:val="ListBullet"/>
      </w:pPr>
      <w:r>
        <w:rPr>
          <w:b/>
        </w:rPr>
        <w:t>b. Smaller ε forces the outputs on x and y to be more similar, giving stronger privacy</w:t>
      </w:r>
    </w:p>
    <w:p>
      <w:pPr>
        <w:pStyle w:val="ListBullet"/>
      </w:pPr>
      <w:r>
        <w:t>c. ε is the probability that the privacy guarantee fails</w:t>
      </w:r>
    </w:p>
    <w:p>
      <w:pPr>
        <w:pStyle w:val="ListBullet"/>
      </w:pPr>
      <w:r>
        <w:t>d. ε has no effect on privacy and only controls the running time</w:t>
      </w:r>
    </w:p>
    <w:p>
      <w:r>
        <w:rPr>
          <w:b/>
        </w:rPr>
        <w:t xml:space="preserve">Correct answer: b. </w:t>
      </w:r>
      <w:r>
        <w:t>Smaller ε forces the outputs on x and y to be more similar, giving stronger privacy</w:t>
      </w:r>
    </w:p>
    <w:p>
      <w:pPr>
        <w:pStyle w:val="Heading2"/>
      </w:pPr>
      <w:r>
        <w:t>2. A publicly known smoker participates in a differentially private study showing that smoking causes cancer, and their insurance premium rises. Was their differential privacy violated?</w:t>
      </w:r>
    </w:p>
    <w:p>
      <w:pPr>
        <w:pStyle w:val="ListBullet"/>
      </w:pPr>
      <w:r>
        <w:t>a. Yes, because the study output revealed the smoker's private data</w:t>
      </w:r>
    </w:p>
    <w:p>
      <w:pPr>
        <w:pStyle w:val="ListBullet"/>
      </w:pPr>
      <w:r>
        <w:t>b. Yes, because DP must prevent every inference drawn from statistics or machine learning</w:t>
      </w:r>
    </w:p>
    <w:p>
      <w:pPr>
        <w:pStyle w:val="ListBullet"/>
      </w:pPr>
      <w:r>
        <w:t>c. No, because DP guarantees that a participant's insurance premium can never change</w:t>
      </w:r>
    </w:p>
    <w:p>
      <w:pPr>
        <w:pStyle w:val="ListBullet"/>
      </w:pPr>
      <w:r>
        <w:rPr>
          <w:b/>
        </w:rPr>
        <w:t>d. No, because “smoking → cancer” can be inferred whether or not the smoker participated</w:t>
      </w:r>
    </w:p>
    <w:p>
      <w:r>
        <w:rPr>
          <w:b/>
        </w:rPr>
        <w:t xml:space="preserve">Correct answer: d. </w:t>
      </w:r>
      <w:r>
        <w:t>No, because “smoking → cancer” can be inferred whether or not the smoker participated</w:t>
      </w:r>
    </w:p>
    <w:p>
      <w:pPr>
        <w:pStyle w:val="Heading2"/>
      </w:pPr>
      <w:r>
        <w:t>3. In (ε, δ)-differential privacy, Pr[M(x) ∈ S] ≤ e^ε · Pr[M(y) ∈ S] + δ. What does δ represent?</w:t>
      </w:r>
    </w:p>
    <w:p>
      <w:pPr>
        <w:pStyle w:val="ListBullet"/>
      </w:pPr>
      <w:r>
        <w:rPr>
          <w:b/>
        </w:rPr>
        <w:t>a. An upper bound on the probability of an exceptional event in which the ε-DP guarantee fails</w:t>
      </w:r>
    </w:p>
    <w:p>
      <w:pPr>
        <w:pStyle w:val="ListBullet"/>
      </w:pPr>
      <w:r>
        <w:t>b. The multiplicative factor by which output probabilities may differ</w:t>
      </w:r>
    </w:p>
    <w:p>
      <w:pPr>
        <w:pStyle w:val="ListBullet"/>
      </w:pPr>
      <w:r>
        <w:t>c. The number of individuals whose data may differ between x and y</w:t>
      </w:r>
    </w:p>
    <w:p>
      <w:pPr>
        <w:pStyle w:val="ListBullet"/>
      </w:pPr>
      <w:r>
        <w:t>d. The variance of the noise added by the mechanism</w:t>
      </w:r>
    </w:p>
    <w:p>
      <w:r>
        <w:rPr>
          <w:b/>
        </w:rPr>
        <w:t xml:space="preserve">Correct answer: a. </w:t>
      </w:r>
      <w:r>
        <w:t>An upper bound on the probability of an exceptional event in which the ε-DP guarantee fails</w:t>
      </w:r>
    </w:p>
    <w:p>
      <w:pPr>
        <w:pStyle w:val="Heading2"/>
      </w:pPr>
      <w:r>
        <w:t>4. Two independent mechanisms M₁ (ε₁ = 0.4 differentially private) and M₂ (ε₂ = 0.7 differentially private) are run on the same dataset, and both outputs are released. The composed mechanism is:</w:t>
      </w:r>
    </w:p>
    <w:p>
      <w:pPr>
        <w:pStyle w:val="ListBullet"/>
      </w:pPr>
      <w:r>
        <w:t>a. 0.28-differentially private</w:t>
      </w:r>
    </w:p>
    <w:p>
      <w:pPr>
        <w:pStyle w:val="ListBullet"/>
      </w:pPr>
      <w:r>
        <w:t>b. 0.7-differentially private</w:t>
      </w:r>
    </w:p>
    <w:p>
      <w:pPr>
        <w:pStyle w:val="ListBullet"/>
      </w:pPr>
      <w:r>
        <w:rPr>
          <w:b/>
        </w:rPr>
        <w:t>c. 1.1-differentially private</w:t>
      </w:r>
    </w:p>
    <w:p>
      <w:pPr>
        <w:pStyle w:val="ListBullet"/>
      </w:pPr>
      <w:r>
        <w:t>d. 0.3-differentially private</w:t>
      </w:r>
    </w:p>
    <w:p>
      <w:r>
        <w:rPr>
          <w:b/>
        </w:rPr>
        <w:t xml:space="preserve">Correct answer: c. </w:t>
      </w:r>
      <w:r>
        <w:t>1.1-differentially private</w:t>
      </w:r>
    </w:p>
    <w:p>
      <w:pPr>
        <w:pStyle w:val="Heading2"/>
      </w:pPr>
      <w:r>
        <w:t>5. An analyst with no extra knowledge of the database applies an arbitrary function g to the output of an ε-DP mechanism M. What can be said about g(M(x))?</w:t>
      </w:r>
    </w:p>
    <w:p>
      <w:pPr>
        <w:pStyle w:val="ListBullet"/>
      </w:pPr>
      <w:r>
        <w:t>a. It may leak more, so the budget must be doubled to 2ε</w:t>
      </w:r>
    </w:p>
    <w:p>
      <w:pPr>
        <w:pStyle w:val="ListBullet"/>
      </w:pPr>
      <w:r>
        <w:rPr>
          <w:b/>
        </w:rPr>
        <w:t>b. It remains ε-DP, because post-processing cannot increase privacy loss</w:t>
      </w:r>
    </w:p>
    <w:p>
      <w:pPr>
        <w:pStyle w:val="ListBullet"/>
      </w:pPr>
      <w:r>
        <w:t>c. It stays ε-DP only if g is linear</w:t>
      </w:r>
    </w:p>
    <w:p>
      <w:pPr>
        <w:pStyle w:val="ListBullet"/>
      </w:pPr>
      <w:r>
        <w:t>d. It stays ε-DP only if the analyst is computationally bounded</w:t>
      </w:r>
    </w:p>
    <w:p>
      <w:r>
        <w:rPr>
          <w:b/>
        </w:rPr>
        <w:t xml:space="preserve">Correct answer: b. </w:t>
      </w:r>
      <w:r>
        <w:t>It remains ε-DP, because post-processing cannot increase privacy loss</w:t>
      </w:r>
    </w:p>
    <w:p>
      <w:pPr>
        <w:pStyle w:val="Heading2"/>
      </w:pPr>
      <w:r>
        <w:t>6. For some output ξ, Pr[M(x) = ξ] = 0.6 and Pr[M(y) = ξ] = 0.2. What is the privacy loss L = ln(Pr[M(x) = ξ] / Pr[M(y) = ξ])?</w:t>
      </w:r>
    </w:p>
    <w:p>
      <w:pPr>
        <w:pStyle w:val="ListBullet"/>
      </w:pPr>
      <w:r>
        <w:t>a. ≈ −1.10</w:t>
      </w:r>
    </w:p>
    <w:p>
      <w:pPr>
        <w:pStyle w:val="ListBullet"/>
      </w:pPr>
      <w:r>
        <w:t>b. 0.40</w:t>
      </w:r>
    </w:p>
    <w:p>
      <w:pPr>
        <w:pStyle w:val="ListBullet"/>
      </w:pPr>
      <w:r>
        <w:rPr>
          <w:b/>
        </w:rPr>
        <w:t>c. ≈ 1.10</w:t>
      </w:r>
    </w:p>
    <w:p>
      <w:pPr>
        <w:pStyle w:val="ListBullet"/>
      </w:pPr>
      <w:r>
        <w:t>d. 3</w:t>
      </w:r>
    </w:p>
    <w:p>
      <w:r>
        <w:rPr>
          <w:b/>
        </w:rPr>
        <w:t xml:space="preserve">Correct answer: c. </w:t>
      </w:r>
      <w:r>
        <w:t>≈ 1.10</w:t>
      </w:r>
    </w:p>
    <w:p>
      <w:pPr>
        <w:pStyle w:val="Heading2"/>
      </w:pPr>
      <w:r>
        <w:t>7. In the coin-flip randomised response mechanism, a person flips a coin. On tails they answer truthfully. On heads they flip a second coin and answer “yes” for heads and “no” for tails. If the person truly has property P, what is the probability they report “yes”?</w:t>
      </w:r>
    </w:p>
    <w:p>
      <w:pPr>
        <w:pStyle w:val="ListBullet"/>
      </w:pPr>
      <w:r>
        <w:rPr>
          <w:b/>
        </w:rPr>
        <w:t>a. 3/4</w:t>
      </w:r>
    </w:p>
    <w:p>
      <w:pPr>
        <w:pStyle w:val="ListBullet"/>
      </w:pPr>
      <w:r>
        <w:t>b. 1/2</w:t>
      </w:r>
    </w:p>
    <w:p>
      <w:pPr>
        <w:pStyle w:val="ListBullet"/>
      </w:pPr>
      <w:r>
        <w:t>c. 1/4</w:t>
      </w:r>
    </w:p>
    <w:p>
      <w:pPr>
        <w:pStyle w:val="ListBullet"/>
      </w:pPr>
      <w:r>
        <w:t>d. 5/8</w:t>
      </w:r>
    </w:p>
    <w:p>
      <w:r>
        <w:rPr>
          <w:b/>
        </w:rPr>
        <w:t xml:space="preserve">Correct answer: a. </w:t>
      </w:r>
      <w:r>
        <w:t>3/4</w:t>
      </w:r>
    </w:p>
    <w:p>
      <w:pPr>
        <w:pStyle w:val="Heading2"/>
      </w:pPr>
      <w:r>
        <w:t>8. In randomised response with bias parameter γ ∈ [0, 1/2], a student reports Yᵢ = xᵢ with probability 1/2 + γ and 1 − xᵢ with probability 1/2 − γ. For γ = 1/8, what is the probability that the mechanism reports the flipped value, giving a student who cheated plausible deniability?</w:t>
      </w:r>
    </w:p>
    <w:p>
      <w:pPr>
        <w:pStyle w:val="ListBullet"/>
      </w:pPr>
      <w:r>
        <w:t>a. 1/8</w:t>
      </w:r>
    </w:p>
    <w:p>
      <w:pPr>
        <w:pStyle w:val="ListBullet"/>
      </w:pPr>
      <w:r>
        <w:t>b. 1/4</w:t>
      </w:r>
    </w:p>
    <w:p>
      <w:pPr>
        <w:pStyle w:val="ListBullet"/>
      </w:pPr>
      <w:r>
        <w:t>c. 5/8</w:t>
      </w:r>
    </w:p>
    <w:p>
      <w:pPr>
        <w:pStyle w:val="ListBullet"/>
      </w:pPr>
      <w:r>
        <w:rPr>
          <w:b/>
        </w:rPr>
        <w:t>d. 3/8</w:t>
      </w:r>
    </w:p>
    <w:p>
      <w:r>
        <w:rPr>
          <w:b/>
        </w:rPr>
        <w:t xml:space="preserve">Correct answer: d. </w:t>
      </w:r>
      <w:r>
        <w:t>3/8</w:t>
      </w:r>
    </w:p>
    <w:p>
      <w:pPr>
        <w:pStyle w:val="Heading2"/>
      </w:pPr>
      <w:r>
        <w:t>9. In randomised response, the unbiased estimator X̂ satisfies Var[X̂] ≤ 1/(16γ²n). For γ = 1/4 and n = 100 students, what is the upper bound on the variance?</w:t>
      </w:r>
    </w:p>
    <w:p>
      <w:pPr>
        <w:pStyle w:val="ListBullet"/>
      </w:pPr>
      <w:r>
        <w:t>a. 0.0025</w:t>
      </w:r>
    </w:p>
    <w:p>
      <w:pPr>
        <w:pStyle w:val="ListBullet"/>
      </w:pPr>
      <w:r>
        <w:rPr>
          <w:b/>
        </w:rPr>
        <w:t>b. 0.01</w:t>
      </w:r>
    </w:p>
    <w:p>
      <w:pPr>
        <w:pStyle w:val="ListBullet"/>
      </w:pPr>
      <w:r>
        <w:t>c. 0.04</w:t>
      </w:r>
    </w:p>
    <w:p>
      <w:pPr>
        <w:pStyle w:val="ListBullet"/>
      </w:pPr>
      <w:r>
        <w:t>d. 0.16</w:t>
      </w:r>
    </w:p>
    <w:p>
      <w:r>
        <w:rPr>
          <w:b/>
        </w:rPr>
        <w:t xml:space="preserve">Correct answer: b. </w:t>
      </w:r>
      <w:r>
        <w:t>0.01</w:t>
      </w:r>
    </w:p>
    <w:p>
      <w:pPr>
        <w:pStyle w:val="Heading2"/>
      </w:pPr>
      <w:r>
        <w:t>10. The Laplace mechanism answers k = 5 counting queries in which one individual can change each count by at most 1, with privacy budget ε = 0.25. What is the scale b of the Laplace noise?</w:t>
      </w:r>
    </w:p>
    <w:p>
      <w:pPr>
        <w:pStyle w:val="ListBullet"/>
      </w:pPr>
      <w:r>
        <w:t>a. 1.25</w:t>
      </w:r>
    </w:p>
    <w:p>
      <w:pPr>
        <w:pStyle w:val="ListBullet"/>
      </w:pPr>
      <w:r>
        <w:t>b. 4</w:t>
      </w:r>
    </w:p>
    <w:p>
      <w:pPr>
        <w:pStyle w:val="ListBullet"/>
      </w:pPr>
      <w:r>
        <w:rPr>
          <w:b/>
        </w:rPr>
        <w:t>c. 20</w:t>
      </w:r>
    </w:p>
    <w:p>
      <w:pPr>
        <w:pStyle w:val="ListBullet"/>
      </w:pPr>
      <w:r>
        <w:t>d. 5</w:t>
      </w:r>
    </w:p>
    <w:p>
      <w:r>
        <w:rPr>
          <w:b/>
        </w:rPr>
        <w:t xml:space="preserve">Correct answer: c. </w:t>
      </w:r>
      <w:r>
        <w:t>20</w:t>
      </w:r>
    </w:p>
    <w:p>
      <w:pPr>
        <w:pStyle w:val="Heading2"/>
      </w:pPr>
      <w:r>
        <w:t>11. A Laplace mechanism releases k = 1000 counts (each individual contributes to only one count, so Δf = 1) with ε = 0.5. With probability at least 95% (δ = 0.05), no released count is off by more than ln(k/δ) · (Δf/ε). What is this bound?</w:t>
      </w:r>
    </w:p>
    <w:p>
      <w:pPr>
        <w:pStyle w:val="ListBullet"/>
      </w:pPr>
      <w:r>
        <w:t>a. ≈ 9.9</w:t>
      </w:r>
    </w:p>
    <w:p>
      <w:pPr>
        <w:pStyle w:val="ListBullet"/>
      </w:pPr>
      <w:r>
        <w:t>b. ≈ 6.9</w:t>
      </w:r>
    </w:p>
    <w:p>
      <w:pPr>
        <w:pStyle w:val="ListBullet"/>
      </w:pPr>
      <w:r>
        <w:t>c. ≈ 4.95</w:t>
      </w:r>
    </w:p>
    <w:p>
      <w:pPr>
        <w:pStyle w:val="ListBullet"/>
      </w:pPr>
      <w:r>
        <w:rPr>
          <w:b/>
        </w:rPr>
        <w:t>d. ≈ 19.8</w:t>
      </w:r>
    </w:p>
    <w:p>
      <w:r>
        <w:rPr>
          <w:b/>
        </w:rPr>
        <w:t xml:space="preserve">Correct answer: d. </w:t>
      </w:r>
      <w:r>
        <w:t>≈ 19.8</w:t>
      </w:r>
    </w:p>
    <w:p>
      <w:pPr>
        <w:pStyle w:val="Heading2"/>
      </w:pPr>
      <w:r>
        <w:t>12. How does a TEE-based approach differ from FHE when computing on a user's secret data at an untrusted server?</w:t>
      </w:r>
    </w:p>
    <w:p>
      <w:pPr>
        <w:pStyle w:val="ListBullet"/>
      </w:pPr>
      <w:r>
        <w:rPr>
          <w:b/>
        </w:rPr>
        <w:t>a. Trust shifts from the operating system to the CPU manufacturer and its libraries</w:t>
      </w:r>
    </w:p>
    <w:p>
      <w:pPr>
        <w:pStyle w:val="ListBullet"/>
      </w:pPr>
      <w:r>
        <w:t>b. Computation runs on ciphertext, so no trust in any party is required</w:t>
      </w:r>
    </w:p>
    <w:p>
      <w:pPr>
        <w:pStyle w:val="ListBullet"/>
      </w:pPr>
      <w:r>
        <w:t>c. Trust is placed in the cloud provider's OS, which must behave honestly</w:t>
      </w:r>
    </w:p>
    <w:p>
      <w:pPr>
        <w:pStyle w:val="ListBullet"/>
      </w:pPr>
      <w:r>
        <w:t>d. Trust is placed only in the user's client, and the server hardware may be malicious</w:t>
      </w:r>
    </w:p>
    <w:p>
      <w:r>
        <w:rPr>
          <w:b/>
        </w:rPr>
        <w:t xml:space="preserve">Correct answer: a. </w:t>
      </w:r>
      <w:r>
        <w:t>Trust shifts from the operating system to the CPU manufacturer and its libraries</w:t>
      </w:r>
    </w:p>
    <w:p>
      <w:pPr>
        <w:pStyle w:val="Heading2"/>
      </w:pPr>
      <w:r>
        <w:t>13. In the abstract TEE model, what happens to the secret values in the register file when the CPU switches from trusted mode to the untrusted OS?</w:t>
      </w:r>
    </w:p>
    <w:p>
      <w:pPr>
        <w:pStyle w:val="ListBullet"/>
      </w:pPr>
      <w:r>
        <w:t>a. The registers are wiped and the OS restarts the computation</w:t>
      </w:r>
    </w:p>
    <w:p>
      <w:pPr>
        <w:pStyle w:val="ListBullet"/>
      </w:pPr>
      <w:r>
        <w:rPr>
          <w:b/>
        </w:rPr>
        <w:t>b. They are saved in encrypted form, with the key held in the trusted hardware</w:t>
      </w:r>
    </w:p>
    <w:p>
      <w:pPr>
        <w:pStyle w:val="ListBullet"/>
      </w:pPr>
      <w:r>
        <w:t>c. The OS receives a plaintext copy but is forbidden by policy from reading it</w:t>
      </w:r>
    </w:p>
    <w:p>
      <w:pPr>
        <w:pStyle w:val="ListBullet"/>
      </w:pPr>
      <w:r>
        <w:t>d. Nothing is done, since the OS cannot read hardware registers</w:t>
      </w:r>
    </w:p>
    <w:p>
      <w:r>
        <w:rPr>
          <w:b/>
        </w:rPr>
        <w:t xml:space="preserve">Correct answer: b. </w:t>
      </w:r>
      <w:r>
        <w:t>They are saved in encrypted form, with the key held in the trusted hardware</w:t>
      </w:r>
    </w:p>
    <w:p>
      <w:pPr>
        <w:pStyle w:val="Heading2"/>
      </w:pPr>
      <w:r>
        <w:t>14. Memory encryption stops a malicious OS from reading secret memory but not from modifying it. What additional mechanism does the lecture introduce for integrity?</w:t>
      </w:r>
    </w:p>
    <w:p>
      <w:pPr>
        <w:pStyle w:val="ListBullet"/>
      </w:pPr>
      <w:r>
        <w:t>a. Using a longer encryption key</w:t>
      </w:r>
    </w:p>
    <w:p>
      <w:pPr>
        <w:pStyle w:val="ListBullet"/>
      </w:pPr>
      <w:r>
        <w:t>b. None is needed, since encryption alone prevents modification</w:t>
      </w:r>
    </w:p>
    <w:p>
      <w:pPr>
        <w:pStyle w:val="ListBullet"/>
      </w:pPr>
      <w:r>
        <w:rPr>
          <w:b/>
        </w:rPr>
        <w:t>c. An ownership bit (and other bookkeeping)</w:t>
      </w:r>
    </w:p>
    <w:p>
      <w:pPr>
        <w:pStyle w:val="ListBullet"/>
      </w:pPr>
      <w:r>
        <w:t>d. Letting the OS keep a checksum of the secret pages</w:t>
      </w:r>
    </w:p>
    <w:p>
      <w:r>
        <w:rPr>
          <w:b/>
        </w:rPr>
        <w:t xml:space="preserve">Correct answer: c. </w:t>
      </w:r>
      <w:r>
        <w:t>An ownership bit (and other bookkeeping)</w:t>
      </w:r>
    </w:p>
    <w:p>
      <w:pPr>
        <w:pStyle w:val="Heading2"/>
      </w:pPr>
      <w:r>
        <w:t>15. According to the TEE security checklist, which threat is NOT fully addressed by basic TEE isolation?</w:t>
      </w:r>
    </w:p>
    <w:p>
      <w:pPr>
        <w:pStyle w:val="ListBullet"/>
      </w:pPr>
      <w:r>
        <w:t>a. A malicious OS reading secret memory contents</w:t>
      </w:r>
    </w:p>
    <w:p>
      <w:pPr>
        <w:pStyle w:val="ListBullet"/>
      </w:pPr>
      <w:r>
        <w:t>b. A malicious OS redirecting accesses by tampering with page tables</w:t>
      </w:r>
    </w:p>
    <w:p>
      <w:pPr>
        <w:pStyle w:val="ListBullet"/>
      </w:pPr>
      <w:r>
        <w:t>c. A DMA-capable peripheral reading protected physical memory</w:t>
      </w:r>
    </w:p>
    <w:p>
      <w:pPr>
        <w:pStyle w:val="ListBullet"/>
      </w:pPr>
      <w:r>
        <w:rPr>
          <w:b/>
        </w:rPr>
        <w:t>d. A malicious OS repeatedly interrupting the enclave (DoS) and observing timing</w:t>
      </w:r>
    </w:p>
    <w:p>
      <w:r>
        <w:rPr>
          <w:b/>
        </w:rPr>
        <w:t xml:space="preserve">Correct answer: d. </w:t>
      </w:r>
      <w:r>
        <w:t>A malicious OS repeatedly interrupting the enclave (DoS) and observing timing</w:t>
      </w:r>
    </w:p>
    <w:p>
      <w:pPr>
        <w:pStyle w:val="Heading2"/>
      </w:pPr>
      <w:r>
        <w:t>16. What is the Trusted Computing Base (TCB) of Intel SGX?</w:t>
      </w:r>
    </w:p>
    <w:p>
      <w:pPr>
        <w:pStyle w:val="ListBullet"/>
      </w:pPr>
      <w:r>
        <w:rPr>
          <w:b/>
        </w:rPr>
        <w:t>a. Processor + SGX firmware (Intel-signed microcode) + enclave</w:t>
      </w:r>
    </w:p>
    <w:p>
      <w:pPr>
        <w:pStyle w:val="ListBullet"/>
      </w:pPr>
      <w:r>
        <w:t>b. Processor + OS kernel + hypervisor</w:t>
      </w:r>
    </w:p>
    <w:p>
      <w:pPr>
        <w:pStyle w:val="ListBullet"/>
      </w:pPr>
      <w:r>
        <w:t>c. Enclave + hypervisor</w:t>
      </w:r>
    </w:p>
    <w:p>
      <w:pPr>
        <w:pStyle w:val="ListBullet"/>
      </w:pPr>
      <w:r>
        <w:t>d. The entire server, including all peripherals</w:t>
      </w:r>
    </w:p>
    <w:p>
      <w:r>
        <w:rPr>
          <w:b/>
        </w:rPr>
        <w:t xml:space="preserve">Correct answer: a. </w:t>
      </w:r>
      <w:r>
        <w:t>Processor + SGX firmware (Intel-signed microcode) + enclave</w:t>
      </w:r>
    </w:p>
    <w:p>
      <w:pPr>
        <w:pStyle w:val="Heading2"/>
      </w:pPr>
      <w:r>
        <w:t>17. What happens in SGX when an interrupt arrives while the CPU is executing enclave code?</w:t>
      </w:r>
    </w:p>
    <w:p>
      <w:pPr>
        <w:pStyle w:val="ListBullet"/>
      </w:pPr>
      <w:r>
        <w:t>a. The interrupt is serviced inside the enclave using the OS handler</w:t>
      </w:r>
    </w:p>
    <w:p>
      <w:pPr>
        <w:pStyle w:val="ListBullet"/>
      </w:pPr>
      <w:r>
        <w:t>b. The enclave is destroyed and all its secrets are wiped</w:t>
      </w:r>
    </w:p>
    <w:p>
      <w:pPr>
        <w:pStyle w:val="ListBullet"/>
      </w:pPr>
      <w:r>
        <w:rPr>
          <w:b/>
        </w:rPr>
        <w:t>c. The CPU performs an Asynchronous Enclave Exit</w:t>
      </w:r>
    </w:p>
    <w:p>
      <w:pPr>
        <w:pStyle w:val="ListBullet"/>
      </w:pPr>
      <w:r>
        <w:t>d. Interrupts are queued and cannot be delivered until the enclave terminates</w:t>
      </w:r>
    </w:p>
    <w:p>
      <w:r>
        <w:rPr>
          <w:b/>
        </w:rPr>
        <w:t xml:space="preserve">Correct answer: c. </w:t>
      </w:r>
      <w:r>
        <w:t>The CPU performs an Asynchronous Enclave Exit</w:t>
      </w:r>
    </w:p>
    <w:p>
      <w:pPr>
        <w:pStyle w:val="Heading2"/>
      </w:pPr>
      <w:r>
        <w:t>18. In the SGX lung-scan example, how does the user gain confidence that it is talking to a correctly configured enclave?</w:t>
      </w:r>
    </w:p>
    <w:p>
      <w:pPr>
        <w:pStyle w:val="ListBullet"/>
      </w:pPr>
      <w:r>
        <w:t>a. By reading the server's OS logs</w:t>
      </w:r>
    </w:p>
    <w:p>
      <w:pPr>
        <w:pStyle w:val="ListBullet"/>
      </w:pPr>
      <w:r>
        <w:t>b. By trusting the cloud provider's assurance</w:t>
      </w:r>
    </w:p>
    <w:p>
      <w:pPr>
        <w:pStyle w:val="ListBullet"/>
      </w:pPr>
      <w:r>
        <w:t>c. By directly inspecting the enclave's memory contents</w:t>
      </w:r>
    </w:p>
    <w:p>
      <w:pPr>
        <w:pStyle w:val="ListBullet"/>
      </w:pPr>
      <w:r>
        <w:rPr>
          <w:b/>
        </w:rPr>
        <w:t>d. A hash of the enclave's initial state is computed</w:t>
      </w:r>
    </w:p>
    <w:p>
      <w:r>
        <w:rPr>
          <w:b/>
        </w:rPr>
        <w:t xml:space="preserve">Correct answer: d. </w:t>
      </w:r>
      <w:r>
        <w:t>A hash of the enclave's initial state is computed</w:t>
      </w:r>
    </w:p>
    <w:p>
      <w:pPr>
        <w:pStyle w:val="Heading2"/>
      </w:pPr>
      <w:r>
        <w:t>19. What is the key difference between Intel SGX and Intel TDX?</w:t>
      </w:r>
    </w:p>
    <w:p>
      <w:pPr>
        <w:pStyle w:val="ListBullet"/>
      </w:pPr>
      <w:r>
        <w:rPr>
          <w:b/>
        </w:rPr>
        <w:t>a. SGX protects a small part of an application (the enclave) while TDX protects an entire VM with its own OS</w:t>
      </w:r>
    </w:p>
    <w:p>
      <w:pPr>
        <w:pStyle w:val="ListBullet"/>
      </w:pPr>
      <w:r>
        <w:t>b. SGX protects an entire VM, while TDX protects only a small enclave inside an application</w:t>
      </w:r>
    </w:p>
    <w:p>
      <w:pPr>
        <w:pStyle w:val="ListBullet"/>
      </w:pPr>
      <w:r>
        <w:t>c. Both protect only CPU registers and neither protects memory</w:t>
      </w:r>
    </w:p>
    <w:p>
      <w:pPr>
        <w:pStyle w:val="ListBullet"/>
      </w:pPr>
      <w:r>
        <w:t>d. TDX requires the application to be rewritten, while SGX does not</w:t>
      </w:r>
    </w:p>
    <w:p>
      <w:r>
        <w:rPr>
          <w:b/>
        </w:rPr>
        <w:t xml:space="preserve">Correct answer: a. </w:t>
      </w:r>
      <w:r>
        <w:t>SGX protects a small part of an application (the enclave) while TDX protects an entire VM with its own OS</w:t>
      </w:r>
    </w:p>
    <w:p>
      <w:pPr>
        <w:pStyle w:val="Heading2"/>
      </w:pPr>
      <w:r>
        <w:t>20. In Intel TDX, the hypervisor invokes the TDX Module (running in SEAM mode) using _____, and a Trust Domain communicates with the TDX Module using _____.</w:t>
      </w:r>
    </w:p>
    <w:p>
      <w:pPr>
        <w:pStyle w:val="ListBullet"/>
      </w:pPr>
      <w:r>
        <w:t>a. TDCALL; SEAMCALL</w:t>
      </w:r>
    </w:p>
    <w:p>
      <w:pPr>
        <w:pStyle w:val="ListBullet"/>
      </w:pPr>
      <w:r>
        <w:rPr>
          <w:b/>
        </w:rPr>
        <w:t>b. SEAMCALL (returning via SEAMRET); TDCALL</w:t>
      </w:r>
    </w:p>
    <w:p>
      <w:pPr>
        <w:pStyle w:val="ListBullet"/>
      </w:pPr>
      <w:r>
        <w:t>c. VMLAUNCH; VMRESUME</w:t>
      </w:r>
    </w:p>
    <w:p>
      <w:pPr>
        <w:pStyle w:val="ListBullet"/>
      </w:pPr>
      <w:r>
        <w:t>d. EADD; EINIT</w:t>
      </w:r>
    </w:p>
    <w:p>
      <w:r>
        <w:rPr>
          <w:b/>
        </w:rPr>
        <w:t xml:space="preserve">Correct answer: b. </w:t>
      </w:r>
      <w:r>
        <w:t>SEAMCALL (returning via SEAMRET); TDCALL</w:t>
      </w:r>
    </w:p>
    <w:p>
      <w:pPr>
        <w:pStyle w:val="Heading1"/>
      </w:pPr>
      <w:r>
        <w:t>Quick Answer Key</w:t>
      </w:r>
    </w:p>
    <w:p>
      <w:r>
        <w:t>1-B, 2-D, 3-A, 4-C, 5-B, 6-C, 7-A, 8-D, 9-B, 10-C, 11-D, 12-A, 13-B, 14-C, 15-D, 16-A, 17-C, 18-D, 19-A, 20-B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