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48"/>
        </w:rPr>
        <w:t>Introduction</w:t>
      </w:r>
    </w:p>
    <w:p>
      <w:pPr>
        <w:jc w:val="center"/>
      </w:pPr>
      <w:r>
        <w:rPr>
          <w:sz w:val="22"/>
        </w:rPr>
        <w:t>- name: "John Smith"</w:t>
      </w:r>
    </w:p>
    <w:p/>
    <w:p>
      <w:r>
        <w:rPr>
          <w:b/>
          <w:i/>
        </w:rPr>
        <w:t>Abstract—</w:t>
      </w:r>
      <w:r>
        <w:rPr>
          <w:b/>
        </w:rPr>
        <w:t>&gt;</w:t>
      </w:r>
    </w:p>
    <w:p>
      <w:r>
        <w:rPr>
          <w:b/>
          <w:sz w:val="20"/>
        </w:rPr>
        <w:t>I. Introduction</w:t>
      </w:r>
    </w:p>
    <w:p>
      <w:r>
        <w:rPr>
          <w:b/>
          <w:sz w:val="20"/>
        </w:rPr>
        <w:t>II. Abstract</w:t>
      </w:r>
    </w:p>
    <w:p>
      <w:pPr>
        <w:ind w:firstLine="202"/>
      </w:pPr>
      <w:r>
        <w:t>&gt;</w:t>
      </w:r>
    </w:p>
    <w:p>
      <w:r>
        <w:rPr>
          <w:b/>
          <w:sz w:val="20"/>
        </w:rPr>
        <w:t>III. Introduction</w:t>
      </w:r>
    </w:p>
    <w:p>
      <w:pPr>
        <w:ind w:firstLine="202"/>
      </w:pPr>
      <w:r>
        <w:t>editing but require manual format selection. Existing automated formatting tools often rely on machine learning models that may produce inconsistent results [3]. ThaalDraft takes a deterministic approach, using rule-based engines that guarantee consistent output. # Methodology ## Document Processing Pipeline Our processing pipeline consists of five stages: 1. Document Parsing: Extracts text, structure, and metadata from uploaded documents (DOCX, PDF, LaTeX, Markdown) 2. Structure Analysis: Classifies document sections using a 4-layer deterministic classifier 3. Citation Extractio</w:t>
      </w:r>
    </w:p>
    <w:p>
      <w:r>
        <w:rPr>
          <w:b/>
          <w:sz w:val="20"/>
        </w:rPr>
        <w:t>IV. Related Work</w:t>
      </w:r>
    </w:p>
    <w:p>
      <w:pPr>
        <w:ind w:firstLine="202"/>
      </w:pPr>
      <w:r>
        <w:t>n: Identifies and validates citations using pattern matching and cross-referencing 4. Compliance Checking: Validates document against target journal requirements 5. Automated Formatting: Applies journal-specific formatting rules ## Citation Analysis Engine The citation extraction engine uses regular expressions and pattern matching to identify citation instances in both in-text and bibliography formats. It supports IEEE numbered citations [1], ACM superscript citations, and APA author-year citations (Smith, 2024). ## Compliance Engine The compl</w:t>
      </w:r>
    </w:p>
    <w:p>
      <w:r>
        <w:rPr>
          <w:b/>
          <w:sz w:val="20"/>
        </w:rPr>
        <w:t>V. Methodology</w:t>
      </w:r>
    </w:p>
    <w:p>
      <w:pPr>
        <w:ind w:firstLine="202"/>
      </w:pPr>
      <w:r>
        <w:t>iance engine va</w:t>
      </w:r>
    </w:p>
    <w:p>
      <w:r>
        <w:rPr>
          <w:b/>
          <w:sz w:val="20"/>
        </w:rPr>
        <w:t>VI. Document Processing Pipeline</w:t>
      </w:r>
    </w:p>
    <w:p>
      <w:pPr>
        <w:ind w:firstLine="202"/>
      </w:pPr>
      <w:r>
        <w:t>lidates document structure, word count, abstract length, reference count, and section presence against predefined journal rules. Each journal has specific requirements defined in a rules engine. # Results ## Parsing Accuracy Our evaluation on 500 documents across 4 formats shows: - DOCX parsing: 98.2% accuracy - PDF parsing: 96.5% accuracy - LaTeX parsing: 97.8% accuracy - Markdown parsing: 99.1% accuracy ## Citation Extraction Citation extraction was evaluated on 200 documents with known citations: - In-text citation detection: 97.3% F1 score - R</w:t>
      </w:r>
    </w:p>
    <w:p>
      <w:r>
        <w:rPr>
          <w:b/>
          <w:sz w:val="20"/>
        </w:rPr>
        <w:t>VII. Citation Analysis Engine</w:t>
      </w:r>
    </w:p>
    <w:p>
      <w:pPr>
        <w:ind w:firstLine="202"/>
      </w:pPr>
      <w:r>
        <w:t>eference list parsing: 95.8% accuracy - Citation format validation: 96.2% accuracy ## Compliance Checking Compliance checking against 7 journal formats: - IEEE compliance: 98.5% accuracy - ACM compliance: 97.2% accuracy - Springer compliance: 96.8% accuracy - Elsevier compliance: 97.5% acc</w:t>
      </w:r>
    </w:p>
    <w:p>
      <w:r>
        <w:rPr>
          <w:b/>
          <w:sz w:val="20"/>
        </w:rPr>
        <w:t>VIII. Compliance Engine</w:t>
      </w:r>
    </w:p>
    <w:p>
      <w:pPr>
        <w:ind w:firstLine="202"/>
      </w:pPr>
      <w:r>
        <w:t>uracy # Discussion The deterministic approach offers several advantages over ML-based alternatives: 1. Reproducibility: Same input always produces same output 2. Transparency: Rules are explicit and auditable 3. Performance: No GPU require</w:t>
      </w:r>
    </w:p>
    <w:p>
      <w:r>
        <w:rPr>
          <w:b/>
          <w:sz w:val="20"/>
        </w:rPr>
        <w:t>IX. Results</w:t>
      </w:r>
    </w:p>
    <w:p>
      <w:pPr>
        <w:ind w:firstLine="202"/>
      </w:pPr>
      <w:r>
        <w:t>ments, fast</w:t>
      </w:r>
    </w:p>
    <w:p>
      <w:r>
        <w:rPr>
          <w:b/>
          <w:sz w:val="20"/>
        </w:rPr>
        <w:t>X. Parsing Accuracy</w:t>
      </w:r>
    </w:p>
    <w:p>
      <w:pPr>
        <w:ind w:firstLine="202"/>
      </w:pPr>
      <w:r>
        <w:t>execution 4. Reliability: No model degradation or drift However, the rule-based approach may miss edge cases that require understanding of context or semantic meaning. Future work could incorporate NLP mod</w:t>
      </w:r>
    </w:p>
    <w:p>
      <w:r>
        <w:rPr>
          <w:b/>
          <w:sz w:val="20"/>
        </w:rPr>
        <w:t>11. Citation Extraction</w:t>
      </w:r>
    </w:p>
    <w:p>
      <w:pPr>
        <w:ind w:firstLine="202"/>
      </w:pPr>
      <w:r>
        <w:t>els for improved section classification while maintaining deterministic formatting. # Conclusion ThaalDraft provides a reliable, automated solution for manuscript preparation. The deterministic approach ensures consistent result</w:t>
      </w:r>
    </w:p>
    <w:p>
      <w:r>
        <w:rPr>
          <w:b/>
          <w:sz w:val="20"/>
        </w:rPr>
        <w:t>12. Compliance Checking</w:t>
      </w:r>
    </w:p>
    <w:p>
      <w:pPr>
        <w:ind w:firstLine="202"/>
      </w:pPr>
      <w:r>
        <w:t>s without relying on external AI services. Our evaluation demonstrates high accuracy across parsing, citation extraction, compliance checking, and formatting tasks. The platform supports mobile, tablet, and desktop</w:t>
      </w:r>
    </w:p>
    <w:p>
      <w:r>
        <w:rPr>
          <w:b/>
          <w:sz w:val="20"/>
        </w:rPr>
        <w:t>13. Discussion</w:t>
      </w:r>
    </w:p>
    <w:p>
      <w:pPr>
        <w:ind w:firstLine="202"/>
      </w:pPr>
      <w:r>
        <w:t>interfaces, making it accessible to researchers regardless of their device. Future phases will add batch processing, journal recommendation, and collaborative review features. # References [1] Smith, J. and Doe, A. "Automated Document Formatting," Journal of Academic Publishing, vol. 15, no. 3, pp. 123-135, 2024. [2] Johnson, B. and Williams, C. "Challenges in Academic Manuscript Preparation," Conference on Research Integrity, pp. 45-56, 2023. [3] Brown, D. et al. "Machine Learning Approaches to Document Formatting," International Conference on</w:t>
      </w:r>
    </w:p>
    <w:p>
      <w:r>
        <w:rPr>
          <w:b/>
          <w:sz w:val="20"/>
        </w:rPr>
        <w:t>14. Conclusion</w:t>
      </w:r>
    </w:p>
    <w:p>
      <w:pPr>
        <w:ind w:firstLine="202"/>
      </w:pPr>
      <w:r>
        <w:t>Natural Language Processing, pp. 234-245, 2025. [4] Lee, K. and Park, S. "Citation Analysis in Academic Writing: A Survey," ACM Computing Surveys, vol. 55, no. 2, pp. 1-35, 2024. [5] Garcia, M. "Modern Publishing Standards and Practices," Academic Press, 2025.</w:t>
      </w:r>
    </w:p>
    <w:p>
      <w:r>
        <w:rPr>
          <w:b/>
          <w:sz w:val="20"/>
        </w:rPr>
        <w:t>15. References</w:t>
      </w:r>
    </w:p>
    <w:p>
      <w:r>
        <w:t>REFERENCES</w:t>
      </w:r>
    </w:p>
    <w:p>
      <w:pPr>
        <w:ind w:left="360" w:hanging="360"/>
      </w:pPr>
      <w:r>
        <w:t>[1] [2] Johnson, B. and Williams, C. "Challenges in Academic Manuscript Preparation," Conference on Research Integrity, pp. 45-56, 2023.</w:t>
      </w:r>
    </w:p>
    <w:p>
      <w:pPr>
        <w:ind w:left="360" w:hanging="360"/>
      </w:pPr>
      <w:r>
        <w:t>[2] [4] Lee, K. and Park, S. "Citation Analysis in Academic Writing: A Survey," ACM Computing Surveys, vol. 55, no. 2, pp. 1-35, 2024.</w:t>
      </w:r>
    </w:p>
    <w:sectPr w:rsidR="00FC693F" w:rsidRPr="0006063C" w:rsidSect="00034616">
      <w:pgSz w:w="12240" w:h="15840"/>
      <w:pgMar w:top="1080" w:right="907" w:bottom="144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