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55BCDB"/>
          <w:spacing w:val="60"/>
          <w:sz w:val="17"/>
          <w:szCs w:val="17"/>
        </w:rPr>
        <w:t xml:space="preserve">SCENARIO 4  |  BOTH DEFINITIONS IMPLIED</w:t>
      </w:r>
    </w:p>
    <w:p>
      <w:pPr>
        <w:spacing w:after="16" w:before="0"/>
      </w:pPr>
      <w:r>
        <w:rPr>
          <w:rFonts w:ascii="Arial" w:cs="Arial" w:eastAsia="Arial" w:hAnsi="Arial"/>
          <w:b/>
          <w:bCs/>
          <w:color w:val="6B7280"/>
          <w:sz w:val="19"/>
          <w:szCs w:val="19"/>
        </w:rPr>
        <w:t xml:space="preserve">Key term: </w:t>
      </w:r>
      <w:r>
        <w:rPr>
          <w:rFonts w:ascii="Arial" w:cs="Arial" w:eastAsia="Arial" w:hAnsi="Arial"/>
          <w:b/>
          <w:bCs/>
          <w:color w:val="A01A71"/>
          <w:sz w:val="19"/>
          <w:szCs w:val="19"/>
        </w:rPr>
        <w:t xml:space="preserve">"Underperforming Store"</w:t>
      </w:r>
      <w:r>
        <w:rPr>
          <w:rFonts w:ascii="Arial" w:cs="Arial" w:eastAsia="Arial" w:hAnsi="Arial"/>
          <w:color w:val="6B7280"/>
          <w:sz w:val="19"/>
          <w:szCs w:val="19"/>
        </w:rPr>
        <w:t xml:space="preserve">  -  implied as a financial measure in one section; implied as a customer experience measure in another. Neither definition is written out.</w:t>
      </w:r>
    </w:p>
    <w:p>
      <w:pPr>
        <w:pBdr>
          <w:bottom w:val="single" w:color="55BCDB" w:sz="8" w:space="1"/>
        </w:pBdr>
        <w:spacing w:after="240" w:before="240"/>
      </w:pPr>
    </w:p>
    <w:p>
      <w:pPr>
        <w:spacing w:after="40" w:before="0"/>
      </w:pPr>
    </w:p>
    <w:p>
      <w:pPr>
        <w:spacing w:after="80" w:before="0"/>
      </w:pPr>
      <w:r>
        <w:rPr>
          <w:rFonts w:ascii="Arial" w:cs="Arial" w:eastAsia="Arial" w:hAnsi="Arial"/>
          <w:b/>
          <w:bCs/>
          <w:color w:val="25274D"/>
          <w:spacing w:val="60"/>
          <w:sz w:val="17"/>
          <w:szCs w:val="17"/>
        </w:rPr>
        <w:t xml:space="preserve">DOCUMENT 1  -  EXECUTIVE PROPOSAL</w:t>
      </w:r>
    </w:p>
    <w:p>
      <w:pPr>
        <w:pBdr>
          <w:bottom w:val="single" w:color="E5E7EB" w:sz="4" w:space="2"/>
        </w:pBdr>
        <w:spacing w:after="200" w:before="0"/>
      </w:pPr>
      <w:r>
        <w:rPr>
          <w:rFonts w:ascii="Arial" w:cs="Arial" w:eastAsia="Arial" w:hAnsi="Arial"/>
          <w:i/>
          <w:iCs/>
          <w:color w:val="6B7280"/>
          <w:sz w:val="19"/>
          <w:szCs w:val="19"/>
        </w:rPr>
        <w:t xml:space="preserve">Hartley &amp; Sons Clothing Ltd  |  For Board Approval  |  June 2026</w:t>
      </w:r>
    </w:p>
    <w:p>
      <w:pPr>
        <w:spacing w:after="80" w:before="160"/>
      </w:pPr>
      <w:r>
        <w:rPr>
          <w:rFonts w:ascii="Arial" w:cs="Arial" w:eastAsia="Arial" w:hAnsi="Arial"/>
          <w:b/>
          <w:bCs/>
          <w:color w:val="25274D"/>
          <w:sz w:val="30"/>
          <w:szCs w:val="30"/>
        </w:rPr>
        <w:t xml:space="preserve">Proposal to Close Five Stores and Consolidate the Retail Portfolio</w:t>
      </w:r>
    </w:p>
    <w:p>
      <w:pPr>
        <w:spacing w:after="200" w:before="0"/>
      </w:pPr>
      <w:r>
        <w:rPr>
          <w:rFonts w:ascii="Arial" w:cs="Arial" w:eastAsia="Arial" w:hAnsi="Arial"/>
          <w:b/>
          <w:bCs/>
          <w:color w:val="6B7280"/>
          <w:sz w:val="19"/>
          <w:szCs w:val="19"/>
        </w:rPr>
        <w:t xml:space="preserve">To:  </w:t>
      </w:r>
      <w:r>
        <w:rPr>
          <w:rFonts w:ascii="Arial" w:cs="Arial" w:eastAsia="Arial" w:hAnsi="Arial"/>
          <w:color w:val="1F2937"/>
          <w:sz w:val="19"/>
          <w:szCs w:val="19"/>
        </w:rPr>
        <w:t xml:space="preserve">Board of Directors, Hartley &amp; Sons Clothing Ltd	</w:t>
      </w:r>
      <w:r>
        <w:rPr>
          <w:rFonts w:ascii="Arial" w:cs="Arial" w:eastAsia="Arial" w:hAnsi="Arial"/>
          <w:b/>
          <w:bCs/>
          <w:color w:val="6B7280"/>
          <w:sz w:val="19"/>
          <w:szCs w:val="19"/>
        </w:rPr>
        <w:t xml:space="preserve">From:  </w:t>
      </w:r>
      <w:r>
        <w:rPr>
          <w:rFonts w:ascii="Arial" w:cs="Arial" w:eastAsia="Arial" w:hAnsi="Arial"/>
          <w:color w:val="1F2937"/>
          <w:sz w:val="19"/>
          <w:szCs w:val="19"/>
        </w:rPr>
        <w:t xml:space="preserve">Claire Tomlin, Chief Executive Officer</w:t>
      </w:r>
    </w:p>
    <w:p>
      <w:pPr>
        <w:spacing w:after="60" w:before="280"/>
      </w:pPr>
      <w:r>
        <w:rPr>
          <w:rFonts w:ascii="Arial" w:cs="Arial" w:eastAsia="Arial" w:hAnsi="Arial"/>
          <w:b/>
          <w:bCs/>
          <w:color w:val="25274D"/>
          <w:spacing w:val="40"/>
          <w:sz w:val="22"/>
          <w:szCs w:val="22"/>
        </w:rPr>
        <w:t xml:space="preserve">SUMMARY</w:t>
      </w:r>
    </w:p>
    <w:p>
      <w:pPr>
        <w:spacing w:after="100" w:before="0"/>
      </w:pPr>
      <w:r>
        <w:rPr>
          <w:rFonts w:ascii="Arial" w:cs="Arial" w:eastAsia="Arial" w:hAnsi="Arial"/>
          <w:color w:val="1F2937"/>
          <w:sz w:val="20"/>
          <w:szCs w:val="20"/>
        </w:rPr>
        <w:t xml:space="preserve">The Board is asked to approve the closure of five </w:t>
      </w:r>
      <w:r>
        <w:rPr>
          <w:rFonts w:ascii="Arial" w:cs="Arial" w:eastAsia="Arial" w:hAnsi="Arial"/>
          <w:b/>
          <w:bCs/>
          <w:color w:val="A01A71"/>
          <w:sz w:val="20"/>
          <w:szCs w:val="20"/>
        </w:rPr>
        <w:t xml:space="preserve">underperforming stores</w:t>
      </w:r>
      <w:r>
        <w:rPr>
          <w:rFonts w:ascii="Arial" w:cs="Arial" w:eastAsia="Arial" w:hAnsi="Arial"/>
          <w:color w:val="1F2937"/>
          <w:sz w:val="20"/>
          <w:szCs w:val="20"/>
        </w:rPr>
        <w:t xml:space="preserve"> from the Hartley &amp; Sons portfolio. The closures will reduce the Group's retail footprint from 34 to 29 stores. The programme will be completed by the end of January 2027, timed to fall after the Christmas trading period.</w:t>
      </w:r>
    </w:p>
    <w:p>
      <w:pPr>
        <w:spacing w:after="60" w:before="280"/>
      </w:pPr>
      <w:r>
        <w:rPr>
          <w:rFonts w:ascii="Arial" w:cs="Arial" w:eastAsia="Arial" w:hAnsi="Arial"/>
          <w:b/>
          <w:bCs/>
          <w:color w:val="25274D"/>
          <w:spacing w:val="40"/>
          <w:sz w:val="22"/>
          <w:szCs w:val="22"/>
        </w:rPr>
        <w:t xml:space="preserve">THE COMMITMENT</w:t>
      </w:r>
    </w:p>
    <w:p>
      <w:pPr>
        <w:spacing w:after="100" w:before="0"/>
      </w:pPr>
      <w:r>
        <w:rPr>
          <w:rFonts w:ascii="Arial" w:cs="Arial" w:eastAsia="Arial" w:hAnsi="Arial"/>
          <w:color w:val="1F2937"/>
          <w:sz w:val="20"/>
          <w:szCs w:val="20"/>
        </w:rPr>
        <w:t xml:space="preserve">Hartley &amp; Sons operates 34 stores across England and Wales. This proposal identifies five stores for closure on the grounds that they are no longer contributing to the Group's financial performance or its brand positioning.</w:t>
      </w:r>
    </w:p>
    <w:p>
      <w:pPr>
        <w:spacing w:after="100" w:before="0"/>
      </w:pPr>
      <w:r>
        <w:rPr>
          <w:rFonts w:ascii="Arial" w:cs="Arial" w:eastAsia="Arial" w:hAnsi="Arial"/>
          <w:color w:val="1F2937"/>
          <w:sz w:val="20"/>
          <w:szCs w:val="20"/>
        </w:rPr>
        <w:t xml:space="preserve">The five </w:t>
      </w:r>
      <w:r>
        <w:rPr>
          <w:rFonts w:ascii="Arial" w:cs="Arial" w:eastAsia="Arial" w:hAnsi="Arial"/>
          <w:b/>
          <w:bCs/>
          <w:color w:val="A01A71"/>
          <w:sz w:val="20"/>
          <w:szCs w:val="20"/>
        </w:rPr>
        <w:t xml:space="preserve">underperforming stores</w:t>
      </w:r>
      <w:r>
        <w:rPr>
          <w:rFonts w:ascii="Arial" w:cs="Arial" w:eastAsia="Arial" w:hAnsi="Arial"/>
          <w:color w:val="1F2937"/>
          <w:sz w:val="20"/>
          <w:szCs w:val="20"/>
        </w:rPr>
        <w:t xml:space="preserve"> identified for closure are: Wolverhampton, Walsall, Merthyr Tydfil, Scunthorpe, and Grimsby. Staff at each affected site will be notified through a formal consultation process following Board approval. Wherever possible, staff will be offered roles at nearby Hartley &amp; Sons locations.</w:t>
      </w:r>
    </w:p>
    <w:p>
      <w:pPr>
        <w:spacing w:after="100" w:before="0"/>
      </w:pPr>
      <w:r>
        <w:rPr>
          <w:rFonts w:ascii="Arial" w:cs="Arial" w:eastAsia="Arial" w:hAnsi="Arial"/>
          <w:color w:val="1F2937"/>
          <w:sz w:val="20"/>
          <w:szCs w:val="20"/>
        </w:rPr>
        <w:t xml:space="preserve">The total cost of the closure programme - covering lease exit fees, redundancy provisions, and stock liquidation - is estimated at £840,000. This is a one-off cost. The removal of the annual operating losses across the five sites is expected to improve the Group's net position by £620,000 per year from 2027 onward.</w:t>
      </w:r>
    </w:p>
    <w:p>
      <w:pPr>
        <w:spacing w:after="60" w:before="280"/>
      </w:pPr>
      <w:r>
        <w:rPr>
          <w:rFonts w:ascii="Arial" w:cs="Arial" w:eastAsia="Arial" w:hAnsi="Arial"/>
          <w:b/>
          <w:bCs/>
          <w:color w:val="25274D"/>
          <w:spacing w:val="40"/>
          <w:sz w:val="22"/>
          <w:szCs w:val="22"/>
        </w:rPr>
        <w:t xml:space="preserve">WHAT MUST BE TRUE FOR THIS TO WORK</w:t>
      </w:r>
    </w:p>
    <w:p>
      <w:pPr>
        <w:spacing w:after="60" w:before="180"/>
      </w:pPr>
      <w:r>
        <w:rPr>
          <w:rFonts w:ascii="Arial" w:cs="Arial" w:eastAsia="Arial" w:hAnsi="Arial"/>
          <w:b/>
          <w:bCs/>
          <w:color w:val="1F2937"/>
          <w:sz w:val="21"/>
          <w:szCs w:val="21"/>
        </w:rPr>
        <w:t xml:space="preserve">1.  Customers at the closed stores migrate to nearby Hartley &amp; Sons locations</w:t>
      </w:r>
    </w:p>
    <w:p>
      <w:pPr>
        <w:spacing w:after="100" w:before="0"/>
      </w:pPr>
      <w:r>
        <w:rPr>
          <w:rFonts w:ascii="Arial" w:cs="Arial" w:eastAsia="Arial" w:hAnsi="Arial"/>
          <w:color w:val="1F2937"/>
          <w:sz w:val="20"/>
          <w:szCs w:val="20"/>
        </w:rPr>
        <w:t xml:space="preserve">We estimate that approximately 30% of customers at the five closed sites will transfer their spend to alternative Hartley &amp; Sons stores within the same region. If this migration rate falls below 15% in the 12 months following closure, the net financial benefit of the programme will be smaller than projected and the Board should be notified.</w:t>
      </w:r>
    </w:p>
    <w:p>
      <w:pPr>
        <w:spacing w:after="60" w:before="180"/>
      </w:pPr>
      <w:r>
        <w:rPr>
          <w:rFonts w:ascii="Arial" w:cs="Arial" w:eastAsia="Arial" w:hAnsi="Arial"/>
          <w:b/>
          <w:bCs/>
          <w:color w:val="1F2937"/>
          <w:sz w:val="21"/>
          <w:szCs w:val="21"/>
        </w:rPr>
        <w:t xml:space="preserve">2.  Lease exit costs do not exceed estimates</w:t>
      </w:r>
    </w:p>
    <w:p>
      <w:pPr>
        <w:spacing w:after="100" w:before="0"/>
      </w:pPr>
      <w:r>
        <w:rPr>
          <w:rFonts w:ascii="Arial" w:cs="Arial" w:eastAsia="Arial" w:hAnsi="Arial"/>
          <w:color w:val="1F2937"/>
          <w:sz w:val="20"/>
          <w:szCs w:val="20"/>
        </w:rPr>
        <w:t xml:space="preserve">We have received indicative legal advice on the cost of exiting each lease. The £840,000 total is based on this advice. If total exit costs exceed £1 million, the payback period extends from 16 months to over 20 months and the economics of the programme become less compelling.</w:t>
      </w:r>
    </w:p>
    <w:p>
      <w:pPr>
        <w:spacing w:after="60" w:before="180"/>
      </w:pPr>
      <w:r>
        <w:rPr>
          <w:rFonts w:ascii="Arial" w:cs="Arial" w:eastAsia="Arial" w:hAnsi="Arial"/>
          <w:b/>
          <w:bCs/>
          <w:color w:val="1F2937"/>
          <w:sz w:val="21"/>
          <w:szCs w:val="21"/>
        </w:rPr>
        <w:t xml:space="preserve">3.  The closures do not damage the brand in the affected regions</w:t>
      </w:r>
    </w:p>
    <w:p>
      <w:pPr>
        <w:spacing w:after="100" w:before="0"/>
      </w:pPr>
      <w:r>
        <w:rPr>
          <w:rFonts w:ascii="Arial" w:cs="Arial" w:eastAsia="Arial" w:hAnsi="Arial"/>
          <w:color w:val="1F2937"/>
          <w:sz w:val="20"/>
          <w:szCs w:val="20"/>
        </w:rPr>
        <w:t xml:space="preserve">Closing stores carries a reputational risk if it is perceived as a sign of financial distress. The communications plan accompanying this proposal is designed to frame the closures as a deliberate strategic consolidation, not a retreat. If press coverage is predominantly negative in the first two weeks following the announcement, a Board-level response will be required.</w:t>
      </w:r>
    </w:p>
    <w:p>
      <w:pPr>
        <w:spacing w:after="60" w:before="280"/>
      </w:pPr>
      <w:r>
        <w:rPr>
          <w:rFonts w:ascii="Arial" w:cs="Arial" w:eastAsia="Arial" w:hAnsi="Arial"/>
          <w:b/>
          <w:bCs/>
          <w:color w:val="25274D"/>
          <w:spacing w:val="40"/>
          <w:sz w:val="22"/>
          <w:szCs w:val="22"/>
        </w:rPr>
        <w:t xml:space="preserve">FINANCIAL REVIEW</w:t>
      </w:r>
    </w:p>
    <w:p>
      <w:pPr>
        <w:spacing w:after="100" w:before="0"/>
      </w:pPr>
      <w:r>
        <w:rPr>
          <w:rFonts w:ascii="Arial" w:cs="Arial" w:eastAsia="Arial" w:hAnsi="Arial"/>
          <w:color w:val="1F2937"/>
          <w:sz w:val="20"/>
          <w:szCs w:val="20"/>
        </w:rPr>
        <w:t xml:space="preserve">The five stores recommended for closure have all generated annual revenue of below £680,000 in each of the past two financial years. At this level, after lease costs, staffing, and central overhead allocation, each site runs at an operating loss. The stores on this list are the </w:t>
      </w:r>
      <w:r>
        <w:rPr>
          <w:rFonts w:ascii="Arial" w:cs="Arial" w:eastAsia="Arial" w:hAnsi="Arial"/>
          <w:b/>
          <w:bCs/>
          <w:color w:val="A01A71"/>
          <w:sz w:val="20"/>
          <w:szCs w:val="20"/>
        </w:rPr>
        <w:t xml:space="preserve">underperforming stores</w:t>
      </w:r>
      <w:r>
        <w:rPr>
          <w:rFonts w:ascii="Arial" w:cs="Arial" w:eastAsia="Arial" w:hAnsi="Arial"/>
          <w:color w:val="1F2937"/>
          <w:sz w:val="20"/>
          <w:szCs w:val="20"/>
        </w:rPr>
        <w:t xml:space="preserve"> in financial terms: they are the five lowest-revenue properties in the portfolio, and all five are loss-making on a fully absorbed cost basis.</w:t>
      </w:r>
    </w:p>
    <w:p>
      <w:pPr>
        <w:spacing w:after="100" w:before="0"/>
      </w:pPr>
      <w:r>
        <w:rPr>
          <w:rFonts w:ascii="Arial" w:cs="Arial" w:eastAsia="Arial" w:hAnsi="Arial"/>
          <w:color w:val="1F2937"/>
          <w:sz w:val="20"/>
          <w:szCs w:val="20"/>
        </w:rPr>
        <w:t xml:space="preserve">For reference, the Group average across all 34 stores is £1.24 million annual revenue. The median for the 29 stores not proposed for closure is £1.31 million. The five proposed for closure average £598,000.</w:t>
      </w:r>
    </w:p>
    <w:p>
      <w:pPr>
        <w:spacing w:after="100" w:before="0"/>
      </w:pPr>
      <w:r>
        <w:rPr>
          <w:rFonts w:ascii="Arial" w:cs="Arial" w:eastAsia="Arial" w:hAnsi="Arial"/>
          <w:color w:val="1F2937"/>
          <w:sz w:val="20"/>
          <w:szCs w:val="20"/>
        </w:rPr>
        <w:t xml:space="preserve">No store generating above £680,000 revenue has been included on this list, regardless of other factors.</w:t>
      </w:r>
    </w:p>
    <w:p>
      <w:pPr>
        <w:spacing w:after="60" w:before="280"/>
      </w:pPr>
      <w:r>
        <w:rPr>
          <w:rFonts w:ascii="Arial" w:cs="Arial" w:eastAsia="Arial" w:hAnsi="Arial"/>
          <w:b/>
          <w:bCs/>
          <w:color w:val="25274D"/>
          <w:spacing w:val="40"/>
          <w:sz w:val="22"/>
          <w:szCs w:val="22"/>
        </w:rPr>
        <w:t xml:space="preserve">CUSTOMER EXPERIENCE REVIEW</w:t>
      </w:r>
    </w:p>
    <w:p>
      <w:pPr>
        <w:spacing w:after="100" w:before="0"/>
      </w:pPr>
      <w:r>
        <w:rPr>
          <w:rFonts w:ascii="Arial" w:cs="Arial" w:eastAsia="Arial" w:hAnsi="Arial"/>
          <w:color w:val="1F2937"/>
          <w:sz w:val="20"/>
          <w:szCs w:val="20"/>
        </w:rPr>
        <w:t xml:space="preserve">As part of the annual performance review, each store is assessed against customer satisfaction scores collected through in-store surveys and post-purchase feedback. Scores are reported on a scale of 1 to 100.</w:t>
      </w:r>
    </w:p>
    <w:p>
      <w:pPr>
        <w:spacing w:after="100" w:before="0"/>
      </w:pPr>
      <w:r>
        <w:rPr>
          <w:rFonts w:ascii="Arial" w:cs="Arial" w:eastAsia="Arial" w:hAnsi="Arial"/>
          <w:color w:val="1F2937"/>
          <w:sz w:val="20"/>
          <w:szCs w:val="20"/>
        </w:rPr>
        <w:t xml:space="preserve">The Group's current customer satisfaction average is 74 out of 100. Three of the five stores proposed for closure score above 80, which places them among the best-performing stores in the Group on this measure. Two of these high-scoring stores - Wolverhampton and Merthyr Tydfil - have received multiple internal commendations for service quality in the past 18 months. These stores are </w:t>
      </w:r>
      <w:r>
        <w:rPr>
          <w:rFonts w:ascii="Arial" w:cs="Arial" w:eastAsia="Arial" w:hAnsi="Arial"/>
          <w:b/>
          <w:bCs/>
          <w:color w:val="A01A71"/>
          <w:sz w:val="20"/>
          <w:szCs w:val="20"/>
        </w:rPr>
        <w:t xml:space="preserve">underperforming</w:t>
      </w:r>
      <w:r>
        <w:rPr>
          <w:rFonts w:ascii="Arial" w:cs="Arial" w:eastAsia="Arial" w:hAnsi="Arial"/>
          <w:color w:val="1F2937"/>
          <w:sz w:val="20"/>
          <w:szCs w:val="20"/>
        </w:rPr>
        <w:t xml:space="preserve"> against financial benchmarks, but their customer relationships are strong.</w:t>
      </w:r>
    </w:p>
    <w:p>
      <w:pPr>
        <w:spacing w:after="100" w:before="0"/>
      </w:pPr>
      <w:r>
        <w:rPr>
          <w:rFonts w:ascii="Arial" w:cs="Arial" w:eastAsia="Arial" w:hAnsi="Arial"/>
          <w:color w:val="1F2937"/>
          <w:sz w:val="20"/>
          <w:szCs w:val="20"/>
        </w:rPr>
        <w:t xml:space="preserve">The customer experience data for the five stores has been reviewed and it is the Board's judgment that financial sustainability must take precedence. However, the Group's communications team will work with the Wolverhampton and Merthyr Tydfil store managers to recognise and retain their best staff.</w:t>
      </w:r>
    </w:p>
    <w:p>
      <w:pPr>
        <w:spacing w:after="60" w:before="280"/>
      </w:pPr>
      <w:r>
        <w:rPr>
          <w:rFonts w:ascii="Arial" w:cs="Arial" w:eastAsia="Arial" w:hAnsi="Arial"/>
          <w:b/>
          <w:bCs/>
          <w:color w:val="25274D"/>
          <w:spacing w:val="40"/>
          <w:sz w:val="22"/>
          <w:szCs w:val="22"/>
        </w:rPr>
        <w:t xml:space="preserve">REVIEW AND MONITORING</w:t>
      </w:r>
    </w:p>
    <w:p>
      <w:pPr>
        <w:spacing w:after="100" w:before="0"/>
      </w:pPr>
      <w:r>
        <w:rPr>
          <w:rFonts w:ascii="Arial" w:cs="Arial" w:eastAsia="Arial" w:hAnsi="Arial"/>
          <w:color w:val="1F2937"/>
          <w:sz w:val="20"/>
          <w:szCs w:val="20"/>
        </w:rPr>
        <w:t xml:space="preserve">The Board will review the financial impact of the closure programme at 6 months and 12 months after the final store closes.</w:t>
      </w:r>
    </w:p>
    <w:p>
      <w:pPr>
        <w:spacing w:after="100" w:before="0"/>
      </w:pPr>
      <w:r>
        <w:rPr>
          <w:rFonts w:ascii="Arial" w:cs="Arial" w:eastAsia="Arial" w:hAnsi="Arial"/>
          <w:color w:val="1F2937"/>
          <w:sz w:val="20"/>
          <w:szCs w:val="20"/>
        </w:rPr>
        <w:t xml:space="preserve">Customer migration rates will be tracked monthly for the first year. The CEO will flag to the Board if migration falls below 15% at any of the five closure locations within the first six months.</w:t>
      </w:r>
    </w:p>
    <w:p>
      <w:pPr>
        <w:spacing w:after="120" w:before="0"/>
      </w:pPr>
    </w:p>
    <w:p>
      <w:pPr>
        <w:pBdr>
          <w:bottom w:val="single" w:color="E5E7EB" w:sz="8" w:space="1"/>
        </w:pBdr>
        <w:spacing w:after="240" w:before="240"/>
      </w:pPr>
    </w:p>
    <w:p>
      <w:pPr>
        <w:spacing w:after="60" w:before="0"/>
      </w:pPr>
    </w:p>
    <w:p>
      <w:pPr>
        <w:spacing w:after="80" w:before="0"/>
      </w:pPr>
      <w:r>
        <w:rPr>
          <w:rFonts w:ascii="Arial" w:cs="Arial" w:eastAsia="Arial" w:hAnsi="Arial"/>
          <w:b/>
          <w:bCs/>
          <w:color w:val="25274D"/>
          <w:spacing w:val="60"/>
          <w:sz w:val="17"/>
          <w:szCs w:val="17"/>
        </w:rPr>
        <w:t xml:space="preserve">DOCUMENT 2  -  BOARD DIALOGUE</w:t>
      </w:r>
    </w:p>
    <w:p>
      <w:pPr>
        <w:pBdr>
          <w:bottom w:val="single" w:color="E5E7EB" w:sz="4" w:space="2"/>
        </w:pBdr>
        <w:spacing w:after="200" w:before="0"/>
      </w:pPr>
      <w:r>
        <w:rPr>
          <w:rFonts w:ascii="Arial" w:cs="Arial" w:eastAsia="Arial" w:hAnsi="Arial"/>
          <w:i/>
          <w:iCs/>
          <w:color w:val="6B7280"/>
          <w:sz w:val="19"/>
          <w:szCs w:val="19"/>
        </w:rPr>
        <w:t xml:space="preserve">Hartley &amp; Sons Clothing Ltd  |  Board Meeting  |  8 June 2026  |  Excerpt: Item 2 - Store Closure Proposal</w:t>
      </w:r>
    </w:p>
    <w:p>
      <w:pPr>
        <w:spacing w:after="60" w:before="0"/>
      </w:pPr>
      <w:r>
        <w:rPr>
          <w:rFonts w:ascii="Arial" w:cs="Arial" w:eastAsia="Arial" w:hAnsi="Arial"/>
          <w:b/>
          <w:bCs/>
          <w:color w:val="6B7280"/>
          <w:sz w:val="19"/>
          <w:szCs w:val="19"/>
        </w:rPr>
        <w:t xml:space="preserve">Present: </w:t>
      </w:r>
      <w:r>
        <w:rPr>
          <w:rFonts w:ascii="Arial" w:cs="Arial" w:eastAsia="Arial" w:hAnsi="Arial"/>
          <w:color w:val="1F2937"/>
          <w:sz w:val="19"/>
          <w:szCs w:val="19"/>
        </w:rPr>
        <w:t xml:space="preserve">George Hartley (Chairman),  Claire Tomlin (CEO),  Alan Frost (CFO),  Diana Webb (Non-Executive Director),  Rohan Mehta (Non-Executive Director)</w:t>
      </w:r>
    </w:p>
    <w:p>
      <w:pPr>
        <w:spacing w:after="12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Claire, before we open to questions, can I just confirm the list for the Board? The five stores on the closure list are Wolverhampton, Walsall, Merthyr Tydfil, Scunthorpe, and Grimsby. All five are below £680,000 annual revenue and all five are loss-making after full cost allocation. That is the basis for the list.</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That is correct. The list was built entirely from the financial review. These are the five </w:t>
      </w:r>
      <w:r>
        <w:rPr>
          <w:rFonts w:ascii="Arial" w:cs="Arial" w:eastAsia="Arial" w:hAnsi="Arial"/>
          <w:b/>
          <w:bCs/>
          <w:color w:val="A01A71"/>
          <w:sz w:val="20"/>
          <w:szCs w:val="20"/>
        </w:rPr>
        <w:t xml:space="preserve">underperforming stores</w:t>
      </w:r>
      <w:r>
        <w:rPr>
          <w:rFonts w:ascii="Arial" w:cs="Arial" w:eastAsia="Arial" w:hAnsi="Arial"/>
          <w:color w:val="1F2937"/>
          <w:sz w:val="20"/>
          <w:szCs w:val="20"/>
        </w:rPr>
        <w:t xml:space="preserve"> in the portfolio, and all five have been consistently loss-making for at least two years.</w:t>
      </w:r>
    </w:p>
    <w:p>
      <w:pPr>
        <w:spacing w:after="40" w:before="0"/>
      </w:pPr>
    </w:p>
    <w:p>
      <w:pPr>
        <w:spacing w:after="40" w:before="100"/>
      </w:pPr>
      <w:r>
        <w:rPr>
          <w:rFonts w:ascii="Arial" w:cs="Arial" w:eastAsia="Arial" w:hAnsi="Arial"/>
          <w:b/>
          <w:bCs/>
          <w:color w:val="25274D"/>
          <w:sz w:val="20"/>
          <w:szCs w:val="20"/>
        </w:rPr>
        <w:t xml:space="preserve">NON-EXECUTIVE (DIANA WEBB):  </w:t>
      </w:r>
      <w:r>
        <w:rPr>
          <w:rFonts w:ascii="Arial" w:cs="Arial" w:eastAsia="Arial" w:hAnsi="Arial"/>
          <w:color w:val="1F2937"/>
          <w:sz w:val="20"/>
          <w:szCs w:val="20"/>
        </w:rPr>
        <w:t xml:space="preserve">I have read the customer experience section of the paper carefully, and I want to raise a concern. Wolverhampton and Merthyr Tydfil both score above 80 on customer satisfaction. That puts them in the top quartile of the entire Group. I find it difficult to call them underperforming when our customers clearly value them.</w:t>
      </w:r>
    </w:p>
    <w:p>
      <w:pPr>
        <w:spacing w:after="40" w:before="0"/>
      </w:pPr>
    </w:p>
    <w:p>
      <w:pPr>
        <w:spacing w:after="40" w:before="100"/>
      </w:pPr>
      <w:r>
        <w:rPr>
          <w:rFonts w:ascii="Arial" w:cs="Arial" w:eastAsia="Arial" w:hAnsi="Arial"/>
          <w:b/>
          <w:bCs/>
          <w:color w:val="25274D"/>
          <w:sz w:val="20"/>
          <w:szCs w:val="20"/>
        </w:rPr>
        <w:t xml:space="preserve">CFO:  </w:t>
      </w:r>
      <w:r>
        <w:rPr>
          <w:rFonts w:ascii="Arial" w:cs="Arial" w:eastAsia="Arial" w:hAnsi="Arial"/>
          <w:color w:val="1F2937"/>
          <w:sz w:val="20"/>
          <w:szCs w:val="20"/>
        </w:rPr>
        <w:t xml:space="preserve">The closure list is based on revenue and profitability. Wolverhampton and Merthyr Tydfil are </w:t>
      </w:r>
      <w:r>
        <w:rPr>
          <w:rFonts w:ascii="Arial" w:cs="Arial" w:eastAsia="Arial" w:hAnsi="Arial"/>
          <w:b/>
          <w:bCs/>
          <w:color w:val="A01A71"/>
          <w:sz w:val="20"/>
          <w:szCs w:val="20"/>
        </w:rPr>
        <w:t xml:space="preserve">underperforming</w:t>
      </w:r>
      <w:r>
        <w:rPr>
          <w:rFonts w:ascii="Arial" w:cs="Arial" w:eastAsia="Arial" w:hAnsi="Arial"/>
          <w:color w:val="1F2937"/>
          <w:sz w:val="20"/>
          <w:szCs w:val="20"/>
        </w:rPr>
        <w:t xml:space="preserve"> against those financial benchmarks. Customer satisfaction is a separate measure.</w:t>
      </w:r>
    </w:p>
    <w:p>
      <w:pPr>
        <w:spacing w:after="40" w:before="0"/>
      </w:pPr>
    </w:p>
    <w:p>
      <w:pPr>
        <w:spacing w:after="40" w:before="100"/>
      </w:pPr>
      <w:r>
        <w:rPr>
          <w:rFonts w:ascii="Arial" w:cs="Arial" w:eastAsia="Arial" w:hAnsi="Arial"/>
          <w:b/>
          <w:bCs/>
          <w:color w:val="25274D"/>
          <w:sz w:val="20"/>
          <w:szCs w:val="20"/>
        </w:rPr>
        <w:t xml:space="preserve">NON-EXECUTIVE (DIANA WEBB):  </w:t>
      </w:r>
      <w:r>
        <w:rPr>
          <w:rFonts w:ascii="Arial" w:cs="Arial" w:eastAsia="Arial" w:hAnsi="Arial"/>
          <w:color w:val="1F2937"/>
          <w:sz w:val="20"/>
          <w:szCs w:val="20"/>
        </w:rPr>
        <w:t xml:space="preserve">But the paper uses the same word - underperforming - to describe all five stores. And two of them are high-performing on customer satisfaction. So are they underperforming or are they not? It depends entirely on which measure you are using, and the paper does not make that clear.</w:t>
      </w:r>
    </w:p>
    <w:p>
      <w:pPr>
        <w:spacing w:after="40" w:before="0"/>
      </w:pPr>
    </w:p>
    <w:p>
      <w:pPr>
        <w:spacing w:after="40" w:before="100"/>
      </w:pPr>
      <w:r>
        <w:rPr>
          <w:rFonts w:ascii="Arial" w:cs="Arial" w:eastAsia="Arial" w:hAnsi="Arial"/>
          <w:b/>
          <w:bCs/>
          <w:color w:val="25274D"/>
          <w:sz w:val="20"/>
          <w:szCs w:val="20"/>
        </w:rPr>
        <w:t xml:space="preserve">NON-EXECUTIVE (ROHAN MEHTA):  </w:t>
      </w:r>
      <w:r>
        <w:rPr>
          <w:rFonts w:ascii="Arial" w:cs="Arial" w:eastAsia="Arial" w:hAnsi="Arial"/>
          <w:color w:val="1F2937"/>
          <w:sz w:val="20"/>
          <w:szCs w:val="20"/>
        </w:rPr>
        <w:t xml:space="preserve">I think Diana's point is an important one. When we say a store is underperforming, the Board needs to know what that means. Is it a revenue threshold? A profitability test? A combined measure? If Wolverhampton is in the top quartile for customer experience but below the revenue threshold, is it an underperforming store or not?</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For the purpose of this proposal, underperforming means financially loss-making. That is the criterion I used to build the list.</w:t>
      </w:r>
    </w:p>
    <w:p>
      <w:pPr>
        <w:spacing w:after="40" w:before="0"/>
      </w:pPr>
    </w:p>
    <w:p>
      <w:pPr>
        <w:spacing w:after="40" w:before="100"/>
      </w:pPr>
      <w:r>
        <w:rPr>
          <w:rFonts w:ascii="Arial" w:cs="Arial" w:eastAsia="Arial" w:hAnsi="Arial"/>
          <w:b/>
          <w:bCs/>
          <w:color w:val="25274D"/>
          <w:sz w:val="20"/>
          <w:szCs w:val="20"/>
        </w:rPr>
        <w:t xml:space="preserve">NON-EXECUTIVE (DIANA WEBB):  </w:t>
      </w:r>
      <w:r>
        <w:rPr>
          <w:rFonts w:ascii="Arial" w:cs="Arial" w:eastAsia="Arial" w:hAnsi="Arial"/>
          <w:color w:val="1F2937"/>
          <w:sz w:val="20"/>
          <w:szCs w:val="20"/>
        </w:rPr>
        <w:t xml:space="preserve">Then I think the paper should say that explicitly. Because as it reads, a director who focuses on the financial section would conclude that all five stores are underperforming. A director who reads the customer experience section closely would reach a different conclusion about at least two of them. That ambiguity is not acceptable in a decision of this weight.</w:t>
      </w:r>
    </w:p>
    <w:p>
      <w:pPr>
        <w:spacing w:after="40" w:before="0"/>
      </w:pPr>
    </w:p>
    <w:p>
      <w:pPr>
        <w:spacing w:after="40" w:before="100"/>
      </w:pPr>
      <w:r>
        <w:rPr>
          <w:rFonts w:ascii="Arial" w:cs="Arial" w:eastAsia="Arial" w:hAnsi="Arial"/>
          <w:b/>
          <w:bCs/>
          <w:color w:val="25274D"/>
          <w:sz w:val="20"/>
          <w:szCs w:val="20"/>
        </w:rPr>
        <w:t xml:space="preserve">CHAIRMAN:  </w:t>
      </w:r>
      <w:r>
        <w:rPr>
          <w:rFonts w:ascii="Arial" w:cs="Arial" w:eastAsia="Arial" w:hAnsi="Arial"/>
          <w:color w:val="1F2937"/>
          <w:sz w:val="20"/>
          <w:szCs w:val="20"/>
        </w:rPr>
        <w:t xml:space="preserve">I agree. Claire, can we agree that the formal board resolution will define underperforming stores specifically as stores generating below £680,000 annual revenue on a fully absorbed cost basis? That anchors the decision to a precise criterion.</w:t>
      </w:r>
    </w:p>
    <w:p>
      <w:pPr>
        <w:spacing w:after="40" w:before="0"/>
      </w:pPr>
    </w:p>
    <w:p>
      <w:pPr>
        <w:spacing w:after="40" w:before="100"/>
      </w:pPr>
      <w:r>
        <w:rPr>
          <w:rFonts w:ascii="Arial" w:cs="Arial" w:eastAsia="Arial" w:hAnsi="Arial"/>
          <w:b/>
          <w:bCs/>
          <w:color w:val="25274D"/>
          <w:sz w:val="20"/>
          <w:szCs w:val="20"/>
        </w:rPr>
        <w:t xml:space="preserve">CEO:  </w:t>
      </w:r>
      <w:r>
        <w:rPr>
          <w:rFonts w:ascii="Arial" w:cs="Arial" w:eastAsia="Arial" w:hAnsi="Arial"/>
          <w:color w:val="1F2937"/>
          <w:sz w:val="20"/>
          <w:szCs w:val="20"/>
        </w:rPr>
        <w:t xml:space="preserve">Agreed. I will make sure the resolution reflects that wording.</w:t>
      </w:r>
    </w:p>
    <w:p>
      <w:pPr>
        <w:spacing w:after="120" w:before="0"/>
      </w:pPr>
    </w:p>
    <w:p>
      <w:pPr>
        <w:spacing w:after="60" w:before="60"/>
      </w:pPr>
      <w:r>
        <w:rPr>
          <w:rFonts w:ascii="Arial" w:cs="Arial" w:eastAsia="Arial" w:hAnsi="Arial"/>
          <w:i/>
          <w:iCs/>
          <w:color w:val="6B7280"/>
          <w:sz w:val="19"/>
          <w:szCs w:val="19"/>
        </w:rPr>
        <w:t xml:space="preserve">Note for testing purposes: Neither document explicitly defines "underperforming store". In the Financial Review section, the term is used in the context of revenue below £680,000 and operating losses - the reader can infer this is the definition, but it is never stated as such. In the Customer Experience section, the same term is applied to stores that score above 80 on customer satisfaction - implying a completely different meaning. The board dialogue makes the conflict visible, and only at the end of the discussion is a definition proposed and agreed. The conflict is only visible to a reader who examines both sections of the document together.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2026-06-09T15:05:44.707Z</dcterms:created>
  <dcterms:modified xsi:type="dcterms:W3CDTF">2026-06-09T15:05:44.707Z</dcterms:modified>
</cp:coreProperties>
</file>

<file path=docProps/custom.xml><?xml version="1.0" encoding="utf-8"?>
<Properties xmlns="http://schemas.openxmlformats.org/officeDocument/2006/custom-properties" xmlns:vt="http://schemas.openxmlformats.org/officeDocument/2006/docPropsVTypes"/>
</file>