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33CF9" w14:textId="216C4754" w:rsidR="00433796" w:rsidRPr="006C16C8" w:rsidRDefault="00624B53" w:rsidP="006C16C8">
      <w:pPr>
        <w:jc w:val="center"/>
        <w:rPr>
          <w:b/>
          <w:bCs/>
          <w:sz w:val="28"/>
          <w:szCs w:val="28"/>
          <w:lang w:val="en-US"/>
        </w:rPr>
      </w:pPr>
      <w:r w:rsidRPr="006C16C8">
        <w:rPr>
          <w:b/>
          <w:bCs/>
          <w:sz w:val="28"/>
          <w:szCs w:val="28"/>
          <w:lang w:val="en-US"/>
        </w:rPr>
        <w:t>Nielsen</w:t>
      </w:r>
      <w:r w:rsidR="00433796" w:rsidRPr="006C16C8">
        <w:rPr>
          <w:b/>
          <w:bCs/>
          <w:sz w:val="28"/>
          <w:szCs w:val="28"/>
          <w:lang w:val="en-US"/>
        </w:rPr>
        <w:t xml:space="preserve"> : Predicting the COVID-19 behavioral reset</w:t>
      </w:r>
    </w:p>
    <w:p w14:paraId="12239254" w14:textId="4E4294E0" w:rsidR="008F09E8" w:rsidRDefault="00187EA0" w:rsidP="001270F8">
      <w:pPr>
        <w:ind w:firstLine="720"/>
        <w:jc w:val="both"/>
        <w:rPr>
          <w:lang w:val="en-US" w:eastAsia="zh-TW"/>
        </w:rPr>
      </w:pPr>
      <w:r w:rsidRPr="001270F8">
        <w:rPr>
          <w:lang w:val="en-US"/>
        </w:rPr>
        <w:t xml:space="preserve">After driving huge global consumer behavior shifts in the first quarter of 2020, consumers’ shopping habits are no longer reflecting what was reported in the news. The correlation between news cycle, and </w:t>
      </w:r>
      <w:r w:rsidR="008F09E8" w:rsidRPr="001270F8">
        <w:rPr>
          <w:lang w:val="en-US"/>
        </w:rPr>
        <w:t xml:space="preserve">what people tend to purchase </w:t>
      </w:r>
      <w:r w:rsidR="001270F8" w:rsidRPr="001270F8">
        <w:rPr>
          <w:lang w:val="en-US"/>
        </w:rPr>
        <w:t xml:space="preserve">at the initial </w:t>
      </w:r>
      <w:r w:rsidR="00766297">
        <w:rPr>
          <w:lang w:val="en-US"/>
        </w:rPr>
        <w:t xml:space="preserve">state </w:t>
      </w:r>
      <w:r w:rsidR="001270F8" w:rsidRPr="001270F8">
        <w:rPr>
          <w:lang w:val="en-US"/>
        </w:rPr>
        <w:t>of the pandemic (</w:t>
      </w:r>
      <w:r w:rsidR="001270F8" w:rsidRPr="001270F8">
        <w:rPr>
          <w:lang w:val="en-US"/>
        </w:rPr>
        <w:t>hand sanitizers, toilet paper, cleaning products,  food staples</w:t>
      </w:r>
      <w:r w:rsidR="001270F8">
        <w:rPr>
          <w:lang w:val="en-US"/>
        </w:rPr>
        <w:t xml:space="preserve">) </w:t>
      </w:r>
      <w:r w:rsidR="008F09E8">
        <w:rPr>
          <w:lang w:val="en-US"/>
        </w:rPr>
        <w:t xml:space="preserve">has faded. </w:t>
      </w:r>
    </w:p>
    <w:p w14:paraId="6A7E6A8B" w14:textId="02A1BCAD" w:rsidR="006C16C8" w:rsidRDefault="00A42C34" w:rsidP="001270F8">
      <w:pPr>
        <w:ind w:firstLine="720"/>
        <w:jc w:val="both"/>
        <w:rPr>
          <w:lang w:val="en-US"/>
        </w:rPr>
      </w:pPr>
      <w:r>
        <w:rPr>
          <w:lang w:val="en-US"/>
        </w:rPr>
        <w:t xml:space="preserve">But, the purchase of fast-moving consumer goods </w:t>
      </w:r>
      <w:r w:rsidR="00056867">
        <w:rPr>
          <w:lang w:val="en-US"/>
        </w:rPr>
        <w:t>(</w:t>
      </w:r>
      <w:r w:rsidR="00056867">
        <w:rPr>
          <w:rFonts w:hint="eastAsia"/>
          <w:lang w:val="en-US"/>
        </w:rPr>
        <w:t>快消品</w:t>
      </w:r>
      <w:r w:rsidR="00056867">
        <w:rPr>
          <w:rFonts w:hint="eastAsia"/>
          <w:lang w:val="en-US"/>
        </w:rPr>
        <w:t xml:space="preserve"> </w:t>
      </w:r>
      <w:r>
        <w:rPr>
          <w:lang w:val="en-US"/>
        </w:rPr>
        <w:t xml:space="preserve">FMCG, AKA CPG consumer packaged goods) </w:t>
      </w:r>
      <w:r w:rsidR="00056867">
        <w:rPr>
          <w:rFonts w:hint="eastAsia"/>
          <w:lang w:val="en-US"/>
        </w:rPr>
        <w:t>still</w:t>
      </w:r>
      <w:r w:rsidR="00056867">
        <w:rPr>
          <w:lang w:val="en-US"/>
        </w:rPr>
        <w:t xml:space="preserve"> </w:t>
      </w:r>
      <w:r>
        <w:rPr>
          <w:lang w:val="en-US"/>
        </w:rPr>
        <w:t xml:space="preserve">remains steady, with exceptions </w:t>
      </w:r>
      <w:r w:rsidR="006C16C8">
        <w:rPr>
          <w:lang w:val="en-US"/>
        </w:rPr>
        <w:t xml:space="preserve">of short </w:t>
      </w:r>
      <w:r w:rsidR="000705A0">
        <w:rPr>
          <w:lang w:val="en-US"/>
        </w:rPr>
        <w:t>period</w:t>
      </w:r>
      <w:r w:rsidR="006C16C8">
        <w:rPr>
          <w:lang w:val="en-US"/>
        </w:rPr>
        <w:t xml:space="preserve"> peaks after business re-openings</w:t>
      </w:r>
      <w:r w:rsidR="00766297">
        <w:rPr>
          <w:lang w:val="en-US"/>
        </w:rPr>
        <w:t xml:space="preserve"> in various countries</w:t>
      </w:r>
      <w:r w:rsidR="006C16C8">
        <w:rPr>
          <w:lang w:val="en-US"/>
        </w:rPr>
        <w:t xml:space="preserve">. The pandemic purchase decisions now </w:t>
      </w:r>
      <w:r w:rsidR="00766297">
        <w:rPr>
          <w:lang w:val="en-US"/>
        </w:rPr>
        <w:t>are driv</w:t>
      </w:r>
      <w:r w:rsidR="000705A0">
        <w:rPr>
          <w:lang w:val="en-US"/>
        </w:rPr>
        <w:t>e</w:t>
      </w:r>
      <w:r w:rsidR="00766297">
        <w:rPr>
          <w:lang w:val="en-US"/>
        </w:rPr>
        <w:t>n by</w:t>
      </w:r>
      <w:r w:rsidR="000705A0">
        <w:rPr>
          <w:lang w:val="en-US"/>
        </w:rPr>
        <w:t xml:space="preserve"> four more factors </w:t>
      </w:r>
      <w:r w:rsidR="00766297">
        <w:rPr>
          <w:lang w:val="en-US"/>
        </w:rPr>
        <w:t xml:space="preserve"> </w:t>
      </w:r>
      <w:r w:rsidR="001270F8">
        <w:rPr>
          <w:lang w:val="en-US"/>
        </w:rPr>
        <w:t xml:space="preserve">: </w:t>
      </w:r>
      <w:r w:rsidR="006C16C8">
        <w:rPr>
          <w:lang w:val="en-US"/>
        </w:rPr>
        <w:t xml:space="preserve">a) a basket reset  b) a homebody reset c) a rationale reset d) </w:t>
      </w:r>
      <w:proofErr w:type="spellStart"/>
      <w:r w:rsidR="006C16C8">
        <w:rPr>
          <w:lang w:val="en-US"/>
        </w:rPr>
        <w:t>an</w:t>
      </w:r>
      <w:proofErr w:type="spellEnd"/>
      <w:r w:rsidR="006C16C8">
        <w:rPr>
          <w:lang w:val="en-US"/>
        </w:rPr>
        <w:t xml:space="preserve"> affordability reset </w:t>
      </w:r>
    </w:p>
    <w:p w14:paraId="4D91A3A5" w14:textId="384A7A9D" w:rsidR="001270F8" w:rsidRDefault="001270F8" w:rsidP="006C16C8">
      <w:pPr>
        <w:ind w:firstLine="720"/>
        <w:jc w:val="both"/>
        <w:rPr>
          <w:lang w:val="en-US"/>
        </w:rPr>
      </w:pPr>
      <w:r>
        <w:rPr>
          <w:lang w:val="en-US"/>
        </w:rPr>
        <w:t xml:space="preserve">Businesses should seize the opportunity and learn to predict how purchase patterns are likely to pivot / shift. </w:t>
      </w:r>
    </w:p>
    <w:p w14:paraId="2891C8B2" w14:textId="17BBC3CA" w:rsidR="001270F8" w:rsidRDefault="001270F8" w:rsidP="001270F8">
      <w:pPr>
        <w:jc w:val="both"/>
        <w:rPr>
          <w:lang w:val="en-US"/>
        </w:rPr>
      </w:pPr>
    </w:p>
    <w:p w14:paraId="1952DABA" w14:textId="056EB31E" w:rsidR="00FA7FD2" w:rsidRPr="00FA7FD2" w:rsidRDefault="00FA7FD2" w:rsidP="00FA7FD2">
      <w:pPr>
        <w:pStyle w:val="ListParagraph"/>
        <w:numPr>
          <w:ilvl w:val="0"/>
          <w:numId w:val="4"/>
        </w:numPr>
        <w:jc w:val="center"/>
        <w:rPr>
          <w:b/>
          <w:bCs/>
          <w:lang w:val="en-US"/>
        </w:rPr>
      </w:pPr>
      <w:r w:rsidRPr="00FA7FD2">
        <w:rPr>
          <w:b/>
          <w:bCs/>
          <w:lang w:val="en-US"/>
        </w:rPr>
        <w:t>Purchase habits now driven by</w:t>
      </w:r>
    </w:p>
    <w:p w14:paraId="04781E4C" w14:textId="56F7A6A1" w:rsidR="001270F8" w:rsidRDefault="001270F8" w:rsidP="001270F8">
      <w:pPr>
        <w:pStyle w:val="ListParagraph"/>
        <w:numPr>
          <w:ilvl w:val="0"/>
          <w:numId w:val="3"/>
        </w:numPr>
        <w:jc w:val="both"/>
        <w:rPr>
          <w:lang w:val="en-US"/>
        </w:rPr>
      </w:pPr>
      <w:r>
        <w:rPr>
          <w:lang w:val="en-US"/>
        </w:rPr>
        <w:t>A basket reset</w:t>
      </w:r>
      <w:r w:rsidR="005A33CF">
        <w:rPr>
          <w:lang w:val="en-US"/>
        </w:rPr>
        <w:t xml:space="preserve">: To react to the new regulations and public health measures, consumers have new requirements to meet, with emerging basket essentials </w:t>
      </w:r>
      <w:r w:rsidR="000705A0">
        <w:rPr>
          <w:lang w:val="en-US"/>
        </w:rPr>
        <w:t>now accounting</w:t>
      </w:r>
      <w:r w:rsidR="005A33CF">
        <w:rPr>
          <w:lang w:val="en-US"/>
        </w:rPr>
        <w:t xml:space="preserve"> for both old and new necessities.  </w:t>
      </w:r>
    </w:p>
    <w:p w14:paraId="75C061BA" w14:textId="0480AE5F" w:rsidR="00DF0F6F" w:rsidRDefault="007069D7" w:rsidP="00DF0F6F">
      <w:pPr>
        <w:pStyle w:val="ListParagraph"/>
        <w:numPr>
          <w:ilvl w:val="0"/>
          <w:numId w:val="6"/>
        </w:numPr>
        <w:jc w:val="both"/>
        <w:rPr>
          <w:lang w:val="en-US"/>
        </w:rPr>
      </w:pPr>
      <w:r w:rsidRPr="007069D7">
        <w:rPr>
          <w:highlight w:val="yellow"/>
          <w:lang w:val="en-US"/>
        </w:rPr>
        <w:t>This is a critical window of opportunity for companies to translate pandemic-minded consumption into continued, essential routine. ( offer face masks products, pivot to e-retail)</w:t>
      </w:r>
    </w:p>
    <w:p w14:paraId="7F23A7C9" w14:textId="037B162A" w:rsidR="001270F8" w:rsidRDefault="001270F8" w:rsidP="001270F8">
      <w:pPr>
        <w:pStyle w:val="ListParagraph"/>
        <w:numPr>
          <w:ilvl w:val="0"/>
          <w:numId w:val="3"/>
        </w:numPr>
        <w:jc w:val="both"/>
        <w:rPr>
          <w:lang w:val="en-US"/>
        </w:rPr>
      </w:pPr>
      <w:r>
        <w:rPr>
          <w:lang w:val="en-US"/>
        </w:rPr>
        <w:t>A homebody reset</w:t>
      </w:r>
      <w:r w:rsidR="007011B3">
        <w:rPr>
          <w:lang w:val="en-US"/>
        </w:rPr>
        <w:t>: In-home spending</w:t>
      </w:r>
      <w:r w:rsidR="00E651AE">
        <w:rPr>
          <w:lang w:val="en-US"/>
        </w:rPr>
        <w:t xml:space="preserve"> is</w:t>
      </w:r>
      <w:r w:rsidR="007011B3">
        <w:rPr>
          <w:lang w:val="en-US"/>
        </w:rPr>
        <w:t xml:space="preserve"> prioritized as business restrictions pertain. </w:t>
      </w:r>
    </w:p>
    <w:p w14:paraId="05836489" w14:textId="3D5C9ABA" w:rsidR="00E651AE" w:rsidRDefault="00E651AE" w:rsidP="00E651AE">
      <w:pPr>
        <w:pStyle w:val="ListParagraph"/>
        <w:numPr>
          <w:ilvl w:val="0"/>
          <w:numId w:val="5"/>
        </w:numPr>
        <w:jc w:val="both"/>
        <w:rPr>
          <w:lang w:val="en-US"/>
        </w:rPr>
      </w:pPr>
      <w:r>
        <w:rPr>
          <w:lang w:val="en-US"/>
        </w:rPr>
        <w:t>Obviously this finding varies by countries. As far as I know, a lot of my friends in Canada and the U.S</w:t>
      </w:r>
      <w:r w:rsidR="00A04952">
        <w:rPr>
          <w:lang w:val="en-US"/>
        </w:rPr>
        <w:t>.</w:t>
      </w:r>
      <w:r>
        <w:rPr>
          <w:lang w:val="en-US"/>
        </w:rPr>
        <w:t xml:space="preserve"> are still working from home. So their spending </w:t>
      </w:r>
      <w:r w:rsidR="00A05B06">
        <w:rPr>
          <w:lang w:val="en-US"/>
        </w:rPr>
        <w:t xml:space="preserve">is heavily focused on setting up at-home workstations. </w:t>
      </w:r>
    </w:p>
    <w:p w14:paraId="24A89635" w14:textId="04F99B43" w:rsidR="007069D7" w:rsidRDefault="001C5324" w:rsidP="00E651AE">
      <w:pPr>
        <w:pStyle w:val="ListParagraph"/>
        <w:numPr>
          <w:ilvl w:val="0"/>
          <w:numId w:val="5"/>
        </w:numPr>
        <w:jc w:val="both"/>
        <w:rPr>
          <w:lang w:val="en-US"/>
        </w:rPr>
      </w:pPr>
      <w:r>
        <w:rPr>
          <w:lang w:val="en-US"/>
        </w:rPr>
        <w:t xml:space="preserve">It’s been confirmed by global measures that many homebound routines are here to stay. </w:t>
      </w:r>
    </w:p>
    <w:p w14:paraId="76C61A60" w14:textId="2B30F09A" w:rsidR="001C5324" w:rsidRDefault="001C5324" w:rsidP="00E651AE">
      <w:pPr>
        <w:pStyle w:val="ListParagraph"/>
        <w:numPr>
          <w:ilvl w:val="0"/>
          <w:numId w:val="5"/>
        </w:numPr>
        <w:jc w:val="both"/>
        <w:rPr>
          <w:lang w:val="en-US"/>
        </w:rPr>
      </w:pPr>
      <w:r>
        <w:rPr>
          <w:lang w:val="en-US"/>
        </w:rPr>
        <w:t>Do-it-yourself mindset: flour, hair dye, canning supplies, sushi wrap</w:t>
      </w:r>
      <w:r w:rsidR="003640C6">
        <w:rPr>
          <w:lang w:val="en-US"/>
        </w:rPr>
        <w:t xml:space="preserve"> </w:t>
      </w:r>
    </w:p>
    <w:p w14:paraId="5817908B" w14:textId="061C7127" w:rsidR="00530223" w:rsidRPr="00530223" w:rsidRDefault="00530223" w:rsidP="00530223">
      <w:pPr>
        <w:pStyle w:val="ListParagraph"/>
        <w:numPr>
          <w:ilvl w:val="0"/>
          <w:numId w:val="5"/>
        </w:numPr>
        <w:jc w:val="both"/>
        <w:rPr>
          <w:lang w:val="en-US"/>
        </w:rPr>
      </w:pPr>
      <w:r w:rsidRPr="00530223">
        <w:rPr>
          <w:highlight w:val="yellow"/>
          <w:lang w:val="en-US"/>
        </w:rPr>
        <w:t>Companies that can intelligently utilize the discovery of DIY behaviors, will succeed in empathizing with today’s customer interests in creative, cost-conscious and safe consumption. Should respond with affordable, accessible and branded take-home experiences</w:t>
      </w:r>
      <w:r>
        <w:rPr>
          <w:lang w:val="en-US"/>
        </w:rPr>
        <w:t xml:space="preserve">. </w:t>
      </w:r>
    </w:p>
    <w:p w14:paraId="550C6E57" w14:textId="5903D3A1" w:rsidR="001270F8" w:rsidRDefault="001270F8" w:rsidP="001270F8">
      <w:pPr>
        <w:pStyle w:val="ListParagraph"/>
        <w:numPr>
          <w:ilvl w:val="0"/>
          <w:numId w:val="3"/>
        </w:numPr>
        <w:jc w:val="both"/>
        <w:rPr>
          <w:lang w:val="en-US"/>
        </w:rPr>
      </w:pPr>
      <w:r>
        <w:rPr>
          <w:lang w:val="en-US"/>
        </w:rPr>
        <w:t>A rationale reset</w:t>
      </w:r>
      <w:r w:rsidR="002750F5">
        <w:rPr>
          <w:lang w:val="en-US"/>
        </w:rPr>
        <w:t xml:space="preserve">: Consumers are rethinking how and why they should spend their dollars. Overall consumer confidence decreases as people avoid spending on luxury, travel and other discretionary activities. </w:t>
      </w:r>
    </w:p>
    <w:p w14:paraId="02DABC75" w14:textId="1C20219C" w:rsidR="00383DB4" w:rsidRDefault="00383DB4" w:rsidP="00383DB4">
      <w:pPr>
        <w:pStyle w:val="ListParagraph"/>
        <w:numPr>
          <w:ilvl w:val="0"/>
          <w:numId w:val="5"/>
        </w:numPr>
        <w:jc w:val="both"/>
        <w:rPr>
          <w:lang w:val="en-US"/>
        </w:rPr>
      </w:pPr>
      <w:r w:rsidRPr="00383DB4">
        <w:rPr>
          <w:highlight w:val="yellow"/>
          <w:lang w:val="en-US"/>
        </w:rPr>
        <w:t>Brands that can identify the new use cases of consumers who seek comfort and reward in small FMCG purchases, will benefit</w:t>
      </w:r>
      <w:r>
        <w:rPr>
          <w:lang w:val="en-US"/>
        </w:rPr>
        <w:t xml:space="preserve">. </w:t>
      </w:r>
    </w:p>
    <w:p w14:paraId="61B42654" w14:textId="17B62E5F" w:rsidR="001270F8" w:rsidRDefault="001270F8" w:rsidP="001270F8">
      <w:pPr>
        <w:pStyle w:val="ListParagraph"/>
        <w:numPr>
          <w:ilvl w:val="0"/>
          <w:numId w:val="3"/>
        </w:numPr>
        <w:jc w:val="both"/>
        <w:rPr>
          <w:lang w:val="en-US"/>
        </w:rPr>
      </w:pPr>
      <w:r>
        <w:rPr>
          <w:lang w:val="en-US"/>
        </w:rPr>
        <w:t>An affordability reset</w:t>
      </w:r>
      <w:r w:rsidR="002750F5">
        <w:rPr>
          <w:lang w:val="en-US"/>
        </w:rPr>
        <w:t xml:space="preserve">: </w:t>
      </w:r>
      <w:r w:rsidR="005779D5">
        <w:rPr>
          <w:lang w:val="en-US"/>
        </w:rPr>
        <w:t>Due to the impact of unemployment and the upcoming economic crisis, consumers become more conscious, risk averse</w:t>
      </w:r>
      <w:r w:rsidR="005643AC">
        <w:rPr>
          <w:lang w:val="en-US"/>
        </w:rPr>
        <w:t xml:space="preserve">. </w:t>
      </w:r>
    </w:p>
    <w:p w14:paraId="431DBE0A" w14:textId="3C3EE53F" w:rsidR="00383DB4" w:rsidRDefault="00383DB4" w:rsidP="00383DB4">
      <w:pPr>
        <w:pStyle w:val="ListParagraph"/>
        <w:numPr>
          <w:ilvl w:val="0"/>
          <w:numId w:val="5"/>
        </w:numPr>
        <w:jc w:val="both"/>
        <w:rPr>
          <w:lang w:val="en-US"/>
        </w:rPr>
      </w:pPr>
      <w:r>
        <w:rPr>
          <w:lang w:val="en-US"/>
        </w:rPr>
        <w:t xml:space="preserve">The recent lack of ‘usual’ promotional activity leads to perhaps a historic moment where companies can reset their </w:t>
      </w:r>
      <w:r w:rsidR="00962B07">
        <w:rPr>
          <w:lang w:val="en-US"/>
        </w:rPr>
        <w:t xml:space="preserve">approach to affordability in ways that offer greater efficiency than before. </w:t>
      </w:r>
    </w:p>
    <w:p w14:paraId="10A089D2" w14:textId="0CA4A44C" w:rsidR="005643AC" w:rsidRDefault="005643AC" w:rsidP="005643AC">
      <w:pPr>
        <w:jc w:val="both"/>
        <w:rPr>
          <w:lang w:val="en-US"/>
        </w:rPr>
      </w:pPr>
    </w:p>
    <w:p w14:paraId="233FA5FE" w14:textId="7E7496DF" w:rsidR="005643AC" w:rsidRDefault="005643AC" w:rsidP="005643AC">
      <w:pPr>
        <w:jc w:val="both"/>
        <w:rPr>
          <w:lang w:val="en-US"/>
        </w:rPr>
      </w:pPr>
      <w:r>
        <w:rPr>
          <w:lang w:val="en-US"/>
        </w:rPr>
        <w:lastRenderedPageBreak/>
        <w:t>“The unique macro conditions of a pandemic driving economic recession are forcing consumers to rethink how they shop and what they buy. The implication for brands trying to fulfil new needs of consumers is that they must be very focused and very fast in their response</w:t>
      </w:r>
      <w:r w:rsidR="00495354">
        <w:rPr>
          <w:lang w:val="en-US"/>
        </w:rPr>
        <w:t xml:space="preserve">. </w:t>
      </w:r>
      <w:r>
        <w:rPr>
          <w:lang w:val="en-US"/>
        </w:rPr>
        <w:t xml:space="preserve">” </w:t>
      </w:r>
    </w:p>
    <w:p w14:paraId="59CCD369" w14:textId="0FCD0F20" w:rsidR="00495354" w:rsidRPr="005643AC" w:rsidRDefault="00992E29" w:rsidP="005643AC">
      <w:pPr>
        <w:jc w:val="both"/>
        <w:rPr>
          <w:lang w:val="en-US"/>
        </w:rPr>
      </w:pPr>
      <w:r w:rsidRPr="00495354">
        <w:rPr>
          <w:lang w:val="en-US"/>
        </w:rPr>
        <w:drawing>
          <wp:anchor distT="0" distB="0" distL="114300" distR="114300" simplePos="0" relativeHeight="251658240" behindDoc="0" locked="0" layoutInCell="1" allowOverlap="1" wp14:anchorId="41D3835F" wp14:editId="398FD05F">
            <wp:simplePos x="0" y="0"/>
            <wp:positionH relativeFrom="column">
              <wp:posOffset>0</wp:posOffset>
            </wp:positionH>
            <wp:positionV relativeFrom="paragraph">
              <wp:posOffset>188595</wp:posOffset>
            </wp:positionV>
            <wp:extent cx="2613025" cy="272097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3025" cy="2720975"/>
                    </a:xfrm>
                    <a:prstGeom prst="rect">
                      <a:avLst/>
                    </a:prstGeom>
                  </pic:spPr>
                </pic:pic>
              </a:graphicData>
            </a:graphic>
            <wp14:sizeRelH relativeFrom="page">
              <wp14:pctWidth>0</wp14:pctWidth>
            </wp14:sizeRelH>
            <wp14:sizeRelV relativeFrom="page">
              <wp14:pctHeight>0</wp14:pctHeight>
            </wp14:sizeRelV>
          </wp:anchor>
        </w:drawing>
      </w:r>
    </w:p>
    <w:p w14:paraId="1DDC440B" w14:textId="283E0349" w:rsidR="00687B38" w:rsidRDefault="00687B38" w:rsidP="001270F8">
      <w:pPr>
        <w:jc w:val="both"/>
        <w:rPr>
          <w:lang w:val="en-US"/>
        </w:rPr>
      </w:pPr>
      <w:r>
        <w:rPr>
          <w:lang w:val="en-US"/>
        </w:rPr>
        <w:t xml:space="preserve">FMCG% dollar growth for 2020 vs 2019 </w:t>
      </w:r>
    </w:p>
    <w:p w14:paraId="2107308D" w14:textId="29583718" w:rsidR="00992E29" w:rsidRDefault="00992E29" w:rsidP="001270F8">
      <w:pPr>
        <w:jc w:val="both"/>
        <w:rPr>
          <w:lang w:val="en-US"/>
        </w:rPr>
      </w:pPr>
      <w:r w:rsidRPr="00992E29">
        <w:rPr>
          <w:highlight w:val="yellow"/>
          <w:lang w:val="en-US"/>
        </w:rPr>
        <w:t xml:space="preserve">Note here when analyzing plots, we typically go from a higher-level (overall US) </w:t>
      </w:r>
      <w:r w:rsidRPr="00992E29">
        <w:rPr>
          <w:highlight w:val="yellow"/>
          <w:lang w:val="en-US"/>
        </w:rPr>
        <w:sym w:font="Wingdings" w:char="F0E0"/>
      </w:r>
      <w:r w:rsidRPr="00992E29">
        <w:rPr>
          <w:highlight w:val="yellow"/>
          <w:lang w:val="en-US"/>
        </w:rPr>
        <w:t xml:space="preserve"> a lower-level (focus on each local area)</w:t>
      </w:r>
      <w:r>
        <w:rPr>
          <w:lang w:val="en-US"/>
        </w:rPr>
        <w:t xml:space="preserve"> </w:t>
      </w:r>
    </w:p>
    <w:p w14:paraId="1E9679C2" w14:textId="4EDF2A6F" w:rsidR="00687B38" w:rsidRDefault="00687B38" w:rsidP="001270F8">
      <w:pPr>
        <w:jc w:val="both"/>
        <w:rPr>
          <w:lang w:val="en-US"/>
        </w:rPr>
      </w:pPr>
      <w:r>
        <w:rPr>
          <w:lang w:val="en-US"/>
        </w:rPr>
        <w:t xml:space="preserve">Conclusion: </w:t>
      </w:r>
      <w:r w:rsidR="00992E29">
        <w:rPr>
          <w:lang w:val="en-US"/>
        </w:rPr>
        <w:t>1) Overall i</w:t>
      </w:r>
      <w:r>
        <w:rPr>
          <w:lang w:val="en-US"/>
        </w:rPr>
        <w:t xml:space="preserve">n the U.S., the correlation between virus transmission (# </w:t>
      </w:r>
      <w:r w:rsidR="00576DFF">
        <w:rPr>
          <w:lang w:val="en-US"/>
        </w:rPr>
        <w:t>confirmed cases</w:t>
      </w:r>
      <w:r>
        <w:rPr>
          <w:lang w:val="en-US"/>
        </w:rPr>
        <w:t>) and pur</w:t>
      </w:r>
      <w:r w:rsidR="00576DFF">
        <w:rPr>
          <w:lang w:val="en-US"/>
        </w:rPr>
        <w:t>chase behavior is fading. We only see a peak in mid-</w:t>
      </w:r>
      <w:r w:rsidR="001D1B23">
        <w:rPr>
          <w:lang w:val="en-US"/>
        </w:rPr>
        <w:t xml:space="preserve">march during the initial lock-downs. </w:t>
      </w:r>
      <w:r w:rsidR="00576DFF">
        <w:rPr>
          <w:lang w:val="en-US"/>
        </w:rPr>
        <w:t xml:space="preserve"> </w:t>
      </w:r>
      <w:r w:rsidR="001D1B23">
        <w:rPr>
          <w:lang w:val="en-US"/>
        </w:rPr>
        <w:t>But then</w:t>
      </w:r>
      <w:r w:rsidR="00590EBB">
        <w:rPr>
          <w:lang w:val="en-US"/>
        </w:rPr>
        <w:t xml:space="preserve"> during the recent few weeks, sales growth for LA and Hartford were very similar. Meanwhile cases confirmed in LA were 8 times those diagnosed in</w:t>
      </w:r>
      <w:r w:rsidR="00992E29">
        <w:rPr>
          <w:lang w:val="en-US"/>
        </w:rPr>
        <w:t xml:space="preserve"> the whole Connecticut</w:t>
      </w:r>
      <w:r w:rsidR="00590EBB">
        <w:rPr>
          <w:lang w:val="en-US"/>
        </w:rPr>
        <w:t xml:space="preserve">. </w:t>
      </w:r>
      <w:r w:rsidR="00992E29">
        <w:rPr>
          <w:lang w:val="en-US"/>
        </w:rPr>
        <w:t xml:space="preserve">2) Locally, </w:t>
      </w:r>
      <w:r w:rsidR="00FA7FD2">
        <w:rPr>
          <w:lang w:val="en-US"/>
        </w:rPr>
        <w:t xml:space="preserve">we see small upticks when business just reopened in early May, but the impact is short lived, lasting for only 2 weeks. </w:t>
      </w:r>
    </w:p>
    <w:p w14:paraId="626BCD39" w14:textId="77777777" w:rsidR="00DF0F6F" w:rsidRDefault="00DF0F6F" w:rsidP="001270F8">
      <w:pPr>
        <w:jc w:val="both"/>
        <w:rPr>
          <w:lang w:val="en-US"/>
        </w:rPr>
      </w:pPr>
    </w:p>
    <w:p w14:paraId="166C1193" w14:textId="09E95BC5" w:rsidR="00DF0F6F" w:rsidRDefault="00DF0F6F" w:rsidP="001270F8">
      <w:pPr>
        <w:jc w:val="both"/>
        <w:rPr>
          <w:lang w:val="en-US"/>
        </w:rPr>
      </w:pPr>
      <w:r w:rsidRPr="00DF0F6F">
        <w:rPr>
          <w:lang w:val="en-US"/>
        </w:rPr>
        <w:drawing>
          <wp:anchor distT="0" distB="0" distL="114300" distR="114300" simplePos="0" relativeHeight="251659264" behindDoc="0" locked="0" layoutInCell="1" allowOverlap="1" wp14:anchorId="1003B436" wp14:editId="51AB8F33">
            <wp:simplePos x="0" y="0"/>
            <wp:positionH relativeFrom="column">
              <wp:posOffset>0</wp:posOffset>
            </wp:positionH>
            <wp:positionV relativeFrom="paragraph">
              <wp:posOffset>2540</wp:posOffset>
            </wp:positionV>
            <wp:extent cx="2724346" cy="2118063"/>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346" cy="2118063"/>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FMCG Basket Size Stabilizes in recent weeks across the markets (Consumer dynamics by market) </w:t>
      </w:r>
    </w:p>
    <w:p w14:paraId="58723E73" w14:textId="24DFE316" w:rsidR="00DF0F6F" w:rsidRDefault="00342D13" w:rsidP="001270F8">
      <w:pPr>
        <w:jc w:val="both"/>
        <w:rPr>
          <w:lang w:val="en-US"/>
        </w:rPr>
      </w:pPr>
      <w:r>
        <w:rPr>
          <w:lang w:val="en-US"/>
        </w:rPr>
        <w:t xml:space="preserve">Note here index 100 represents behavior in 2020 is the same as in 2019, index 111 means 11% higher </w:t>
      </w:r>
    </w:p>
    <w:p w14:paraId="3C177C2A" w14:textId="3D905E06" w:rsidR="00342D13" w:rsidRDefault="00342D13" w:rsidP="001270F8">
      <w:pPr>
        <w:jc w:val="both"/>
        <w:rPr>
          <w:lang w:val="en-US"/>
        </w:rPr>
      </w:pPr>
      <w:r>
        <w:rPr>
          <w:lang w:val="en-US"/>
        </w:rPr>
        <w:t xml:space="preserve">Conclusion: 1) Both purchase frequency and </w:t>
      </w:r>
      <w:r w:rsidR="00EB7372">
        <w:rPr>
          <w:lang w:val="en-US"/>
        </w:rPr>
        <w:t>average size of the basket</w:t>
      </w:r>
      <w:r>
        <w:rPr>
          <w:lang w:val="en-US"/>
        </w:rPr>
        <w:t xml:space="preserve"> has come down from the peak COVID-19 period</w:t>
      </w:r>
      <w:r w:rsidR="00EB7372">
        <w:rPr>
          <w:lang w:val="en-US"/>
        </w:rPr>
        <w:t xml:space="preserve">, in which we can anticipate all consumers will re-prioritize what to buy. Reflects a consumption reset. </w:t>
      </w:r>
    </w:p>
    <w:p w14:paraId="6673DE73" w14:textId="0629CC8E" w:rsidR="008D71B1" w:rsidRDefault="008D71B1" w:rsidP="001270F8">
      <w:pPr>
        <w:jc w:val="both"/>
        <w:rPr>
          <w:lang w:val="en-US"/>
        </w:rPr>
      </w:pPr>
    </w:p>
    <w:p w14:paraId="1790E0A5" w14:textId="77777777" w:rsidR="008D71B1" w:rsidRDefault="008D71B1" w:rsidP="001270F8">
      <w:pPr>
        <w:jc w:val="both"/>
        <w:rPr>
          <w:lang w:val="en-US"/>
        </w:rPr>
      </w:pPr>
    </w:p>
    <w:p w14:paraId="0F1A0DAA" w14:textId="56E013C9" w:rsidR="00DF0F6F" w:rsidRDefault="008D71B1" w:rsidP="001270F8">
      <w:pPr>
        <w:jc w:val="both"/>
        <w:rPr>
          <w:lang w:val="en-US"/>
        </w:rPr>
      </w:pPr>
      <w:r w:rsidRPr="008D71B1">
        <w:rPr>
          <w:lang w:val="en-US"/>
        </w:rPr>
        <w:drawing>
          <wp:anchor distT="0" distB="0" distL="114300" distR="114300" simplePos="0" relativeHeight="251660288" behindDoc="0" locked="0" layoutInCell="1" allowOverlap="1" wp14:anchorId="0A093142" wp14:editId="78E55450">
            <wp:simplePos x="0" y="0"/>
            <wp:positionH relativeFrom="column">
              <wp:posOffset>0</wp:posOffset>
            </wp:positionH>
            <wp:positionV relativeFrom="paragraph">
              <wp:posOffset>3810</wp:posOffset>
            </wp:positionV>
            <wp:extent cx="2683115" cy="2381551"/>
            <wp:effectExtent l="0" t="0" r="0" b="635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115" cy="2381551"/>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Total FMCG basket size index by Channel and market </w:t>
      </w:r>
    </w:p>
    <w:p w14:paraId="77F63469" w14:textId="59B4B495" w:rsidR="006166D4" w:rsidRPr="006166D4" w:rsidRDefault="008D71B1" w:rsidP="006166D4">
      <w:pPr>
        <w:jc w:val="both"/>
        <w:rPr>
          <w:lang w:val="en-US"/>
        </w:rPr>
      </w:pPr>
      <w:r>
        <w:rPr>
          <w:lang w:val="en-US"/>
        </w:rPr>
        <w:t xml:space="preserve">Conclusion: </w:t>
      </w:r>
      <w:r w:rsidR="006166D4">
        <w:rPr>
          <w:lang w:val="en-US"/>
        </w:rPr>
        <w:t>1) E-Commerce basket size of U.K. consumers was consistently 130 – 160% higher than measures in 2019. (index 260)</w:t>
      </w:r>
    </w:p>
    <w:p w14:paraId="5C22F63D" w14:textId="2F7C3A8E" w:rsidR="008D71B1" w:rsidRPr="008D71B1" w:rsidRDefault="008D71B1" w:rsidP="008D71B1">
      <w:pPr>
        <w:jc w:val="both"/>
        <w:rPr>
          <w:lang w:val="en-US"/>
        </w:rPr>
      </w:pPr>
    </w:p>
    <w:p w14:paraId="6B452DC3" w14:textId="57F97FC2" w:rsidR="00DF0F6F" w:rsidRDefault="00DF0F6F" w:rsidP="001270F8">
      <w:pPr>
        <w:jc w:val="both"/>
        <w:rPr>
          <w:lang w:val="en-US"/>
        </w:rPr>
      </w:pPr>
    </w:p>
    <w:p w14:paraId="19A7214D" w14:textId="3BB5490F" w:rsidR="00DF0F6F" w:rsidRDefault="00DF0F6F" w:rsidP="001270F8">
      <w:pPr>
        <w:jc w:val="both"/>
        <w:rPr>
          <w:lang w:val="en-US"/>
        </w:rPr>
      </w:pPr>
    </w:p>
    <w:p w14:paraId="34C0A63B" w14:textId="5DB600D8" w:rsidR="00DF0F6F" w:rsidRDefault="00DF0F6F" w:rsidP="001270F8">
      <w:pPr>
        <w:jc w:val="both"/>
        <w:rPr>
          <w:lang w:val="en-US"/>
        </w:rPr>
      </w:pPr>
    </w:p>
    <w:p w14:paraId="2A4B4F63" w14:textId="2631588A" w:rsidR="00DF0F6F" w:rsidRDefault="00DF0F6F" w:rsidP="001270F8">
      <w:pPr>
        <w:jc w:val="both"/>
        <w:rPr>
          <w:lang w:val="en-US"/>
        </w:rPr>
      </w:pPr>
    </w:p>
    <w:p w14:paraId="4E1E7C3A" w14:textId="02908B99" w:rsidR="00DF0F6F" w:rsidRDefault="00DF0F6F" w:rsidP="001270F8">
      <w:pPr>
        <w:jc w:val="both"/>
        <w:rPr>
          <w:lang w:val="en-US"/>
        </w:rPr>
      </w:pPr>
    </w:p>
    <w:p w14:paraId="7E482DD7" w14:textId="32139954" w:rsidR="00DF0F6F" w:rsidRDefault="00DF0F6F" w:rsidP="001270F8">
      <w:pPr>
        <w:jc w:val="both"/>
        <w:rPr>
          <w:lang w:val="en-US"/>
        </w:rPr>
      </w:pPr>
    </w:p>
    <w:p w14:paraId="34EDFE9D" w14:textId="294D915F" w:rsidR="00DF0F6F" w:rsidRDefault="00DF0F6F" w:rsidP="001270F8">
      <w:pPr>
        <w:jc w:val="both"/>
        <w:rPr>
          <w:lang w:val="en-US"/>
        </w:rPr>
      </w:pPr>
    </w:p>
    <w:p w14:paraId="1FCEB62A" w14:textId="582F3C21" w:rsidR="00DF0F6F" w:rsidRDefault="00DF0F6F" w:rsidP="001270F8">
      <w:pPr>
        <w:jc w:val="both"/>
        <w:rPr>
          <w:lang w:val="en-US"/>
        </w:rPr>
      </w:pPr>
    </w:p>
    <w:p w14:paraId="272293C8" w14:textId="748C38AB" w:rsidR="00DF0F6F" w:rsidRDefault="00DF0F6F" w:rsidP="001270F8">
      <w:pPr>
        <w:jc w:val="both"/>
        <w:rPr>
          <w:lang w:val="en-US"/>
        </w:rPr>
      </w:pPr>
    </w:p>
    <w:p w14:paraId="4266F03B" w14:textId="3032E766" w:rsidR="00DF0F6F" w:rsidRDefault="006C60EA" w:rsidP="001270F8">
      <w:pPr>
        <w:jc w:val="both"/>
        <w:rPr>
          <w:lang w:val="en-US"/>
        </w:rPr>
      </w:pPr>
      <w:r w:rsidRPr="006C60EA">
        <w:rPr>
          <w:lang w:val="en-US"/>
        </w:rPr>
        <w:drawing>
          <wp:anchor distT="0" distB="0" distL="114300" distR="114300" simplePos="0" relativeHeight="251661312" behindDoc="0" locked="0" layoutInCell="1" allowOverlap="1" wp14:anchorId="6D8B6B17" wp14:editId="6BADA0C4">
            <wp:simplePos x="0" y="0"/>
            <wp:positionH relativeFrom="column">
              <wp:posOffset>0</wp:posOffset>
            </wp:positionH>
            <wp:positionV relativeFrom="paragraph">
              <wp:posOffset>0</wp:posOffset>
            </wp:positionV>
            <wp:extent cx="2812270" cy="1854115"/>
            <wp:effectExtent l="0" t="0" r="0" b="63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270" cy="185411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Read as use 2019 U.S. adults who travelled by flight as index, they are now 21% more likely to buy artisan bread (index121) </w:t>
      </w:r>
    </w:p>
    <w:p w14:paraId="2BE3F971" w14:textId="41AE5D53" w:rsidR="00C457EF" w:rsidRDefault="00E93EA3" w:rsidP="001270F8">
      <w:pPr>
        <w:jc w:val="both"/>
        <w:rPr>
          <w:lang w:val="en-US"/>
        </w:rPr>
      </w:pPr>
      <w:r w:rsidRPr="002D0A53">
        <w:rPr>
          <w:highlight w:val="yellow"/>
          <w:lang w:val="en-US"/>
        </w:rPr>
        <w:t>Good example of how visualization can be both interesting and intuitive</w:t>
      </w:r>
      <w:r w:rsidR="00C457EF" w:rsidRPr="002D0A53">
        <w:rPr>
          <w:highlight w:val="yellow"/>
          <w:lang w:val="en-US"/>
        </w:rPr>
        <w:t>. It shows how significance of small FMCG may be redefined as a fulfillment of the missing leisure spending.</w:t>
      </w:r>
      <w:r w:rsidR="00C457EF">
        <w:rPr>
          <w:lang w:val="en-US"/>
        </w:rPr>
        <w:t xml:space="preserve"> </w:t>
      </w:r>
    </w:p>
    <w:p w14:paraId="116703F6" w14:textId="380FBDCC" w:rsidR="008D71B1" w:rsidRDefault="008D71B1" w:rsidP="001270F8">
      <w:pPr>
        <w:jc w:val="both"/>
        <w:rPr>
          <w:lang w:val="en-US"/>
        </w:rPr>
      </w:pPr>
    </w:p>
    <w:p w14:paraId="4EF1153F" w14:textId="11C8FF6F" w:rsidR="008D71B1" w:rsidRDefault="008D71B1" w:rsidP="001270F8">
      <w:pPr>
        <w:jc w:val="both"/>
        <w:rPr>
          <w:lang w:val="en-US"/>
        </w:rPr>
      </w:pPr>
    </w:p>
    <w:p w14:paraId="66FC0E3A" w14:textId="6EBABD28" w:rsidR="008D71B1" w:rsidRDefault="008D71B1" w:rsidP="001270F8">
      <w:pPr>
        <w:jc w:val="both"/>
        <w:rPr>
          <w:lang w:val="en-US"/>
        </w:rPr>
      </w:pPr>
    </w:p>
    <w:p w14:paraId="0CF78B90" w14:textId="0FB1D9AC" w:rsidR="008D71B1" w:rsidRDefault="008D71B1" w:rsidP="001270F8">
      <w:pPr>
        <w:jc w:val="both"/>
        <w:rPr>
          <w:lang w:val="en-US"/>
        </w:rPr>
      </w:pPr>
    </w:p>
    <w:p w14:paraId="34F86477" w14:textId="77777777" w:rsidR="008D71B1" w:rsidRDefault="008D71B1" w:rsidP="001270F8">
      <w:pPr>
        <w:jc w:val="both"/>
        <w:rPr>
          <w:lang w:val="en-US"/>
        </w:rPr>
      </w:pPr>
    </w:p>
    <w:p w14:paraId="5D3E00B8" w14:textId="77777777" w:rsidR="00DF0F6F" w:rsidRDefault="00DF0F6F" w:rsidP="001270F8">
      <w:pPr>
        <w:jc w:val="both"/>
        <w:rPr>
          <w:lang w:val="en-US"/>
        </w:rPr>
      </w:pPr>
    </w:p>
    <w:p w14:paraId="3566ED12" w14:textId="7B525C80" w:rsidR="00992E29" w:rsidRPr="00F553DB" w:rsidRDefault="00FA7FD2" w:rsidP="00F553DB">
      <w:pPr>
        <w:pStyle w:val="ListParagraph"/>
        <w:numPr>
          <w:ilvl w:val="0"/>
          <w:numId w:val="4"/>
        </w:numPr>
        <w:jc w:val="center"/>
        <w:rPr>
          <w:b/>
          <w:bCs/>
          <w:lang w:val="en-US"/>
        </w:rPr>
      </w:pPr>
      <w:r w:rsidRPr="00F553DB">
        <w:rPr>
          <w:b/>
          <w:bCs/>
          <w:lang w:val="en-US"/>
        </w:rPr>
        <w:t xml:space="preserve">Socio-economic consequences </w:t>
      </w:r>
      <w:r w:rsidRPr="00F553DB">
        <w:rPr>
          <w:b/>
          <w:bCs/>
          <w:lang w:val="en-US"/>
        </w:rPr>
        <w:sym w:font="Wingdings" w:char="F0E0"/>
      </w:r>
      <w:r w:rsidRPr="00F553DB">
        <w:rPr>
          <w:b/>
          <w:bCs/>
          <w:lang w:val="en-US"/>
        </w:rPr>
        <w:t xml:space="preserve"> polarization of </w:t>
      </w:r>
      <w:r w:rsidR="00F553DB" w:rsidRPr="00F553DB">
        <w:rPr>
          <w:b/>
          <w:bCs/>
          <w:lang w:val="en-US"/>
        </w:rPr>
        <w:t>consumers</w:t>
      </w:r>
    </w:p>
    <w:p w14:paraId="78E4F673" w14:textId="74965E48" w:rsidR="00941715" w:rsidRDefault="00F553DB" w:rsidP="00941715">
      <w:pPr>
        <w:ind w:left="360" w:firstLine="360"/>
        <w:jc w:val="both"/>
        <w:rPr>
          <w:lang w:val="en-US"/>
        </w:rPr>
      </w:pPr>
      <w:r>
        <w:rPr>
          <w:lang w:val="en-US"/>
        </w:rPr>
        <w:t xml:space="preserve">Ongoing economic recession has </w:t>
      </w:r>
      <w:r w:rsidR="00A04952">
        <w:rPr>
          <w:lang w:val="en-US"/>
        </w:rPr>
        <w:t xml:space="preserve">also </w:t>
      </w:r>
      <w:r>
        <w:rPr>
          <w:lang w:val="en-US"/>
        </w:rPr>
        <w:t>polarized consumer groups into constrained spenders, and insulated spenders.</w:t>
      </w:r>
    </w:p>
    <w:tbl>
      <w:tblPr>
        <w:tblStyle w:val="TableGrid"/>
        <w:tblW w:w="0" w:type="auto"/>
        <w:tblInd w:w="360" w:type="dxa"/>
        <w:tblLook w:val="04A0" w:firstRow="1" w:lastRow="0" w:firstColumn="1" w:lastColumn="0" w:noHBand="0" w:noVBand="1"/>
      </w:tblPr>
      <w:tblGrid>
        <w:gridCol w:w="2187"/>
        <w:gridCol w:w="3818"/>
        <w:gridCol w:w="2985"/>
      </w:tblGrid>
      <w:tr w:rsidR="001C4582" w14:paraId="0F0743D6" w14:textId="77777777" w:rsidTr="001C4582">
        <w:tc>
          <w:tcPr>
            <w:tcW w:w="2187" w:type="dxa"/>
          </w:tcPr>
          <w:p w14:paraId="66E04945" w14:textId="77777777" w:rsidR="001C4582" w:rsidRDefault="001C4582" w:rsidP="00941715">
            <w:pPr>
              <w:jc w:val="both"/>
              <w:rPr>
                <w:lang w:val="en-US"/>
              </w:rPr>
            </w:pPr>
          </w:p>
        </w:tc>
        <w:tc>
          <w:tcPr>
            <w:tcW w:w="3818" w:type="dxa"/>
          </w:tcPr>
          <w:p w14:paraId="4567DC6B" w14:textId="1B1EC692" w:rsidR="001C4582" w:rsidRDefault="001C4582" w:rsidP="00941715">
            <w:pPr>
              <w:jc w:val="both"/>
              <w:rPr>
                <w:lang w:val="en-US"/>
              </w:rPr>
            </w:pPr>
            <w:r>
              <w:rPr>
                <w:lang w:val="en-US"/>
              </w:rPr>
              <w:t xml:space="preserve">constrained spenders </w:t>
            </w:r>
          </w:p>
        </w:tc>
        <w:tc>
          <w:tcPr>
            <w:tcW w:w="2985" w:type="dxa"/>
          </w:tcPr>
          <w:p w14:paraId="3C7FD47B" w14:textId="78FE328B" w:rsidR="001C4582" w:rsidRDefault="001C4582" w:rsidP="00941715">
            <w:pPr>
              <w:jc w:val="both"/>
              <w:rPr>
                <w:lang w:val="en-US"/>
              </w:rPr>
            </w:pPr>
            <w:r>
              <w:rPr>
                <w:lang w:val="en-US"/>
              </w:rPr>
              <w:t xml:space="preserve">insulated spenders </w:t>
            </w:r>
          </w:p>
        </w:tc>
      </w:tr>
      <w:tr w:rsidR="001C4582" w14:paraId="37F21B4B" w14:textId="77777777" w:rsidTr="001C4582">
        <w:tc>
          <w:tcPr>
            <w:tcW w:w="2187" w:type="dxa"/>
          </w:tcPr>
          <w:p w14:paraId="24C2115B" w14:textId="6FA0D767" w:rsidR="001C4582" w:rsidRDefault="001C4582" w:rsidP="00941715">
            <w:pPr>
              <w:jc w:val="both"/>
              <w:rPr>
                <w:lang w:val="en-US"/>
              </w:rPr>
            </w:pPr>
            <w:r>
              <w:rPr>
                <w:lang w:val="en-US"/>
              </w:rPr>
              <w:t xml:space="preserve">basket reset </w:t>
            </w:r>
          </w:p>
        </w:tc>
        <w:tc>
          <w:tcPr>
            <w:tcW w:w="3818" w:type="dxa"/>
          </w:tcPr>
          <w:p w14:paraId="442094C5" w14:textId="27C2423E" w:rsidR="001C4582" w:rsidRDefault="001C4582" w:rsidP="00941715">
            <w:pPr>
              <w:jc w:val="both"/>
              <w:rPr>
                <w:lang w:val="en-US"/>
              </w:rPr>
            </w:pPr>
            <w:r>
              <w:rPr>
                <w:lang w:val="en-US"/>
              </w:rPr>
              <w:t xml:space="preserve">spend to survive, avoid unnecessary stockpiling </w:t>
            </w:r>
          </w:p>
        </w:tc>
        <w:tc>
          <w:tcPr>
            <w:tcW w:w="2985" w:type="dxa"/>
          </w:tcPr>
          <w:p w14:paraId="30F812B3" w14:textId="1A3D2222" w:rsidR="001C4582" w:rsidRDefault="00260EF8" w:rsidP="00941715">
            <w:pPr>
              <w:jc w:val="both"/>
              <w:rPr>
                <w:lang w:val="en-US"/>
              </w:rPr>
            </w:pPr>
            <w:r>
              <w:rPr>
                <w:lang w:val="en-US"/>
              </w:rPr>
              <w:t xml:space="preserve">more mindful as the </w:t>
            </w:r>
          </w:p>
        </w:tc>
      </w:tr>
      <w:tr w:rsidR="001C4582" w14:paraId="54B0D426" w14:textId="77777777" w:rsidTr="001C4582">
        <w:tc>
          <w:tcPr>
            <w:tcW w:w="2187" w:type="dxa"/>
          </w:tcPr>
          <w:p w14:paraId="5E0DE3E9" w14:textId="5B2CDB32" w:rsidR="001C4582" w:rsidRDefault="001C4582" w:rsidP="00941715">
            <w:pPr>
              <w:jc w:val="both"/>
              <w:rPr>
                <w:lang w:val="en-US"/>
              </w:rPr>
            </w:pPr>
            <w:r>
              <w:rPr>
                <w:lang w:val="en-US"/>
              </w:rPr>
              <w:t xml:space="preserve">homebody reset </w:t>
            </w:r>
          </w:p>
        </w:tc>
        <w:tc>
          <w:tcPr>
            <w:tcW w:w="3818" w:type="dxa"/>
          </w:tcPr>
          <w:p w14:paraId="55ED4F6A" w14:textId="46B0BAE8" w:rsidR="001C4582" w:rsidRDefault="001C4582" w:rsidP="00941715">
            <w:pPr>
              <w:jc w:val="both"/>
              <w:rPr>
                <w:lang w:val="en-US"/>
              </w:rPr>
            </w:pPr>
            <w:r>
              <w:rPr>
                <w:lang w:val="en-US"/>
              </w:rPr>
              <w:t xml:space="preserve">pivot to self-serviced products to avoid costs </w:t>
            </w:r>
          </w:p>
        </w:tc>
        <w:tc>
          <w:tcPr>
            <w:tcW w:w="2985" w:type="dxa"/>
          </w:tcPr>
          <w:p w14:paraId="0C0C7352" w14:textId="263EEEA2" w:rsidR="001C4582" w:rsidRPr="00FC5948" w:rsidRDefault="00DC5FCE" w:rsidP="00941715">
            <w:pPr>
              <w:jc w:val="both"/>
              <w:rPr>
                <w:highlight w:val="yellow"/>
                <w:lang w:val="en-US"/>
              </w:rPr>
            </w:pPr>
            <w:r>
              <w:rPr>
                <w:highlight w:val="yellow"/>
                <w:lang w:val="en-US"/>
              </w:rPr>
              <w:t xml:space="preserve">more flexible, </w:t>
            </w:r>
            <w:r w:rsidR="00FC5948" w:rsidRPr="00FC5948">
              <w:rPr>
                <w:highlight w:val="yellow"/>
                <w:lang w:val="en-US"/>
              </w:rPr>
              <w:t>explore and try new, self-serviced products to personalize and amplify care and meal solutions at home</w:t>
            </w:r>
          </w:p>
        </w:tc>
      </w:tr>
      <w:tr w:rsidR="001C4582" w14:paraId="6B4E4070" w14:textId="77777777" w:rsidTr="001C4582">
        <w:tc>
          <w:tcPr>
            <w:tcW w:w="2187" w:type="dxa"/>
          </w:tcPr>
          <w:p w14:paraId="1EC79AF6" w14:textId="3CD340E6" w:rsidR="001C4582" w:rsidRDefault="001C4582" w:rsidP="00941715">
            <w:pPr>
              <w:jc w:val="both"/>
              <w:rPr>
                <w:lang w:val="en-US"/>
              </w:rPr>
            </w:pPr>
            <w:r>
              <w:rPr>
                <w:lang w:val="en-US"/>
              </w:rPr>
              <w:t xml:space="preserve">rationale reset </w:t>
            </w:r>
          </w:p>
        </w:tc>
        <w:tc>
          <w:tcPr>
            <w:tcW w:w="3818" w:type="dxa"/>
          </w:tcPr>
          <w:p w14:paraId="6A908B15" w14:textId="5B588941" w:rsidR="001C4582" w:rsidRDefault="00260EF8" w:rsidP="00941715">
            <w:pPr>
              <w:jc w:val="both"/>
              <w:rPr>
                <w:lang w:val="en-US"/>
              </w:rPr>
            </w:pPr>
            <w:r>
              <w:rPr>
                <w:lang w:val="en-US"/>
              </w:rPr>
              <w:t xml:space="preserve">more mindful about each purchase </w:t>
            </w:r>
          </w:p>
        </w:tc>
        <w:tc>
          <w:tcPr>
            <w:tcW w:w="2985" w:type="dxa"/>
          </w:tcPr>
          <w:p w14:paraId="46349BEA" w14:textId="78EF9AAE" w:rsidR="001C4582" w:rsidRDefault="00FC5948" w:rsidP="00941715">
            <w:pPr>
              <w:jc w:val="both"/>
              <w:rPr>
                <w:lang w:val="en-US"/>
              </w:rPr>
            </w:pPr>
            <w:r w:rsidRPr="00FC5948">
              <w:rPr>
                <w:highlight w:val="yellow"/>
                <w:lang w:val="en-US"/>
              </w:rPr>
              <w:t>can no longer enjoy travel and other entertainment, so they now seek luxuries in FMCG</w:t>
            </w:r>
            <w:r>
              <w:rPr>
                <w:lang w:val="en-US"/>
              </w:rPr>
              <w:t xml:space="preserve"> </w:t>
            </w:r>
          </w:p>
        </w:tc>
      </w:tr>
      <w:tr w:rsidR="001C4582" w14:paraId="57EEB41C" w14:textId="77777777" w:rsidTr="001C4582">
        <w:tc>
          <w:tcPr>
            <w:tcW w:w="2187" w:type="dxa"/>
          </w:tcPr>
          <w:p w14:paraId="340B0020" w14:textId="193625ED" w:rsidR="001C4582" w:rsidRDefault="001C4582" w:rsidP="00941715">
            <w:pPr>
              <w:jc w:val="both"/>
              <w:rPr>
                <w:lang w:val="en-US"/>
              </w:rPr>
            </w:pPr>
            <w:r>
              <w:rPr>
                <w:lang w:val="en-US"/>
              </w:rPr>
              <w:t xml:space="preserve">affordability reset </w:t>
            </w:r>
          </w:p>
        </w:tc>
        <w:tc>
          <w:tcPr>
            <w:tcW w:w="3818" w:type="dxa"/>
          </w:tcPr>
          <w:p w14:paraId="251093C8" w14:textId="60D364B5" w:rsidR="001C4582" w:rsidRDefault="001C4582" w:rsidP="00941715">
            <w:pPr>
              <w:jc w:val="both"/>
              <w:rPr>
                <w:lang w:val="en-US"/>
              </w:rPr>
            </w:pPr>
            <w:r>
              <w:rPr>
                <w:lang w:val="en-US"/>
              </w:rPr>
              <w:t xml:space="preserve">may start to abandon brands, package formats and retailers to save on costs </w:t>
            </w:r>
          </w:p>
        </w:tc>
        <w:tc>
          <w:tcPr>
            <w:tcW w:w="2985" w:type="dxa"/>
          </w:tcPr>
          <w:p w14:paraId="0802366D" w14:textId="52200F65" w:rsidR="001C4582" w:rsidRDefault="00FC5948" w:rsidP="00941715">
            <w:pPr>
              <w:jc w:val="both"/>
              <w:rPr>
                <w:lang w:val="en-US"/>
              </w:rPr>
            </w:pPr>
            <w:r>
              <w:rPr>
                <w:lang w:val="en-US"/>
              </w:rPr>
              <w:t xml:space="preserve">price becomes more of a purchase driver to consumers as product availability improves </w:t>
            </w:r>
          </w:p>
        </w:tc>
      </w:tr>
    </w:tbl>
    <w:p w14:paraId="5A753902" w14:textId="5E18E455" w:rsidR="00962B07" w:rsidRDefault="00962B07" w:rsidP="00941715">
      <w:pPr>
        <w:ind w:left="360" w:firstLine="360"/>
        <w:jc w:val="both"/>
        <w:rPr>
          <w:lang w:val="en-US"/>
        </w:rPr>
      </w:pPr>
    </w:p>
    <w:p w14:paraId="7BFC6C37" w14:textId="1DD063EE" w:rsidR="00962B07" w:rsidRDefault="00962B07" w:rsidP="00941715">
      <w:pPr>
        <w:ind w:left="360" w:firstLine="360"/>
        <w:jc w:val="both"/>
        <w:rPr>
          <w:lang w:val="en-US"/>
        </w:rPr>
      </w:pPr>
    </w:p>
    <w:p w14:paraId="1753D14E" w14:textId="77777777" w:rsidR="00962B07" w:rsidRDefault="00962B07" w:rsidP="00962B07">
      <w:pPr>
        <w:rPr>
          <w:lang w:val="en-US"/>
        </w:rPr>
      </w:pPr>
      <w:r>
        <w:rPr>
          <w:lang w:val="en-US"/>
        </w:rPr>
        <w:t>Reference:</w:t>
      </w:r>
    </w:p>
    <w:p w14:paraId="63AA2621" w14:textId="4F5F552F" w:rsidR="00962B07" w:rsidRPr="00962B07" w:rsidRDefault="00962B07" w:rsidP="00962B07">
      <w:pPr>
        <w:rPr>
          <w:rFonts w:ascii="Times New Roman" w:eastAsia="Times New Roman" w:hAnsi="Times New Roman" w:cs="Times New Roman"/>
        </w:rPr>
      </w:pPr>
      <w:r>
        <w:rPr>
          <w:lang w:val="en-US"/>
        </w:rPr>
        <w:t xml:space="preserve"> </w:t>
      </w:r>
      <w:hyperlink r:id="rId9" w:history="1">
        <w:r w:rsidRPr="00962B07">
          <w:rPr>
            <w:rFonts w:ascii="Times New Roman" w:eastAsia="Times New Roman" w:hAnsi="Times New Roman" w:cs="Times New Roman"/>
            <w:color w:val="0000FF"/>
            <w:u w:val="single"/>
          </w:rPr>
          <w:t>https://www.nielsen.com/us/en/insights/report/2020/predicting-the-covid-19-behavioral-reset/?utm_source=linkedin&amp;utm_medium=organicsocial&amp;utm_content=nielsen&amp;utm_campaign=Global+Connect</w:t>
        </w:r>
      </w:hyperlink>
    </w:p>
    <w:p w14:paraId="5E96754E" w14:textId="1185A6DE" w:rsidR="00962B07" w:rsidRPr="00962B07" w:rsidRDefault="00962B07" w:rsidP="00941715">
      <w:pPr>
        <w:ind w:left="360" w:firstLine="360"/>
        <w:jc w:val="both"/>
      </w:pPr>
    </w:p>
    <w:p w14:paraId="2EA4681D" w14:textId="77777777" w:rsidR="00A05B06" w:rsidRPr="00F553DB" w:rsidRDefault="00A05B06" w:rsidP="00A05B06">
      <w:pPr>
        <w:ind w:left="360" w:firstLine="360"/>
        <w:jc w:val="both"/>
        <w:rPr>
          <w:lang w:val="en-US"/>
        </w:rPr>
      </w:pPr>
    </w:p>
    <w:sectPr w:rsidR="00A05B06" w:rsidRPr="00F553DB" w:rsidSect="00536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1D75"/>
    <w:multiLevelType w:val="hybridMultilevel"/>
    <w:tmpl w:val="CD142DF6"/>
    <w:lvl w:ilvl="0" w:tplc="7F4E4F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A0834"/>
    <w:multiLevelType w:val="hybridMultilevel"/>
    <w:tmpl w:val="4788AC4A"/>
    <w:lvl w:ilvl="0" w:tplc="4E686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24FE6"/>
    <w:multiLevelType w:val="hybridMultilevel"/>
    <w:tmpl w:val="B73020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A3F72"/>
    <w:multiLevelType w:val="hybridMultilevel"/>
    <w:tmpl w:val="CBF04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7662A"/>
    <w:multiLevelType w:val="hybridMultilevel"/>
    <w:tmpl w:val="80F48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43316"/>
    <w:multiLevelType w:val="hybridMultilevel"/>
    <w:tmpl w:val="E9DEA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E6391"/>
    <w:multiLevelType w:val="hybridMultilevel"/>
    <w:tmpl w:val="CB7280E4"/>
    <w:lvl w:ilvl="0" w:tplc="2164518C">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3D1E1E"/>
    <w:multiLevelType w:val="hybridMultilevel"/>
    <w:tmpl w:val="DD5E0D56"/>
    <w:lvl w:ilvl="0" w:tplc="69E2613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70"/>
    <w:rsid w:val="00056867"/>
    <w:rsid w:val="000705A0"/>
    <w:rsid w:val="000947B1"/>
    <w:rsid w:val="001270F8"/>
    <w:rsid w:val="00187EA0"/>
    <w:rsid w:val="001C4582"/>
    <w:rsid w:val="001C5324"/>
    <w:rsid w:val="001D1B23"/>
    <w:rsid w:val="001F3404"/>
    <w:rsid w:val="00260EF8"/>
    <w:rsid w:val="002750F5"/>
    <w:rsid w:val="002D0A53"/>
    <w:rsid w:val="00342D13"/>
    <w:rsid w:val="003640C6"/>
    <w:rsid w:val="00383DB4"/>
    <w:rsid w:val="00430EFC"/>
    <w:rsid w:val="00433796"/>
    <w:rsid w:val="00495354"/>
    <w:rsid w:val="00530223"/>
    <w:rsid w:val="00536D82"/>
    <w:rsid w:val="005643AC"/>
    <w:rsid w:val="00576DFF"/>
    <w:rsid w:val="005779D5"/>
    <w:rsid w:val="00581CB5"/>
    <w:rsid w:val="00590EBB"/>
    <w:rsid w:val="005A33CF"/>
    <w:rsid w:val="006166D4"/>
    <w:rsid w:val="00624B53"/>
    <w:rsid w:val="00650A4E"/>
    <w:rsid w:val="006846A8"/>
    <w:rsid w:val="00687B38"/>
    <w:rsid w:val="00696787"/>
    <w:rsid w:val="006C16C8"/>
    <w:rsid w:val="006C60EA"/>
    <w:rsid w:val="007011B3"/>
    <w:rsid w:val="007069D7"/>
    <w:rsid w:val="00766297"/>
    <w:rsid w:val="008D71B1"/>
    <w:rsid w:val="008F09E8"/>
    <w:rsid w:val="00941715"/>
    <w:rsid w:val="00962B07"/>
    <w:rsid w:val="00992E29"/>
    <w:rsid w:val="009F50F6"/>
    <w:rsid w:val="00A04952"/>
    <w:rsid w:val="00A05B06"/>
    <w:rsid w:val="00A42C34"/>
    <w:rsid w:val="00B051DE"/>
    <w:rsid w:val="00C457EF"/>
    <w:rsid w:val="00C56E8D"/>
    <w:rsid w:val="00C853D8"/>
    <w:rsid w:val="00CD2070"/>
    <w:rsid w:val="00DC5FCE"/>
    <w:rsid w:val="00DF0F6F"/>
    <w:rsid w:val="00E651AE"/>
    <w:rsid w:val="00E93EA3"/>
    <w:rsid w:val="00EB7372"/>
    <w:rsid w:val="00F31736"/>
    <w:rsid w:val="00F553DB"/>
    <w:rsid w:val="00FA7FD2"/>
    <w:rsid w:val="00FC5948"/>
    <w:rsid w:val="00FF64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5272"/>
  <w15:chartTrackingRefBased/>
  <w15:docId w15:val="{57E2E25A-B7F1-154F-B7E5-95D1EB87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aliases w:val="titles in 333 notes"/>
    <w:basedOn w:val="DefaultParagraphFont"/>
    <w:uiPriority w:val="32"/>
    <w:qFormat/>
    <w:rsid w:val="00581CB5"/>
    <w:rPr>
      <w:rFonts w:asciiTheme="minorHAnsi" w:hAnsiTheme="minorHAnsi"/>
      <w:b/>
      <w:bCs/>
      <w:smallCaps/>
      <w:color w:val="4472C4" w:themeColor="accent1"/>
      <w:spacing w:val="5"/>
      <w:sz w:val="22"/>
    </w:rPr>
  </w:style>
  <w:style w:type="paragraph" w:styleId="ListParagraph">
    <w:name w:val="List Paragraph"/>
    <w:basedOn w:val="Normal"/>
    <w:uiPriority w:val="34"/>
    <w:qFormat/>
    <w:rsid w:val="008F09E8"/>
    <w:pPr>
      <w:ind w:left="720"/>
      <w:contextualSpacing/>
    </w:pPr>
  </w:style>
  <w:style w:type="table" w:styleId="TableGrid">
    <w:name w:val="Table Grid"/>
    <w:basedOn w:val="TableNormal"/>
    <w:uiPriority w:val="39"/>
    <w:rsid w:val="001C4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62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17228">
      <w:bodyDiv w:val="1"/>
      <w:marLeft w:val="0"/>
      <w:marRight w:val="0"/>
      <w:marTop w:val="0"/>
      <w:marBottom w:val="0"/>
      <w:divBdr>
        <w:top w:val="none" w:sz="0" w:space="0" w:color="auto"/>
        <w:left w:val="none" w:sz="0" w:space="0" w:color="auto"/>
        <w:bottom w:val="none" w:sz="0" w:space="0" w:color="auto"/>
        <w:right w:val="none" w:sz="0" w:space="0" w:color="auto"/>
      </w:divBdr>
    </w:div>
    <w:div w:id="689378201">
      <w:bodyDiv w:val="1"/>
      <w:marLeft w:val="0"/>
      <w:marRight w:val="0"/>
      <w:marTop w:val="0"/>
      <w:marBottom w:val="0"/>
      <w:divBdr>
        <w:top w:val="none" w:sz="0" w:space="0" w:color="auto"/>
        <w:left w:val="none" w:sz="0" w:space="0" w:color="auto"/>
        <w:bottom w:val="none" w:sz="0" w:space="0" w:color="auto"/>
        <w:right w:val="none" w:sz="0" w:space="0" w:color="auto"/>
      </w:divBdr>
    </w:div>
    <w:div w:id="18668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elsen.com/us/en/insights/report/2020/predicting-the-covid-19-behavioral-reset/?utm_source=linkedin&amp;utm_medium=organicsocial&amp;utm_content=nielsen&amp;utm_campaign=Global+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Zhao</dc:creator>
  <cp:keywords/>
  <dc:description/>
  <cp:lastModifiedBy>Madeline Zhao</cp:lastModifiedBy>
  <cp:revision>5</cp:revision>
  <dcterms:created xsi:type="dcterms:W3CDTF">2020-08-26T12:53:00Z</dcterms:created>
  <dcterms:modified xsi:type="dcterms:W3CDTF">2020-08-28T05:48:00Z</dcterms:modified>
</cp:coreProperties>
</file>