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ExploreDVO — Implementation Notes</w:t>
      </w:r>
    </w:p>
    <w:p>
      <w:pPr>
        <w:jc w:val="center"/>
      </w:pPr>
      <w:r>
        <w:rPr>
          <w:i/>
          <w:sz w:val="26"/>
        </w:rPr>
        <w:t>Deviations, Additions, and Refinements Made During Development</w:t>
        <w:br/>
        <w:t>Relative to the Approved Capstone Proposal (FINAL-2.pdf)</w:t>
      </w:r>
    </w:p>
    <w:p>
      <w:pPr>
        <w:jc w:val="center"/>
      </w:pPr>
      <w:r>
        <w:rPr>
          <w:b/>
        </w:rPr>
        <w:t>Project: ExploreDVO — A Destination Recommender with AI-Driven Itinerary Generation for the Department of Tourism Region XI</w:t>
        <w:br/>
      </w:r>
      <w:r>
        <w:t>Document prepared: August 5, 2026 — Last updated: August 8, 2026</w:t>
        <w:br/>
      </w:r>
      <w:r>
        <w:t>Purpose: Reference for updating the paper’s Data Dictionary (Sec. 2.3.6), Entity Relationship Diagram (Fig. 4), and Software Requirements (Table 2) to reflect the as-built system.</w:t>
      </w:r>
    </w:p>
    <w:p>
      <w:r>
        <w:br w:type="page"/>
      </w:r>
    </w:p>
    <w:p>
      <w:pPr>
        <w:pStyle w:val="Heading1"/>
      </w:pPr>
      <w:r>
        <w:rPr>
          <w:color w:val="1B3A2B"/>
        </w:rPr>
        <w:t>1. Purpose of This Document</w:t>
      </w:r>
    </w:p>
    <w:p>
      <w:r>
        <w:rPr>
          <w:b w:val="0"/>
          <w:i w:val="0"/>
          <w:sz w:val="22"/>
        </w:rPr>
        <w:t>This document lists every place where the built ExploreDVO system differs from, or adds to, what is written in the approved proposal (FINAL-2.pdf). It was produced by directly comparing the project’s migration files, configuration, and codebase against Tables 13—40 (Data Dictionary), Figure 4 (ERD), and Table 2 (Software Requirements) of the paper — not from memory.</w:t>
      </w:r>
    </w:p>
    <w:p>
      <w:r>
        <w:rPr>
          <w:b w:val="0"/>
          <w:i w:val="0"/>
          <w:sz w:val="22"/>
        </w:rPr>
        <w:t>Each entry states exactly what changed, why it changed, and which section of the paper should be updated to keep the documentation and the actual system consistent. This is meant to protect you during your defense: if a panelist compares the paper against the live system, every difference listed here already has a documented justification you can point to.</w:t>
      </w:r>
    </w:p>
    <w:p>
      <w:r>
        <w:rPr>
          <w:b w:val="0"/>
          <w:i/>
          <w:sz w:val="22"/>
        </w:rPr>
        <w:t>This is a living document — it is updated each time a new development session adds or changes something beyond the original proposal. The August 7 update adds the PostgreSQL migration outcome, the Restaurants/Souvenir Centers catalog, the Tourist Preferences survey, the Exit Survey module (including its Figure 14 visitor-experience extension), the Health/Accessibility Profile UI, the real Admin Reports &amp; Analytics module, and — following items raised in a DOT Regional Director meeting and a supplementary objectives/problem-statement note — accreditation-gated public visibility (with a real bug fix along the way), automatic accreditation expiry and admin renewal, Purpose of Travel and Visitor Type fields, QR codes, and embedded GPS maps. The August 7 evening revision adds the Guest Review Replies feature (establishment owners can respond to traveler reviews), a homepage copy correction removing marketing language that overstated the unbuilt AI/recommendation modules, a real-data rebuild of the establishment partner overview dashboard (accreditation status/expiry, photo count, and recent reviews with an unreplied-review nudge), wiring up the previously unused Notifications table so establishment owners get real in-app alerts when their accreditation is expiring, expires, or gets renewed, and a full sixth public listing type — Tour Operators — answering the RD meeting note “Include the travel and tour operators” with a real accreditable business entity instead of the free-text field packages previously used, and a follow-up regression pass that caught and fixed two real bugs the new listing type introduced elsewhere in the system. The August 8 update is the big one: the three AI/recommendation modules that Section 7 previously listed as deliberately deferred — Content-Based Recommendation, Association Rule Mining (Apriori), and AI-Driven Itinerary Generation — are now fully built, tested, and live, along with the Chatbot Assistance Module (backed by a real external chatbot API, not just the database table). A realistic volume of tourist visitation and exit-survey data was seeded first so Apriori has enough transactions to produce meaningful Support/Confidence values rather than numbers computed from a handful of rows. The previously-stale “coming soon” placeholders on the tourist dashboard and the admin Association Rules page were both replaced with the real, working features. A follow-up bug in the new chatbot widget — the close button appeared completely unresponsive due to a CSS rule silently overriding the browser’s built-in hidden-attribute behavior — was found and fixed the same day; see §5.22.1.</w:t>
      </w:r>
    </w:p>
    <w:p>
      <w:pPr>
        <w:pStyle w:val="Heading1"/>
      </w:pPr>
      <w:r>
        <w:rPr>
          <w:color w:val="1B3A2B"/>
        </w:rPr>
        <w:t>2. Quick-Reference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2F5233"/>
          </w:tcPr>
          <w:p>
            <w:r>
              <w:rPr>
                <w:b/>
                <w:color w:val="FFFFFF"/>
              </w:rPr>
              <w:t>#</w:t>
            </w:r>
          </w:p>
        </w:tc>
        <w:tc>
          <w:tcPr>
            <w:tcW w:type="dxa" w:w="3024"/>
            <w:shd w:val="clear" w:color="auto" w:fill="2F5233"/>
          </w:tcPr>
          <w:p>
            <w:r>
              <w:rPr>
                <w:b/>
                <w:color w:val="FFFFFF"/>
              </w:rPr>
              <w:t>Item</w:t>
            </w:r>
          </w:p>
        </w:tc>
        <w:tc>
          <w:tcPr>
            <w:tcW w:type="dxa" w:w="2736"/>
            <w:shd w:val="clear" w:color="auto" w:fill="2F5233"/>
          </w:tcPr>
          <w:p>
            <w:r>
              <w:rPr>
                <w:b/>
                <w:color w:val="FFFFFF"/>
              </w:rPr>
              <w:t>Type of Change</w:t>
            </w:r>
          </w:p>
        </w:tc>
        <w:tc>
          <w:tcPr>
            <w:tcW w:type="dxa" w:w="2160"/>
            <w:shd w:val="clear" w:color="auto" w:fill="2F5233"/>
          </w:tcPr>
          <w:p>
            <w:r>
              <w:rPr>
                <w:b/>
                <w:color w:val="FFFFFF"/>
              </w:rPr>
              <w:t>Paper Section Affected</w:t>
            </w:r>
          </w:p>
        </w:tc>
        <w:tc>
          <w:tcPr>
            <w:tcW w:type="dxa" w:w="1440"/>
            <w:shd w:val="clear" w:color="auto" w:fill="2F5233"/>
          </w:tcPr>
          <w:p>
            <w:r>
              <w:rPr>
                <w:b/>
                <w:color w:val="FFFFFF"/>
              </w:rPr>
              <w:t>Status</w:t>
            </w:r>
          </w:p>
        </w:tc>
      </w:tr>
      <w:tr>
        <w:tc>
          <w:tcPr>
            <w:tcW w:type="dxa" w:w="432"/>
          </w:tcPr>
          <w:p>
            <w:pPr>
              <w:spacing w:after="40"/>
            </w:pPr>
            <w:r>
              <w:rPr>
                <w:sz w:val="20"/>
              </w:rPr>
              <w:t>1</w:t>
            </w:r>
          </w:p>
        </w:tc>
        <w:tc>
          <w:tcPr>
            <w:tcW w:type="dxa" w:w="3024"/>
          </w:tcPr>
          <w:p>
            <w:pPr>
              <w:spacing w:after="40"/>
            </w:pPr>
            <w:r>
              <w:rPr>
                <w:sz w:val="20"/>
              </w:rPr>
              <w:t>listing_photos table</w:t>
            </w:r>
          </w:p>
        </w:tc>
        <w:tc>
          <w:tcPr>
            <w:tcW w:type="dxa" w:w="2736"/>
          </w:tcPr>
          <w:p>
            <w:pPr>
              <w:spacing w:after="40"/>
            </w:pPr>
            <w:r>
              <w:rPr>
                <w:sz w:val="20"/>
              </w:rPr>
              <w:t>New database table (not in original ERD)</w:t>
            </w:r>
          </w:p>
        </w:tc>
        <w:tc>
          <w:tcPr>
            <w:tcW w:type="dxa" w:w="2160"/>
          </w:tcPr>
          <w:p>
            <w:pPr>
              <w:spacing w:after="40"/>
            </w:pPr>
            <w:r>
              <w:rPr>
                <w:sz w:val="20"/>
              </w:rPr>
              <w:t>Fig. 4 (ERD) / Sec. 2.3.6 (Data Dictionary)</w:t>
            </w:r>
          </w:p>
        </w:tc>
        <w:tc>
          <w:tcPr>
            <w:tcW w:type="dxa" w:w="1440"/>
          </w:tcPr>
          <w:p>
            <w:pPr>
              <w:spacing w:after="40"/>
            </w:pPr>
            <w:r>
              <w:rPr>
                <w:sz w:val="20"/>
              </w:rPr>
              <w:t>Implemented</w:t>
            </w:r>
          </w:p>
        </w:tc>
      </w:tr>
      <w:tr>
        <w:tc>
          <w:tcPr>
            <w:tcW w:type="dxa" w:w="432"/>
          </w:tcPr>
          <w:p>
            <w:pPr>
              <w:spacing w:after="40"/>
            </w:pPr>
            <w:r>
              <w:rPr>
                <w:sz w:val="20"/>
              </w:rPr>
              <w:t>2</w:t>
            </w:r>
          </w:p>
        </w:tc>
        <w:tc>
          <w:tcPr>
            <w:tcW w:type="dxa" w:w="3024"/>
          </w:tcPr>
          <w:p>
            <w:pPr>
              <w:spacing w:after="40"/>
            </w:pPr>
            <w:r>
              <w:rPr>
                <w:sz w:val="20"/>
              </w:rPr>
              <w:t>archived_at column</w:t>
            </w:r>
          </w:p>
        </w:tc>
        <w:tc>
          <w:tcPr>
            <w:tcW w:type="dxa" w:w="2736"/>
          </w:tcPr>
          <w:p>
            <w:pPr>
              <w:spacing w:after="40"/>
            </w:pPr>
            <w:r>
              <w:rPr>
                <w:sz w:val="20"/>
              </w:rPr>
              <w:t>New field on 5 listing tables</w:t>
            </w:r>
          </w:p>
        </w:tc>
        <w:tc>
          <w:tcPr>
            <w:tcW w:type="dxa" w:w="2160"/>
          </w:tcPr>
          <w:p>
            <w:pPr>
              <w:spacing w:after="40"/>
            </w:pPr>
            <w:r>
              <w:rPr>
                <w:sz w:val="20"/>
              </w:rPr>
              <w:t>Tables 14, 16, 18, 20, 21</w:t>
            </w:r>
          </w:p>
        </w:tc>
        <w:tc>
          <w:tcPr>
            <w:tcW w:type="dxa" w:w="1440"/>
          </w:tcPr>
          <w:p>
            <w:pPr>
              <w:spacing w:after="40"/>
            </w:pPr>
            <w:r>
              <w:rPr>
                <w:sz w:val="20"/>
              </w:rPr>
              <w:t>Implemented</w:t>
            </w:r>
          </w:p>
        </w:tc>
      </w:tr>
      <w:tr>
        <w:tc>
          <w:tcPr>
            <w:tcW w:type="dxa" w:w="432"/>
          </w:tcPr>
          <w:p>
            <w:pPr>
              <w:spacing w:after="40"/>
            </w:pPr>
            <w:r>
              <w:rPr>
                <w:sz w:val="20"/>
              </w:rPr>
              <w:t>3</w:t>
            </w:r>
          </w:p>
        </w:tc>
        <w:tc>
          <w:tcPr>
            <w:tcW w:type="dxa" w:w="3024"/>
          </w:tcPr>
          <w:p>
            <w:pPr>
              <w:spacing w:after="40"/>
            </w:pPr>
            <w:r>
              <w:rPr>
                <w:sz w:val="20"/>
              </w:rPr>
              <w:t>PostgreSQL 18</w:t>
            </w:r>
          </w:p>
        </w:tc>
        <w:tc>
          <w:tcPr>
            <w:tcW w:type="dxa" w:w="2736"/>
          </w:tcPr>
          <w:p>
            <w:pPr>
              <w:spacing w:after="40"/>
            </w:pPr>
            <w:r>
              <w:rPr>
                <w:sz w:val="20"/>
              </w:rPr>
              <w:t>Database engine</w:t>
            </w:r>
          </w:p>
        </w:tc>
        <w:tc>
          <w:tcPr>
            <w:tcW w:type="dxa" w:w="2160"/>
          </w:tcPr>
          <w:p>
            <w:pPr>
              <w:spacing w:after="40"/>
            </w:pPr>
            <w:r>
              <w:rPr>
                <w:sz w:val="20"/>
              </w:rPr>
              <w:t>Table 2 (Software Requirements)</w:t>
            </w:r>
          </w:p>
        </w:tc>
        <w:tc>
          <w:tcPr>
            <w:tcW w:type="dxa" w:w="1440"/>
          </w:tcPr>
          <w:p>
            <w:pPr>
              <w:spacing w:after="40"/>
            </w:pPr>
            <w:r>
              <w:rPr>
                <w:sz w:val="20"/>
              </w:rPr>
              <w:t>RESOLVED §4.1</w:t>
            </w:r>
          </w:p>
        </w:tc>
      </w:tr>
      <w:tr>
        <w:tc>
          <w:tcPr>
            <w:tcW w:type="dxa" w:w="432"/>
          </w:tcPr>
          <w:p>
            <w:pPr>
              <w:spacing w:after="40"/>
            </w:pPr>
            <w:r>
              <w:rPr>
                <w:sz w:val="20"/>
              </w:rPr>
              <w:t>4</w:t>
            </w:r>
          </w:p>
        </w:tc>
        <w:tc>
          <w:tcPr>
            <w:tcW w:type="dxa" w:w="3024"/>
          </w:tcPr>
          <w:p>
            <w:pPr>
              <w:spacing w:after="40"/>
            </w:pPr>
            <w:r>
              <w:rPr>
                <w:sz w:val="20"/>
              </w:rPr>
              <w:t>Custom CSS/JS design system</w:t>
            </w:r>
          </w:p>
        </w:tc>
        <w:tc>
          <w:tcPr>
            <w:tcW w:type="dxa" w:w="2736"/>
          </w:tcPr>
          <w:p>
            <w:pPr>
              <w:spacing w:after="40"/>
            </w:pPr>
            <w:r>
              <w:rPr>
                <w:sz w:val="20"/>
              </w:rPr>
              <w:t>Frontend framework substitution (replaces Bootstrap 5)</w:t>
            </w:r>
          </w:p>
        </w:tc>
        <w:tc>
          <w:tcPr>
            <w:tcW w:type="dxa" w:w="2160"/>
          </w:tcPr>
          <w:p>
            <w:pPr>
              <w:spacing w:after="40"/>
            </w:pPr>
            <w:r>
              <w:rPr>
                <w:sz w:val="20"/>
              </w:rPr>
              <w:t>Table 2 (Software Requirements)</w:t>
            </w:r>
          </w:p>
        </w:tc>
        <w:tc>
          <w:tcPr>
            <w:tcW w:type="dxa" w:w="1440"/>
          </w:tcPr>
          <w:p>
            <w:pPr>
              <w:spacing w:after="40"/>
            </w:pPr>
            <w:r>
              <w:rPr>
                <w:sz w:val="20"/>
              </w:rPr>
              <w:t>Implemented</w:t>
            </w:r>
          </w:p>
        </w:tc>
      </w:tr>
      <w:tr>
        <w:tc>
          <w:tcPr>
            <w:tcW w:type="dxa" w:w="432"/>
          </w:tcPr>
          <w:p>
            <w:pPr>
              <w:spacing w:after="40"/>
            </w:pPr>
            <w:r>
              <w:rPr>
                <w:sz w:val="20"/>
              </w:rPr>
              <w:t>5</w:t>
            </w:r>
          </w:p>
        </w:tc>
        <w:tc>
          <w:tcPr>
            <w:tcW w:type="dxa" w:w="3024"/>
          </w:tcPr>
          <w:p>
            <w:pPr>
              <w:spacing w:after="40"/>
            </w:pPr>
            <w:r>
              <w:rPr>
                <w:sz w:val="20"/>
              </w:rPr>
              <w:t>Multi-photo gallery + swipe carousel + lightbox</w:t>
            </w:r>
          </w:p>
        </w:tc>
        <w:tc>
          <w:tcPr>
            <w:tcW w:type="dxa" w:w="2736"/>
          </w:tcPr>
          <w:p>
            <w:pPr>
              <w:spacing w:after="40"/>
            </w:pPr>
            <w:r>
              <w:rPr>
                <w:sz w:val="20"/>
              </w:rPr>
              <w:t>New UI feature</w:t>
            </w:r>
          </w:p>
        </w:tc>
        <w:tc>
          <w:tcPr>
            <w:tcW w:type="dxa" w:w="2160"/>
          </w:tcPr>
          <w:p>
            <w:pPr>
              <w:spacing w:after="40"/>
            </w:pPr>
            <w:r>
              <w:rPr>
                <w:sz w:val="20"/>
              </w:rPr>
              <w:t>Not shown in Figures 6—21</w:t>
            </w:r>
          </w:p>
        </w:tc>
        <w:tc>
          <w:tcPr>
            <w:tcW w:type="dxa" w:w="1440"/>
          </w:tcPr>
          <w:p>
            <w:pPr>
              <w:spacing w:after="40"/>
            </w:pPr>
            <w:r>
              <w:rPr>
                <w:sz w:val="20"/>
              </w:rPr>
              <w:t>Implemented</w:t>
            </w:r>
          </w:p>
        </w:tc>
      </w:tr>
      <w:tr>
        <w:tc>
          <w:tcPr>
            <w:tcW w:type="dxa" w:w="432"/>
          </w:tcPr>
          <w:p>
            <w:pPr>
              <w:spacing w:after="40"/>
            </w:pPr>
            <w:r>
              <w:rPr>
                <w:sz w:val="20"/>
              </w:rPr>
              <w:t>6</w:t>
            </w:r>
          </w:p>
        </w:tc>
        <w:tc>
          <w:tcPr>
            <w:tcW w:type="dxa" w:w="3024"/>
          </w:tcPr>
          <w:p>
            <w:pPr>
              <w:spacing w:after="40"/>
            </w:pPr>
            <w:r>
              <w:rPr>
                <w:sz w:val="20"/>
              </w:rPr>
              <w:t>Custom SVG icon system</w:t>
            </w:r>
          </w:p>
        </w:tc>
        <w:tc>
          <w:tcPr>
            <w:tcW w:type="dxa" w:w="2736"/>
          </w:tcPr>
          <w:p>
            <w:pPr>
              <w:spacing w:after="40"/>
            </w:pPr>
            <w:r>
              <w:rPr>
                <w:sz w:val="20"/>
              </w:rPr>
              <w:t>UI/branding decision</w:t>
            </w:r>
          </w:p>
        </w:tc>
        <w:tc>
          <w:tcPr>
            <w:tcW w:type="dxa" w:w="2160"/>
          </w:tcPr>
          <w:p>
            <w:pPr>
              <w:spacing w:after="40"/>
            </w:pPr>
            <w:r>
              <w:rPr>
                <w:sz w:val="20"/>
              </w:rPr>
              <w:t>N/A</w:t>
            </w:r>
          </w:p>
        </w:tc>
        <w:tc>
          <w:tcPr>
            <w:tcW w:type="dxa" w:w="1440"/>
          </w:tcPr>
          <w:p>
            <w:pPr>
              <w:spacing w:after="40"/>
            </w:pPr>
            <w:r>
              <w:rPr>
                <w:sz w:val="20"/>
              </w:rPr>
              <w:t>Implemented</w:t>
            </w:r>
          </w:p>
        </w:tc>
      </w:tr>
      <w:tr>
        <w:tc>
          <w:tcPr>
            <w:tcW w:type="dxa" w:w="432"/>
          </w:tcPr>
          <w:p>
            <w:pPr>
              <w:spacing w:after="40"/>
            </w:pPr>
            <w:r>
              <w:rPr>
                <w:sz w:val="20"/>
              </w:rPr>
              <w:t>7</w:t>
            </w:r>
          </w:p>
        </w:tc>
        <w:tc>
          <w:tcPr>
            <w:tcW w:type="dxa" w:w="3024"/>
          </w:tcPr>
          <w:p>
            <w:pPr>
              <w:spacing w:after="40"/>
            </w:pPr>
            <w:r>
              <w:rPr>
                <w:sz w:val="20"/>
              </w:rPr>
              <w:t>Custom branded error pages (404/403/419/429/500/503)</w:t>
            </w:r>
          </w:p>
        </w:tc>
        <w:tc>
          <w:tcPr>
            <w:tcW w:type="dxa" w:w="2736"/>
          </w:tcPr>
          <w:p>
            <w:pPr>
              <w:spacing w:after="40"/>
            </w:pPr>
            <w:r>
              <w:rPr>
                <w:sz w:val="20"/>
              </w:rPr>
              <w:t>Technical robustness addition</w:t>
            </w:r>
          </w:p>
        </w:tc>
        <w:tc>
          <w:tcPr>
            <w:tcW w:type="dxa" w:w="2160"/>
          </w:tcPr>
          <w:p>
            <w:pPr>
              <w:spacing w:after="40"/>
            </w:pPr>
            <w:r>
              <w:rPr>
                <w:sz w:val="20"/>
              </w:rPr>
              <w:t>N/A</w:t>
            </w:r>
          </w:p>
        </w:tc>
        <w:tc>
          <w:tcPr>
            <w:tcW w:type="dxa" w:w="1440"/>
          </w:tcPr>
          <w:p>
            <w:pPr>
              <w:spacing w:after="40"/>
            </w:pPr>
            <w:r>
              <w:rPr>
                <w:sz w:val="20"/>
              </w:rPr>
              <w:t>Implemented</w:t>
            </w:r>
          </w:p>
        </w:tc>
      </w:tr>
      <w:tr>
        <w:tc>
          <w:tcPr>
            <w:tcW w:type="dxa" w:w="432"/>
          </w:tcPr>
          <w:p>
            <w:pPr>
              <w:spacing w:after="40"/>
            </w:pPr>
            <w:r>
              <w:rPr>
                <w:sz w:val="20"/>
              </w:rPr>
              <w:t>8</w:t>
            </w:r>
          </w:p>
        </w:tc>
        <w:tc>
          <w:tcPr>
            <w:tcW w:type="dxa" w:w="3024"/>
          </w:tcPr>
          <w:p>
            <w:pPr>
              <w:spacing w:after="40"/>
            </w:pPr>
            <w:r>
              <w:rPr>
                <w:sz w:val="20"/>
              </w:rPr>
              <w:t>Admin Tourism Information Management module (add/edit/archive/restore)</w:t>
            </w:r>
          </w:p>
        </w:tc>
        <w:tc>
          <w:tcPr>
            <w:tcW w:type="dxa" w:w="2736"/>
          </w:tcPr>
          <w:p>
            <w:pPr>
              <w:spacing w:after="40"/>
            </w:pPr>
            <w:r>
              <w:rPr>
                <w:sz w:val="20"/>
              </w:rPr>
              <w:t>Direct implementation of Req. 2.2.3.1.2</w:t>
            </w:r>
          </w:p>
        </w:tc>
        <w:tc>
          <w:tcPr>
            <w:tcW w:type="dxa" w:w="2160"/>
          </w:tcPr>
          <w:p>
            <w:pPr>
              <w:spacing w:after="40"/>
            </w:pPr>
            <w:r>
              <w:rPr>
                <w:sz w:val="20"/>
              </w:rPr>
              <w:t>Sec. 2.2.3.1.2</w:t>
            </w:r>
          </w:p>
        </w:tc>
        <w:tc>
          <w:tcPr>
            <w:tcW w:type="dxa" w:w="1440"/>
          </w:tcPr>
          <w:p>
            <w:pPr>
              <w:spacing w:after="40"/>
            </w:pPr>
            <w:r>
              <w:rPr>
                <w:sz w:val="20"/>
              </w:rPr>
              <w:t>Implemented &amp; tested</w:t>
            </w:r>
          </w:p>
        </w:tc>
      </w:tr>
      <w:tr>
        <w:tc>
          <w:tcPr>
            <w:tcW w:type="dxa" w:w="432"/>
          </w:tcPr>
          <w:p>
            <w:pPr>
              <w:spacing w:after="40"/>
            </w:pPr>
            <w:r>
              <w:rPr>
                <w:sz w:val="20"/>
              </w:rPr>
              <w:t>9</w:t>
            </w:r>
          </w:p>
        </w:tc>
        <w:tc>
          <w:tcPr>
            <w:tcW w:type="dxa" w:w="3024"/>
          </w:tcPr>
          <w:p>
            <w:pPr>
              <w:spacing w:after="40"/>
            </w:pPr>
            <w:r>
              <w:rPr>
                <w:sz w:val="20"/>
              </w:rPr>
              <w:t>Restaurants &amp; Souvenir Centers public catalog</w:t>
            </w:r>
          </w:p>
        </w:tc>
        <w:tc>
          <w:tcPr>
            <w:tcW w:type="dxa" w:w="2736"/>
          </w:tcPr>
          <w:p>
            <w:pPr>
              <w:spacing w:after="40"/>
            </w:pPr>
            <w:r>
              <w:rPr>
                <w:sz w:val="20"/>
              </w:rPr>
              <w:t>New public pages (backend already existed)</w:t>
            </w:r>
          </w:p>
        </w:tc>
        <w:tc>
          <w:tcPr>
            <w:tcW w:type="dxa" w:w="2160"/>
          </w:tcPr>
          <w:p>
            <w:pPr>
              <w:spacing w:after="40"/>
            </w:pPr>
            <w:r>
              <w:rPr>
                <w:sz w:val="20"/>
              </w:rPr>
              <w:t>Req. 2.2.1.3</w:t>
            </w:r>
          </w:p>
        </w:tc>
        <w:tc>
          <w:tcPr>
            <w:tcW w:type="dxa" w:w="1440"/>
          </w:tcPr>
          <w:p>
            <w:pPr>
              <w:spacing w:after="40"/>
            </w:pPr>
            <w:r>
              <w:rPr>
                <w:sz w:val="20"/>
              </w:rPr>
              <w:t>Implemented &amp; tested</w:t>
            </w:r>
          </w:p>
        </w:tc>
      </w:tr>
      <w:tr>
        <w:tc>
          <w:tcPr>
            <w:tcW w:type="dxa" w:w="432"/>
          </w:tcPr>
          <w:p>
            <w:pPr>
              <w:spacing w:after="40"/>
            </w:pPr>
            <w:r>
              <w:rPr>
                <w:sz w:val="20"/>
              </w:rPr>
              <w:t>10</w:t>
            </w:r>
          </w:p>
        </w:tc>
        <w:tc>
          <w:tcPr>
            <w:tcW w:type="dxa" w:w="3024"/>
          </w:tcPr>
          <w:p>
            <w:pPr>
              <w:spacing w:after="40"/>
            </w:pPr>
            <w:r>
              <w:rPr>
                <w:sz w:val="20"/>
              </w:rPr>
              <w:t>Tourist Preferences survey UI</w:t>
            </w:r>
          </w:p>
        </w:tc>
        <w:tc>
          <w:tcPr>
            <w:tcW w:type="dxa" w:w="2736"/>
          </w:tcPr>
          <w:p>
            <w:pPr>
              <w:spacing w:after="40"/>
            </w:pPr>
            <w:r>
              <w:rPr>
                <w:sz w:val="20"/>
              </w:rPr>
              <w:t>New feature, uses existing Tables 25—27</w:t>
            </w:r>
          </w:p>
        </w:tc>
        <w:tc>
          <w:tcPr>
            <w:tcW w:type="dxa" w:w="2160"/>
          </w:tcPr>
          <w:p>
            <w:pPr>
              <w:spacing w:after="40"/>
            </w:pPr>
            <w:r>
              <w:rPr>
                <w:sz w:val="20"/>
              </w:rPr>
              <w:t>Fig. 9, Req. 2.2.1.4 (input side only)</w:t>
            </w:r>
          </w:p>
        </w:tc>
        <w:tc>
          <w:tcPr>
            <w:tcW w:type="dxa" w:w="1440"/>
          </w:tcPr>
          <w:p>
            <w:pPr>
              <w:spacing w:after="40"/>
            </w:pPr>
            <w:r>
              <w:rPr>
                <w:sz w:val="20"/>
              </w:rPr>
              <w:t>Implemented &amp; tested</w:t>
            </w:r>
          </w:p>
        </w:tc>
      </w:tr>
      <w:tr>
        <w:tc>
          <w:tcPr>
            <w:tcW w:type="dxa" w:w="432"/>
          </w:tcPr>
          <w:p>
            <w:pPr>
              <w:spacing w:after="40"/>
            </w:pPr>
            <w:r>
              <w:rPr>
                <w:sz w:val="20"/>
              </w:rPr>
              <w:t>11</w:t>
            </w:r>
          </w:p>
        </w:tc>
        <w:tc>
          <w:tcPr>
            <w:tcW w:type="dxa" w:w="3024"/>
          </w:tcPr>
          <w:p>
            <w:pPr>
              <w:spacing w:after="40"/>
            </w:pPr>
            <w:r>
              <w:rPr>
                <w:sz w:val="20"/>
              </w:rPr>
              <w:t>Exit Survey (ratings + comments)</w:t>
            </w:r>
          </w:p>
        </w:tc>
        <w:tc>
          <w:tcPr>
            <w:tcW w:type="dxa" w:w="2736"/>
          </w:tcPr>
          <w:p>
            <w:pPr>
              <w:spacing w:after="40"/>
            </w:pPr>
            <w:r>
              <w:rPr>
                <w:sz w:val="20"/>
              </w:rPr>
              <w:t>New feature, matches Table 33 exactly</w:t>
            </w:r>
          </w:p>
        </w:tc>
        <w:tc>
          <w:tcPr>
            <w:tcW w:type="dxa" w:w="2160"/>
          </w:tcPr>
          <w:p>
            <w:pPr>
              <w:spacing w:after="40"/>
            </w:pPr>
            <w:r>
              <w:rPr>
                <w:sz w:val="20"/>
              </w:rPr>
              <w:t>Req. 2.2.1.7 / 2.2.3.1.8</w:t>
            </w:r>
          </w:p>
        </w:tc>
        <w:tc>
          <w:tcPr>
            <w:tcW w:type="dxa" w:w="1440"/>
          </w:tcPr>
          <w:p>
            <w:pPr>
              <w:spacing w:after="40"/>
            </w:pPr>
            <w:r>
              <w:rPr>
                <w:sz w:val="20"/>
              </w:rPr>
              <w:t>Implemented &amp; tested</w:t>
            </w:r>
          </w:p>
        </w:tc>
      </w:tr>
      <w:tr>
        <w:tc>
          <w:tcPr>
            <w:tcW w:type="dxa" w:w="432"/>
          </w:tcPr>
          <w:p>
            <w:pPr>
              <w:spacing w:after="40"/>
            </w:pPr>
            <w:r>
              <w:rPr>
                <w:sz w:val="20"/>
              </w:rPr>
              <w:t>12</w:t>
            </w:r>
          </w:p>
        </w:tc>
        <w:tc>
          <w:tcPr>
            <w:tcW w:type="dxa" w:w="3024"/>
          </w:tcPr>
          <w:p>
            <w:pPr>
              <w:spacing w:after="40"/>
            </w:pPr>
            <w:r>
              <w:rPr>
                <w:sz w:val="20"/>
              </w:rPr>
              <w:t>Exit Survey visitor-experience extension</w:t>
            </w:r>
          </w:p>
        </w:tc>
        <w:tc>
          <w:tcPr>
            <w:tcW w:type="dxa" w:w="2736"/>
          </w:tcPr>
          <w:p>
            <w:pPr>
              <w:spacing w:after="40"/>
            </w:pPr>
            <w:r>
              <w:rPr>
                <w:sz w:val="20"/>
              </w:rPr>
              <w:t>New columns + 2 new tables</w:t>
            </w:r>
          </w:p>
        </w:tc>
        <w:tc>
          <w:tcPr>
            <w:tcW w:type="dxa" w:w="2160"/>
          </w:tcPr>
          <w:p>
            <w:pPr>
              <w:spacing w:after="40"/>
            </w:pPr>
            <w:r>
              <w:rPr>
                <w:sz w:val="20"/>
              </w:rPr>
              <w:t>Fig. 14, Table 33</w:t>
            </w:r>
          </w:p>
        </w:tc>
        <w:tc>
          <w:tcPr>
            <w:tcW w:type="dxa" w:w="1440"/>
          </w:tcPr>
          <w:p>
            <w:pPr>
              <w:spacing w:after="40"/>
            </w:pPr>
            <w:r>
              <w:rPr>
                <w:sz w:val="20"/>
              </w:rPr>
              <w:t>Implemented §3.3</w:t>
            </w:r>
          </w:p>
        </w:tc>
      </w:tr>
      <w:tr>
        <w:tc>
          <w:tcPr>
            <w:tcW w:type="dxa" w:w="432"/>
          </w:tcPr>
          <w:p>
            <w:pPr>
              <w:spacing w:after="40"/>
            </w:pPr>
            <w:r>
              <w:rPr>
                <w:sz w:val="20"/>
              </w:rPr>
              <w:t>13</w:t>
            </w:r>
          </w:p>
        </w:tc>
        <w:tc>
          <w:tcPr>
            <w:tcW w:type="dxa" w:w="3024"/>
          </w:tcPr>
          <w:p>
            <w:pPr>
              <w:spacing w:after="40"/>
            </w:pPr>
            <w:r>
              <w:rPr>
                <w:sz w:val="20"/>
              </w:rPr>
              <w:t>Health/Accessibility Profile UI</w:t>
            </w:r>
          </w:p>
        </w:tc>
        <w:tc>
          <w:tcPr>
            <w:tcW w:type="dxa" w:w="2736"/>
          </w:tcPr>
          <w:p>
            <w:pPr>
              <w:spacing w:after="40"/>
            </w:pPr>
            <w:r>
              <w:rPr>
                <w:sz w:val="20"/>
              </w:rPr>
              <w:t>New feature, uses existing Tables 38—39</w:t>
            </w:r>
          </w:p>
        </w:tc>
        <w:tc>
          <w:tcPr>
            <w:tcW w:type="dxa" w:w="2160"/>
          </w:tcPr>
          <w:p>
            <w:pPr>
              <w:spacing w:after="40"/>
            </w:pPr>
            <w:r>
              <w:rPr>
                <w:sz w:val="20"/>
              </w:rPr>
              <w:t>Req. 2.2.1.14</w:t>
            </w:r>
          </w:p>
        </w:tc>
        <w:tc>
          <w:tcPr>
            <w:tcW w:type="dxa" w:w="1440"/>
          </w:tcPr>
          <w:p>
            <w:pPr>
              <w:spacing w:after="40"/>
            </w:pPr>
            <w:r>
              <w:rPr>
                <w:sz w:val="20"/>
              </w:rPr>
              <w:t>Implemented &amp; tested</w:t>
            </w:r>
          </w:p>
        </w:tc>
      </w:tr>
      <w:tr>
        <w:tc>
          <w:tcPr>
            <w:tcW w:type="dxa" w:w="432"/>
          </w:tcPr>
          <w:p>
            <w:pPr>
              <w:spacing w:after="40"/>
            </w:pPr>
            <w:r>
              <w:rPr>
                <w:sz w:val="20"/>
              </w:rPr>
              <w:t>14</w:t>
            </w:r>
          </w:p>
        </w:tc>
        <w:tc>
          <w:tcPr>
            <w:tcW w:type="dxa" w:w="3024"/>
          </w:tcPr>
          <w:p>
            <w:pPr>
              <w:spacing w:after="40"/>
            </w:pPr>
            <w:r>
              <w:rPr>
                <w:sz w:val="20"/>
              </w:rPr>
              <w:t>Admin Reports &amp; Analytics (real data + CSV/PDF export)</w:t>
            </w:r>
          </w:p>
        </w:tc>
        <w:tc>
          <w:tcPr>
            <w:tcW w:type="dxa" w:w="2736"/>
          </w:tcPr>
          <w:p>
            <w:pPr>
              <w:spacing w:after="40"/>
            </w:pPr>
            <w:r>
              <w:rPr>
                <w:sz w:val="20"/>
              </w:rPr>
              <w:t>Wired up previously stubbed page</w:t>
            </w:r>
          </w:p>
        </w:tc>
        <w:tc>
          <w:tcPr>
            <w:tcW w:type="dxa" w:w="2160"/>
          </w:tcPr>
          <w:p>
            <w:pPr>
              <w:spacing w:after="40"/>
            </w:pPr>
            <w:r>
              <w:rPr>
                <w:sz w:val="20"/>
              </w:rPr>
              <w:t>Req. 2.2.1.10 / 2.2.3.1.9, Figs. 16, 18, 21</w:t>
            </w:r>
          </w:p>
        </w:tc>
        <w:tc>
          <w:tcPr>
            <w:tcW w:type="dxa" w:w="1440"/>
          </w:tcPr>
          <w:p>
            <w:pPr>
              <w:spacing w:after="40"/>
            </w:pPr>
            <w:r>
              <w:rPr>
                <w:sz w:val="20"/>
              </w:rPr>
              <w:t>Implemented §5.9</w:t>
            </w:r>
          </w:p>
        </w:tc>
      </w:tr>
      <w:tr>
        <w:tc>
          <w:tcPr>
            <w:tcW w:type="dxa" w:w="432"/>
          </w:tcPr>
          <w:p>
            <w:pPr>
              <w:spacing w:after="40"/>
            </w:pPr>
            <w:r>
              <w:rPr>
                <w:sz w:val="20"/>
              </w:rPr>
              <w:t>15</w:t>
            </w:r>
          </w:p>
        </w:tc>
        <w:tc>
          <w:tcPr>
            <w:tcW w:type="dxa" w:w="3024"/>
          </w:tcPr>
          <w:p>
            <w:pPr>
              <w:spacing w:after="40"/>
            </w:pPr>
            <w:r>
              <w:rPr>
                <w:sz w:val="20"/>
              </w:rPr>
              <w:t>Accreditation-gated public visibility</w:t>
            </w:r>
          </w:p>
        </w:tc>
        <w:tc>
          <w:tcPr>
            <w:tcW w:type="dxa" w:w="2736"/>
          </w:tcPr>
          <w:p>
            <w:pPr>
              <w:spacing w:after="40"/>
            </w:pPr>
            <w:r>
              <w:rPr>
                <w:sz w:val="20"/>
              </w:rPr>
              <w:t>Behavior fix: non-accredited/expired listings now hidden</w:t>
            </w:r>
          </w:p>
        </w:tc>
        <w:tc>
          <w:tcPr>
            <w:tcW w:type="dxa" w:w="2160"/>
          </w:tcPr>
          <w:p>
            <w:pPr>
              <w:spacing w:after="40"/>
            </w:pPr>
            <w:r>
              <w:rPr>
                <w:sz w:val="20"/>
              </w:rPr>
              <w:t>Problem Statement, RD meeting notes</w:t>
            </w:r>
          </w:p>
        </w:tc>
        <w:tc>
          <w:tcPr>
            <w:tcW w:type="dxa" w:w="1440"/>
          </w:tcPr>
          <w:p>
            <w:pPr>
              <w:spacing w:after="40"/>
            </w:pPr>
            <w:r>
              <w:rPr>
                <w:sz w:val="20"/>
              </w:rPr>
              <w:t>Implemented &amp; tested §5.10</w:t>
            </w:r>
          </w:p>
        </w:tc>
      </w:tr>
      <w:tr>
        <w:tc>
          <w:tcPr>
            <w:tcW w:type="dxa" w:w="432"/>
          </w:tcPr>
          <w:p>
            <w:pPr>
              <w:spacing w:after="40"/>
            </w:pPr>
            <w:r>
              <w:rPr>
                <w:sz w:val="20"/>
              </w:rPr>
              <w:t>16</w:t>
            </w:r>
          </w:p>
        </w:tc>
        <w:tc>
          <w:tcPr>
            <w:tcW w:type="dxa" w:w="3024"/>
          </w:tcPr>
          <w:p>
            <w:pPr>
              <w:spacing w:after="40"/>
            </w:pPr>
            <w:r>
              <w:rPr>
                <w:sz w:val="20"/>
              </w:rPr>
              <w:t>Accreditation auto-expiry + admin renewal</w:t>
            </w:r>
          </w:p>
        </w:tc>
        <w:tc>
          <w:tcPr>
            <w:tcW w:type="dxa" w:w="2736"/>
          </w:tcPr>
          <w:p>
            <w:pPr>
              <w:spacing w:after="40"/>
            </w:pPr>
            <w:r>
              <w:rPr>
                <w:sz w:val="20"/>
              </w:rPr>
              <w:t>New scheduled command + admin UI action</w:t>
            </w:r>
          </w:p>
        </w:tc>
        <w:tc>
          <w:tcPr>
            <w:tcW w:type="dxa" w:w="2160"/>
          </w:tcPr>
          <w:p>
            <w:pPr>
              <w:spacing w:after="40"/>
            </w:pPr>
            <w:r>
              <w:rPr>
                <w:sz w:val="20"/>
              </w:rPr>
              <w:t>RD meeting notes</w:t>
            </w:r>
          </w:p>
        </w:tc>
        <w:tc>
          <w:tcPr>
            <w:tcW w:type="dxa" w:w="1440"/>
          </w:tcPr>
          <w:p>
            <w:pPr>
              <w:spacing w:after="40"/>
            </w:pPr>
            <w:r>
              <w:rPr>
                <w:sz w:val="20"/>
              </w:rPr>
              <w:t>Implemented &amp; tested §5.11</w:t>
            </w:r>
          </w:p>
        </w:tc>
      </w:tr>
      <w:tr>
        <w:tc>
          <w:tcPr>
            <w:tcW w:type="dxa" w:w="432"/>
          </w:tcPr>
          <w:p>
            <w:pPr>
              <w:spacing w:after="40"/>
            </w:pPr>
            <w:r>
              <w:rPr>
                <w:sz w:val="20"/>
              </w:rPr>
              <w:t>17</w:t>
            </w:r>
          </w:p>
        </w:tc>
        <w:tc>
          <w:tcPr>
            <w:tcW w:type="dxa" w:w="3024"/>
          </w:tcPr>
          <w:p>
            <w:pPr>
              <w:spacing w:after="40"/>
            </w:pPr>
            <w:r>
              <w:rPr>
                <w:sz w:val="20"/>
              </w:rPr>
              <w:t>Purpose of Travel + Visitor Type (Preferences)</w:t>
            </w:r>
          </w:p>
        </w:tc>
        <w:tc>
          <w:tcPr>
            <w:tcW w:type="dxa" w:w="2736"/>
          </w:tcPr>
          <w:p>
            <w:pPr>
              <w:spacing w:after="40"/>
            </w:pPr>
            <w:r>
              <w:rPr>
                <w:sz w:val="20"/>
              </w:rPr>
              <w:t>New columns on Table 25</w:t>
            </w:r>
          </w:p>
        </w:tc>
        <w:tc>
          <w:tcPr>
            <w:tcW w:type="dxa" w:w="2160"/>
          </w:tcPr>
          <w:p>
            <w:pPr>
              <w:spacing w:after="40"/>
            </w:pPr>
            <w:r>
              <w:rPr>
                <w:sz w:val="20"/>
              </w:rPr>
              <w:t>Table 5 (Preference Weights), RD/objectives notes</w:t>
            </w:r>
          </w:p>
        </w:tc>
        <w:tc>
          <w:tcPr>
            <w:tcW w:type="dxa" w:w="1440"/>
          </w:tcPr>
          <w:p>
            <w:pPr>
              <w:spacing w:after="40"/>
            </w:pPr>
            <w:r>
              <w:rPr>
                <w:sz w:val="20"/>
              </w:rPr>
              <w:t>Implemented §3.5</w:t>
            </w:r>
          </w:p>
        </w:tc>
      </w:tr>
      <w:tr>
        <w:tc>
          <w:tcPr>
            <w:tcW w:type="dxa" w:w="432"/>
          </w:tcPr>
          <w:p>
            <w:pPr>
              <w:spacing w:after="40"/>
            </w:pPr>
            <w:r>
              <w:rPr>
                <w:sz w:val="20"/>
              </w:rPr>
              <w:t>18</w:t>
            </w:r>
          </w:p>
        </w:tc>
        <w:tc>
          <w:tcPr>
            <w:tcW w:type="dxa" w:w="3024"/>
          </w:tcPr>
          <w:p>
            <w:pPr>
              <w:spacing w:after="40"/>
            </w:pPr>
            <w:r>
              <w:rPr>
                <w:sz w:val="20"/>
              </w:rPr>
              <w:t>Purpose of Travel + Actual Days Stayed (Exit Survey)</w:t>
            </w:r>
          </w:p>
        </w:tc>
        <w:tc>
          <w:tcPr>
            <w:tcW w:type="dxa" w:w="2736"/>
          </w:tcPr>
          <w:p>
            <w:pPr>
              <w:spacing w:after="40"/>
            </w:pPr>
            <w:r>
              <w:rPr>
                <w:sz w:val="20"/>
              </w:rPr>
              <w:t>New columns on Table 33</w:t>
            </w:r>
          </w:p>
        </w:tc>
        <w:tc>
          <w:tcPr>
            <w:tcW w:type="dxa" w:w="2160"/>
          </w:tcPr>
          <w:p>
            <w:pPr>
              <w:spacing w:after="40"/>
            </w:pPr>
            <w:r>
              <w:rPr>
                <w:sz w:val="20"/>
              </w:rPr>
              <w:t>Problem Statement, RD meeting notes</w:t>
            </w:r>
          </w:p>
        </w:tc>
        <w:tc>
          <w:tcPr>
            <w:tcW w:type="dxa" w:w="1440"/>
          </w:tcPr>
          <w:p>
            <w:pPr>
              <w:spacing w:after="40"/>
            </w:pPr>
            <w:r>
              <w:rPr>
                <w:sz w:val="20"/>
              </w:rPr>
              <w:t>Implemented §3.6</w:t>
            </w:r>
          </w:p>
        </w:tc>
      </w:tr>
      <w:tr>
        <w:tc>
          <w:tcPr>
            <w:tcW w:type="dxa" w:w="432"/>
          </w:tcPr>
          <w:p>
            <w:pPr>
              <w:spacing w:after="40"/>
            </w:pPr>
            <w:r>
              <w:rPr>
                <w:sz w:val="20"/>
              </w:rPr>
              <w:t>19</w:t>
            </w:r>
          </w:p>
        </w:tc>
        <w:tc>
          <w:tcPr>
            <w:tcW w:type="dxa" w:w="3024"/>
          </w:tcPr>
          <w:p>
            <w:pPr>
              <w:spacing w:after="40"/>
            </w:pPr>
            <w:r>
              <w:rPr>
                <w:sz w:val="20"/>
              </w:rPr>
              <w:t>Coordinates on Accommodations/Packages/Souvenir Centers</w:t>
            </w:r>
          </w:p>
        </w:tc>
        <w:tc>
          <w:tcPr>
            <w:tcW w:type="dxa" w:w="2736"/>
          </w:tcPr>
          <w:p>
            <w:pPr>
              <w:spacing w:after="40"/>
            </w:pPr>
            <w:r>
              <w:rPr>
                <w:sz w:val="20"/>
              </w:rPr>
              <w:t>New columns on Tables 16, 18, 20</w:t>
            </w:r>
          </w:p>
        </w:tc>
        <w:tc>
          <w:tcPr>
            <w:tcW w:type="dxa" w:w="2160"/>
          </w:tcPr>
          <w:p>
            <w:pPr>
              <w:spacing w:after="40"/>
            </w:pPr>
            <w:r>
              <w:rPr>
                <w:sz w:val="20"/>
              </w:rPr>
              <w:t>RD meeting notes (GPS pin)</w:t>
            </w:r>
          </w:p>
        </w:tc>
        <w:tc>
          <w:tcPr>
            <w:tcW w:type="dxa" w:w="1440"/>
          </w:tcPr>
          <w:p>
            <w:pPr>
              <w:spacing w:after="40"/>
            </w:pPr>
            <w:r>
              <w:rPr>
                <w:sz w:val="20"/>
              </w:rPr>
              <w:t>Implemented §3.4</w:t>
            </w:r>
          </w:p>
        </w:tc>
      </w:tr>
      <w:tr>
        <w:tc>
          <w:tcPr>
            <w:tcW w:type="dxa" w:w="432"/>
          </w:tcPr>
          <w:p>
            <w:pPr>
              <w:spacing w:after="40"/>
            </w:pPr>
            <w:r>
              <w:rPr>
                <w:sz w:val="20"/>
              </w:rPr>
              <w:t>20</w:t>
            </w:r>
          </w:p>
        </w:tc>
        <w:tc>
          <w:tcPr>
            <w:tcW w:type="dxa" w:w="3024"/>
          </w:tcPr>
          <w:p>
            <w:pPr>
              <w:spacing w:after="40"/>
            </w:pPr>
            <w:r>
              <w:rPr>
                <w:sz w:val="20"/>
              </w:rPr>
              <w:t>QR code generation</w:t>
            </w:r>
          </w:p>
        </w:tc>
        <w:tc>
          <w:tcPr>
            <w:tcW w:type="dxa" w:w="2736"/>
          </w:tcPr>
          <w:p>
            <w:pPr>
              <w:spacing w:after="40"/>
            </w:pPr>
            <w:r>
              <w:rPr>
                <w:sz w:val="20"/>
              </w:rPr>
              <w:t>New feature + new Composer dependency</w:t>
            </w:r>
          </w:p>
        </w:tc>
        <w:tc>
          <w:tcPr>
            <w:tcW w:type="dxa" w:w="2160"/>
          </w:tcPr>
          <w:p>
            <w:pPr>
              <w:spacing w:after="40"/>
            </w:pPr>
            <w:r>
              <w:rPr>
                <w:sz w:val="20"/>
              </w:rPr>
              <w:t>RD meeting notes</w:t>
            </w:r>
          </w:p>
        </w:tc>
        <w:tc>
          <w:tcPr>
            <w:tcW w:type="dxa" w:w="1440"/>
          </w:tcPr>
          <w:p>
            <w:pPr>
              <w:spacing w:after="40"/>
            </w:pPr>
            <w:r>
              <w:rPr>
                <w:sz w:val="20"/>
              </w:rPr>
              <w:t>Implemented &amp; tested §5.12</w:t>
            </w:r>
          </w:p>
        </w:tc>
      </w:tr>
      <w:tr>
        <w:tc>
          <w:tcPr>
            <w:tcW w:type="dxa" w:w="432"/>
          </w:tcPr>
          <w:p>
            <w:pPr>
              <w:spacing w:after="40"/>
            </w:pPr>
            <w:r>
              <w:rPr>
                <w:sz w:val="20"/>
              </w:rPr>
              <w:t>21</w:t>
            </w:r>
          </w:p>
        </w:tc>
        <w:tc>
          <w:tcPr>
            <w:tcW w:type="dxa" w:w="3024"/>
          </w:tcPr>
          <w:p>
            <w:pPr>
              <w:spacing w:after="40"/>
            </w:pPr>
            <w:r>
              <w:rPr>
                <w:sz w:val="20"/>
              </w:rPr>
              <w:t>Embedded GPS maps with pin</w:t>
            </w:r>
          </w:p>
        </w:tc>
        <w:tc>
          <w:tcPr>
            <w:tcW w:type="dxa" w:w="2736"/>
          </w:tcPr>
          <w:p>
            <w:pPr>
              <w:spacing w:after="40"/>
            </w:pPr>
            <w:r>
              <w:rPr>
                <w:sz w:val="20"/>
              </w:rPr>
              <w:t>New feature + new frontend library (Leaflet)</w:t>
            </w:r>
          </w:p>
        </w:tc>
        <w:tc>
          <w:tcPr>
            <w:tcW w:type="dxa" w:w="2160"/>
          </w:tcPr>
          <w:p>
            <w:pPr>
              <w:spacing w:after="40"/>
            </w:pPr>
            <w:r>
              <w:rPr>
                <w:sz w:val="20"/>
              </w:rPr>
              <w:t>RD meeting notes, Req. 2.2.1.6</w:t>
            </w:r>
          </w:p>
        </w:tc>
        <w:tc>
          <w:tcPr>
            <w:tcW w:type="dxa" w:w="1440"/>
          </w:tcPr>
          <w:p>
            <w:pPr>
              <w:spacing w:after="40"/>
            </w:pPr>
            <w:r>
              <w:rPr>
                <w:sz w:val="20"/>
              </w:rPr>
              <w:t>Implemented §5.13</w:t>
            </w:r>
          </w:p>
        </w:tc>
      </w:tr>
      <w:tr>
        <w:tc>
          <w:tcPr>
            <w:tcW w:type="dxa" w:w="432"/>
          </w:tcPr>
          <w:p>
            <w:pPr>
              <w:spacing w:after="40"/>
            </w:pPr>
            <w:r>
              <w:rPr>
                <w:sz w:val="20"/>
              </w:rPr>
              <w:t>22</w:t>
            </w:r>
          </w:p>
        </w:tc>
        <w:tc>
          <w:tcPr>
            <w:tcW w:type="dxa" w:w="3024"/>
          </w:tcPr>
          <w:p>
            <w:pPr>
              <w:spacing w:after="40"/>
            </w:pPr>
            <w:r>
              <w:rPr>
                <w:sz w:val="20"/>
              </w:rPr>
              <w:t>Guest Review Replies (owner_reply, owner_replied_at)</w:t>
            </w:r>
          </w:p>
        </w:tc>
        <w:tc>
          <w:tcPr>
            <w:tcW w:type="dxa" w:w="2736"/>
          </w:tcPr>
          <w:p>
            <w:pPr>
              <w:spacing w:after="40"/>
            </w:pPr>
            <w:r>
              <w:rPr>
                <w:sz w:val="20"/>
              </w:rPr>
              <w:t>New feature + 2 new columns on Reviews table</w:t>
            </w:r>
          </w:p>
        </w:tc>
        <w:tc>
          <w:tcPr>
            <w:tcW w:type="dxa" w:w="2160"/>
          </w:tcPr>
          <w:p>
            <w:pPr>
              <w:spacing w:after="40"/>
            </w:pPr>
            <w:r>
              <w:rPr>
                <w:sz w:val="20"/>
              </w:rPr>
              <w:t>Table 23 (Data Dictionary)</w:t>
            </w:r>
          </w:p>
        </w:tc>
        <w:tc>
          <w:tcPr>
            <w:tcW w:type="dxa" w:w="1440"/>
          </w:tcPr>
          <w:p>
            <w:pPr>
              <w:spacing w:after="40"/>
            </w:pPr>
            <w:r>
              <w:rPr>
                <w:sz w:val="20"/>
              </w:rPr>
              <w:t>Implemented &amp; tested §3.7 / §5.14</w:t>
            </w:r>
          </w:p>
        </w:tc>
      </w:tr>
      <w:tr>
        <w:tc>
          <w:tcPr>
            <w:tcW w:type="dxa" w:w="432"/>
          </w:tcPr>
          <w:p>
            <w:pPr>
              <w:spacing w:after="40"/>
            </w:pPr>
            <w:r>
              <w:rPr>
                <w:sz w:val="20"/>
              </w:rPr>
              <w:t>23</w:t>
            </w:r>
          </w:p>
        </w:tc>
        <w:tc>
          <w:tcPr>
            <w:tcW w:type="dxa" w:w="3024"/>
          </w:tcPr>
          <w:p>
            <w:pPr>
              <w:spacing w:after="40"/>
            </w:pPr>
            <w:r>
              <w:rPr>
                <w:sz w:val="20"/>
              </w:rPr>
              <w:t>Homepage copy correction (removed unbuilt-AI claims)</w:t>
            </w:r>
          </w:p>
        </w:tc>
        <w:tc>
          <w:tcPr>
            <w:tcW w:type="dxa" w:w="2736"/>
          </w:tcPr>
          <w:p>
            <w:pPr>
              <w:spacing w:after="40"/>
            </w:pPr>
            <w:r>
              <w:rPr>
                <w:sz w:val="20"/>
              </w:rPr>
              <w:t>Content/UI fix, not a schema or requirements change</w:t>
            </w:r>
          </w:p>
        </w:tc>
        <w:tc>
          <w:tcPr>
            <w:tcW w:type="dxa" w:w="2160"/>
          </w:tcPr>
          <w:p>
            <w:pPr>
              <w:spacing w:after="40"/>
            </w:pPr>
            <w:r>
              <w:rPr>
                <w:sz w:val="20"/>
              </w:rPr>
              <w:t>N/A (marketing copy)</w:t>
            </w:r>
          </w:p>
        </w:tc>
        <w:tc>
          <w:tcPr>
            <w:tcW w:type="dxa" w:w="1440"/>
          </w:tcPr>
          <w:p>
            <w:pPr>
              <w:spacing w:after="40"/>
            </w:pPr>
            <w:r>
              <w:rPr>
                <w:sz w:val="20"/>
              </w:rPr>
              <w:t>Implemented §4.6</w:t>
            </w:r>
          </w:p>
        </w:tc>
      </w:tr>
      <w:tr>
        <w:tc>
          <w:tcPr>
            <w:tcW w:type="dxa" w:w="432"/>
          </w:tcPr>
          <w:p>
            <w:pPr>
              <w:spacing w:after="40"/>
            </w:pPr>
            <w:r>
              <w:rPr>
                <w:sz w:val="20"/>
              </w:rPr>
              <w:t>24</w:t>
            </w:r>
          </w:p>
        </w:tc>
        <w:tc>
          <w:tcPr>
            <w:tcW w:type="dxa" w:w="3024"/>
          </w:tcPr>
          <w:p>
            <w:pPr>
              <w:spacing w:after="40"/>
            </w:pPr>
            <w:r>
              <w:rPr>
                <w:sz w:val="20"/>
              </w:rPr>
              <w:t>Establishment overview dashboard wired to real data</w:t>
            </w:r>
          </w:p>
        </w:tc>
        <w:tc>
          <w:tcPr>
            <w:tcW w:type="dxa" w:w="2736"/>
          </w:tcPr>
          <w:p>
            <w:pPr>
              <w:spacing w:after="40"/>
            </w:pPr>
            <w:r>
              <w:rPr>
                <w:sz w:val="20"/>
              </w:rPr>
              <w:t>UI/controller feature, reuses existing tables — no new schema</w:t>
            </w:r>
          </w:p>
        </w:tc>
        <w:tc>
          <w:tcPr>
            <w:tcW w:type="dxa" w:w="2160"/>
          </w:tcPr>
          <w:p>
            <w:pPr>
              <w:spacing w:after="40"/>
            </w:pPr>
            <w:r>
              <w:rPr>
                <w:sz w:val="20"/>
              </w:rPr>
              <w:t>N/A</w:t>
            </w:r>
          </w:p>
        </w:tc>
        <w:tc>
          <w:tcPr>
            <w:tcW w:type="dxa" w:w="1440"/>
          </w:tcPr>
          <w:p>
            <w:pPr>
              <w:spacing w:after="40"/>
            </w:pPr>
            <w:r>
              <w:rPr>
                <w:sz w:val="20"/>
              </w:rPr>
              <w:t>Implemented &amp; tested §5.15</w:t>
            </w:r>
          </w:p>
        </w:tc>
      </w:tr>
      <w:tr>
        <w:tc>
          <w:tcPr>
            <w:tcW w:type="dxa" w:w="432"/>
          </w:tcPr>
          <w:p>
            <w:pPr>
              <w:spacing w:after="40"/>
            </w:pPr>
            <w:r>
              <w:rPr>
                <w:sz w:val="20"/>
              </w:rPr>
              <w:t>25</w:t>
            </w:r>
          </w:p>
        </w:tc>
        <w:tc>
          <w:tcPr>
            <w:tcW w:type="dxa" w:w="3024"/>
          </w:tcPr>
          <w:p>
            <w:pPr>
              <w:spacing w:after="40"/>
            </w:pPr>
            <w:r>
              <w:rPr>
                <w:sz w:val="20"/>
              </w:rPr>
              <w:t>Notifications system wired up (accreditation alerts)</w:t>
            </w:r>
          </w:p>
        </w:tc>
        <w:tc>
          <w:tcPr>
            <w:tcW w:type="dxa" w:w="2736"/>
          </w:tcPr>
          <w:p>
            <w:pPr>
              <w:spacing w:after="40"/>
            </w:pPr>
            <w:r>
              <w:rPr>
                <w:sz w:val="20"/>
              </w:rPr>
              <w:t>Feature using existing Notifications table (Table 35) — no new schema</w:t>
            </w:r>
          </w:p>
        </w:tc>
        <w:tc>
          <w:tcPr>
            <w:tcW w:type="dxa" w:w="2160"/>
          </w:tcPr>
          <w:p>
            <w:pPr>
              <w:spacing w:after="40"/>
            </w:pPr>
            <w:r>
              <w:rPr>
                <w:sz w:val="20"/>
              </w:rPr>
              <w:t>Table 35 (Data Dictionary)</w:t>
            </w:r>
          </w:p>
        </w:tc>
        <w:tc>
          <w:tcPr>
            <w:tcW w:type="dxa" w:w="1440"/>
          </w:tcPr>
          <w:p>
            <w:pPr>
              <w:spacing w:after="40"/>
            </w:pPr>
            <w:r>
              <w:rPr>
                <w:sz w:val="20"/>
              </w:rPr>
              <w:t>Implemented &amp; tested §5.16</w:t>
            </w:r>
          </w:p>
        </w:tc>
      </w:tr>
      <w:tr>
        <w:tc>
          <w:tcPr>
            <w:tcW w:type="dxa" w:w="432"/>
          </w:tcPr>
          <w:p>
            <w:pPr>
              <w:spacing w:after="40"/>
            </w:pPr>
            <w:r>
              <w:rPr>
                <w:sz w:val="20"/>
              </w:rPr>
              <w:t>26</w:t>
            </w:r>
          </w:p>
        </w:tc>
        <w:tc>
          <w:tcPr>
            <w:tcW w:type="dxa" w:w="3024"/>
          </w:tcPr>
          <w:p>
            <w:pPr>
              <w:spacing w:after="40"/>
            </w:pPr>
            <w:r>
              <w:rPr>
                <w:sz w:val="20"/>
              </w:rPr>
              <w:t>Tour Operators (new 6th listing type)</w:t>
            </w:r>
          </w:p>
        </w:tc>
        <w:tc>
          <w:tcPr>
            <w:tcW w:type="dxa" w:w="2736"/>
          </w:tcPr>
          <w:p>
            <w:pPr>
              <w:spacing w:after="40"/>
            </w:pPr>
            <w:r>
              <w:rPr>
                <w:sz w:val="20"/>
              </w:rPr>
              <w:t>New database table + new column on Packages + full public/admin/portal support</w:t>
            </w:r>
          </w:p>
        </w:tc>
        <w:tc>
          <w:tcPr>
            <w:tcW w:type="dxa" w:w="2160"/>
          </w:tcPr>
          <w:p>
            <w:pPr>
              <w:spacing w:after="40"/>
            </w:pPr>
            <w:r>
              <w:rPr>
                <w:sz w:val="20"/>
              </w:rPr>
              <w:t>Fig. 4 (ERD), Sec. 2.3.6, Table 18, RD meeting notes</w:t>
            </w:r>
          </w:p>
        </w:tc>
        <w:tc>
          <w:tcPr>
            <w:tcW w:type="dxa" w:w="1440"/>
          </w:tcPr>
          <w:p>
            <w:pPr>
              <w:spacing w:after="40"/>
            </w:pPr>
            <w:r>
              <w:rPr>
                <w:sz w:val="20"/>
              </w:rPr>
              <w:t>Implemented &amp; tested §3.8 / §5.17</w:t>
            </w:r>
          </w:p>
        </w:tc>
      </w:tr>
      <w:tr>
        <w:tc>
          <w:tcPr>
            <w:tcW w:type="dxa" w:w="432"/>
          </w:tcPr>
          <w:p>
            <w:pPr>
              <w:spacing w:after="40"/>
            </w:pPr>
            <w:r>
              <w:rPr>
                <w:sz w:val="20"/>
              </w:rPr>
              <w:t>27</w:t>
            </w:r>
          </w:p>
        </w:tc>
        <w:tc>
          <w:tcPr>
            <w:tcW w:type="dxa" w:w="3024"/>
          </w:tcPr>
          <w:p>
            <w:pPr>
              <w:spacing w:after="40"/>
            </w:pPr>
            <w:r>
              <w:rPr>
                <w:sz w:val="20"/>
              </w:rPr>
              <w:t>Post-Tour Operators regression fixes (report + header/tabs text-wrap)</w:t>
            </w:r>
          </w:p>
        </w:tc>
        <w:tc>
          <w:tcPr>
            <w:tcW w:type="dxa" w:w="2736"/>
          </w:tcPr>
          <w:p>
            <w:pPr>
              <w:spacing w:after="40"/>
            </w:pPr>
            <w:r>
              <w:rPr>
                <w:sz w:val="20"/>
              </w:rPr>
              <w:t>Bug fixes, no schema or requirements change</w:t>
            </w:r>
          </w:p>
        </w:tc>
        <w:tc>
          <w:tcPr>
            <w:tcW w:type="dxa" w:w="2160"/>
          </w:tcPr>
          <w:p>
            <w:pPr>
              <w:spacing w:after="40"/>
            </w:pPr>
            <w:r>
              <w:rPr>
                <w:sz w:val="20"/>
              </w:rPr>
              <w:t>N/A</w:t>
            </w:r>
          </w:p>
        </w:tc>
        <w:tc>
          <w:tcPr>
            <w:tcW w:type="dxa" w:w="1440"/>
          </w:tcPr>
          <w:p>
            <w:pPr>
              <w:spacing w:after="40"/>
            </w:pPr>
            <w:r>
              <w:rPr>
                <w:sz w:val="20"/>
              </w:rPr>
              <w:t>Fixed &amp; tested §5.18</w:t>
            </w:r>
          </w:p>
        </w:tc>
      </w:tr>
      <w:tr>
        <w:tc>
          <w:tcPr>
            <w:tcW w:type="dxa" w:w="432"/>
          </w:tcPr>
          <w:p>
            <w:pPr>
              <w:spacing w:after="40"/>
            </w:pPr>
            <w:r>
              <w:rPr>
                <w:sz w:val="20"/>
              </w:rPr>
              <w:t>28</w:t>
            </w:r>
          </w:p>
        </w:tc>
        <w:tc>
          <w:tcPr>
            <w:tcW w:type="dxa" w:w="3024"/>
          </w:tcPr>
          <w:p>
            <w:pPr>
              <w:spacing w:after="40"/>
            </w:pPr>
            <w:r>
              <w:rPr>
                <w:sz w:val="20"/>
              </w:rPr>
              <w:t>Content-Based Recommendation engine (Equations 1—6)</w:t>
            </w:r>
          </w:p>
        </w:tc>
        <w:tc>
          <w:tcPr>
            <w:tcW w:type="dxa" w:w="2736"/>
          </w:tcPr>
          <w:p>
            <w:pPr>
              <w:spacing w:after="40"/>
            </w:pPr>
            <w:r>
              <w:rPr>
                <w:sz w:val="20"/>
              </w:rPr>
              <w:t>New service class, implements the full Destination Recommendation Score</w:t>
            </w:r>
          </w:p>
        </w:tc>
        <w:tc>
          <w:tcPr>
            <w:tcW w:type="dxa" w:w="2160"/>
          </w:tcPr>
          <w:p>
            <w:pPr>
              <w:spacing w:after="40"/>
            </w:pPr>
            <w:r>
              <w:rPr>
                <w:sz w:val="20"/>
              </w:rPr>
              <w:t>Sec. 2.3.3, Table 5/6, Req. 2.2.1.4 / 2.2.3.1.3</w:t>
            </w:r>
          </w:p>
        </w:tc>
        <w:tc>
          <w:tcPr>
            <w:tcW w:type="dxa" w:w="1440"/>
          </w:tcPr>
          <w:p>
            <w:pPr>
              <w:spacing w:after="40"/>
            </w:pPr>
            <w:r>
              <w:rPr>
                <w:sz w:val="20"/>
              </w:rPr>
              <w:t>Implemented &amp; tested §5.19</w:t>
            </w:r>
          </w:p>
        </w:tc>
      </w:tr>
      <w:tr>
        <w:tc>
          <w:tcPr>
            <w:tcW w:type="dxa" w:w="432"/>
          </w:tcPr>
          <w:p>
            <w:pPr>
              <w:spacing w:after="40"/>
            </w:pPr>
            <w:r>
              <w:rPr>
                <w:sz w:val="20"/>
              </w:rPr>
              <w:t>29</w:t>
            </w:r>
          </w:p>
        </w:tc>
        <w:tc>
          <w:tcPr>
            <w:tcW w:type="dxa" w:w="3024"/>
          </w:tcPr>
          <w:p>
            <w:pPr>
              <w:spacing w:after="40"/>
            </w:pPr>
            <w:r>
              <w:rPr>
                <w:sz w:val="20"/>
              </w:rPr>
              <w:t>Association Rule Mining via Apriori Algorithm (Equations 8—9)</w:t>
            </w:r>
          </w:p>
        </w:tc>
        <w:tc>
          <w:tcPr>
            <w:tcW w:type="dxa" w:w="2736"/>
          </w:tcPr>
          <w:p>
            <w:pPr>
              <w:spacing w:after="40"/>
            </w:pPr>
            <w:r>
              <w:rPr>
                <w:sz w:val="20"/>
              </w:rPr>
              <w:t>New service class + realistic seeded visitation dataset</w:t>
            </w:r>
          </w:p>
        </w:tc>
        <w:tc>
          <w:tcPr>
            <w:tcW w:type="dxa" w:w="2160"/>
          </w:tcPr>
          <w:p>
            <w:pPr>
              <w:spacing w:after="40"/>
            </w:pPr>
            <w:r>
              <w:rPr>
                <w:sz w:val="20"/>
              </w:rPr>
              <w:t>Sec. 2.3.4, Req. 2.2.1.12 / 2.2.3.1.6</w:t>
            </w:r>
          </w:p>
        </w:tc>
        <w:tc>
          <w:tcPr>
            <w:tcW w:type="dxa" w:w="1440"/>
          </w:tcPr>
          <w:p>
            <w:pPr>
              <w:spacing w:after="40"/>
            </w:pPr>
            <w:r>
              <w:rPr>
                <w:sz w:val="20"/>
              </w:rPr>
              <w:t>Implemented &amp; tested §5.20</w:t>
            </w:r>
          </w:p>
        </w:tc>
      </w:tr>
      <w:tr>
        <w:tc>
          <w:tcPr>
            <w:tcW w:type="dxa" w:w="432"/>
          </w:tcPr>
          <w:p>
            <w:pPr>
              <w:spacing w:after="40"/>
            </w:pPr>
            <w:r>
              <w:rPr>
                <w:sz w:val="20"/>
              </w:rPr>
              <w:t>30</w:t>
            </w:r>
          </w:p>
        </w:tc>
        <w:tc>
          <w:tcPr>
            <w:tcW w:type="dxa" w:w="3024"/>
          </w:tcPr>
          <w:p>
            <w:pPr>
              <w:spacing w:after="40"/>
            </w:pPr>
            <w:r>
              <w:rPr>
                <w:sz w:val="20"/>
              </w:rPr>
              <w:t>AI-Driven Itinerary Generation (Haversine + Nearest Neighbor)</w:t>
            </w:r>
          </w:p>
        </w:tc>
        <w:tc>
          <w:tcPr>
            <w:tcW w:type="dxa" w:w="2736"/>
          </w:tcPr>
          <w:p>
            <w:pPr>
              <w:spacing w:after="40"/>
            </w:pPr>
            <w:r>
              <w:rPr>
                <w:sz w:val="20"/>
              </w:rPr>
              <w:t>New service + controller + dashboard UI, auto-triggered after preferences survey</w:t>
            </w:r>
          </w:p>
        </w:tc>
        <w:tc>
          <w:tcPr>
            <w:tcW w:type="dxa" w:w="2160"/>
          </w:tcPr>
          <w:p>
            <w:pPr>
              <w:spacing w:after="40"/>
            </w:pPr>
            <w:r>
              <w:rPr>
                <w:sz w:val="20"/>
              </w:rPr>
              <w:t>Sec. 2.3.4, Req. 2.2.1.5 / 2.2.3.1.4</w:t>
            </w:r>
          </w:p>
        </w:tc>
        <w:tc>
          <w:tcPr>
            <w:tcW w:type="dxa" w:w="1440"/>
          </w:tcPr>
          <w:p>
            <w:pPr>
              <w:spacing w:after="40"/>
            </w:pPr>
            <w:r>
              <w:rPr>
                <w:sz w:val="20"/>
              </w:rPr>
              <w:t>Implemented &amp; tested §5.21</w:t>
            </w:r>
          </w:p>
        </w:tc>
      </w:tr>
      <w:tr>
        <w:tc>
          <w:tcPr>
            <w:tcW w:type="dxa" w:w="432"/>
          </w:tcPr>
          <w:p>
            <w:pPr>
              <w:spacing w:after="40"/>
            </w:pPr>
            <w:r>
              <w:rPr>
                <w:sz w:val="20"/>
              </w:rPr>
              <w:t>31</w:t>
            </w:r>
          </w:p>
        </w:tc>
        <w:tc>
          <w:tcPr>
            <w:tcW w:type="dxa" w:w="3024"/>
          </w:tcPr>
          <w:p>
            <w:pPr>
              <w:spacing w:after="40"/>
            </w:pPr>
            <w:r>
              <w:rPr>
                <w:sz w:val="20"/>
              </w:rPr>
              <w:t>Chatbot Assistance Module (Groq API, free tier)</w:t>
            </w:r>
          </w:p>
        </w:tc>
        <w:tc>
          <w:tcPr>
            <w:tcW w:type="dxa" w:w="2736"/>
          </w:tcPr>
          <w:p>
            <w:pPr>
              <w:spacing w:after="40"/>
            </w:pPr>
            <w:r>
              <w:rPr>
                <w:sz w:val="20"/>
              </w:rPr>
              <w:t>New service + controller + site-wide floating widget, rule-based fallback</w:t>
            </w:r>
          </w:p>
        </w:tc>
        <w:tc>
          <w:tcPr>
            <w:tcW w:type="dxa" w:w="2160"/>
          </w:tcPr>
          <w:p>
            <w:pPr>
              <w:spacing w:after="40"/>
            </w:pPr>
            <w:r>
              <w:rPr>
                <w:sz w:val="20"/>
              </w:rPr>
              <w:t>Req. 2.2.1.13 / 2.2.3.1.10</w:t>
            </w:r>
          </w:p>
        </w:tc>
        <w:tc>
          <w:tcPr>
            <w:tcW w:type="dxa" w:w="1440"/>
          </w:tcPr>
          <w:p>
            <w:pPr>
              <w:spacing w:after="40"/>
            </w:pPr>
            <w:r>
              <w:rPr>
                <w:sz w:val="20"/>
              </w:rPr>
              <w:t>Implemented &amp; tested §5.22</w:t>
            </w:r>
          </w:p>
        </w:tc>
      </w:tr>
      <w:tr>
        <w:tc>
          <w:tcPr>
            <w:tcW w:type="dxa" w:w="432"/>
          </w:tcPr>
          <w:p>
            <w:pPr>
              <w:spacing w:after="40"/>
            </w:pPr>
            <w:r>
              <w:rPr>
                <w:sz w:val="20"/>
              </w:rPr>
              <w:t>32</w:t>
            </w:r>
          </w:p>
        </w:tc>
        <w:tc>
          <w:tcPr>
            <w:tcW w:type="dxa" w:w="3024"/>
          </w:tcPr>
          <w:p>
            <w:pPr>
              <w:spacing w:after="40"/>
            </w:pPr>
            <w:r>
              <w:rPr>
                <w:sz w:val="20"/>
              </w:rPr>
              <w:t>QR/Manual Check-In + Verified Visits Report + DB uniqueness constraint</w:t>
            </w:r>
          </w:p>
        </w:tc>
        <w:tc>
          <w:tcPr>
            <w:tcW w:type="dxa" w:w="2736"/>
          </w:tcPr>
          <w:p>
            <w:pPr>
              <w:spacing w:after="40"/>
            </w:pPr>
            <w:r>
              <w:rPr>
                <w:sz w:val="20"/>
              </w:rPr>
              <w:t>New write path for existing Table 28 (Tourist Visits) + new admin report + new UNIQUE constraint</w:t>
            </w:r>
          </w:p>
        </w:tc>
        <w:tc>
          <w:tcPr>
            <w:tcW w:type="dxa" w:w="2160"/>
          </w:tcPr>
          <w:p>
            <w:pPr>
              <w:spacing w:after="40"/>
            </w:pPr>
            <w:r>
              <w:rPr>
                <w:sz w:val="20"/>
              </w:rPr>
              <w:t>Table 28, Table 2 (QR row), Sec. 2.2.3.1.9</w:t>
            </w:r>
          </w:p>
        </w:tc>
        <w:tc>
          <w:tcPr>
            <w:tcW w:type="dxa" w:w="1440"/>
          </w:tcPr>
          <w:p>
            <w:pPr>
              <w:spacing w:after="40"/>
            </w:pPr>
            <w:r>
              <w:rPr>
                <w:sz w:val="20"/>
              </w:rPr>
              <w:t>Implemented &amp; tested §5.23</w:t>
            </w:r>
          </w:p>
        </w:tc>
      </w:tr>
    </w:tbl>
    <w:p/>
    <w:p>
      <w:pPr>
        <w:pStyle w:val="Heading1"/>
      </w:pPr>
      <w:r>
        <w:rPr>
          <w:color w:val="1B3A2B"/>
        </w:rPr>
        <w:t>3. Database Schema Additions</w:t>
      </w:r>
    </w:p>
    <w:p>
      <w:r>
        <w:rPr>
          <w:b w:val="0"/>
          <w:i w:val="0"/>
          <w:sz w:val="22"/>
        </w:rPr>
        <w:t>Before listing the additions, note the reassurance: the core 28 tables of your data dictionary (Tables 13—40) were re-checked field-by-field, data type by data type, and length by length against the actual migration files. They match exactly — nothing was renamed, dropped, or silently changed. Three structural additions were made since the proposal, listed below.</w:t>
      </w:r>
    </w:p>
    <w:p>
      <w:pPr>
        <w:pStyle w:val="Heading2"/>
      </w:pPr>
      <w:r>
        <w:rPr>
          <w:color w:val="1B3A2B"/>
        </w:rPr>
        <w:t>3.1 New Table: listing_photos</w:t>
      </w:r>
    </w:p>
    <w:p>
      <w:r>
        <w:rPr>
          <w:b w:val="0"/>
          <w:i w:val="0"/>
          <w:sz w:val="22"/>
        </w:rPr>
        <w:t>Your original data dictionary gives every listing (Destinations, Accommodations, Restaurants, Packages, Souvenir Centers) exactly one image field: image_path (VARCHAR 255). That design supports a single cover photo per listing.</w:t>
      </w:r>
    </w:p>
    <w:p>
      <w:r>
        <w:rPr>
          <w:b w:val="0"/>
          <w:i w:val="0"/>
          <w:sz w:val="22"/>
        </w:rPr>
        <w:t>When the photo upload feature was requested — a multi-photo gallery in the style of Airbnb/Agoda, where an establishment can upload many categorized photos and tourists can swipe through them — a single image_path field could no longer hold the data. A new child table was added: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2F5233"/>
          </w:tcPr>
          <w:p>
            <w:r>
              <w:rPr>
                <w:b/>
                <w:color w:val="FFFFFF"/>
              </w:rPr>
              <w:t>Field Name</w:t>
            </w:r>
          </w:p>
        </w:tc>
        <w:tc>
          <w:tcPr>
            <w:tcW w:type="dxa" w:w="4320"/>
            <w:shd w:val="clear" w:color="auto" w:fill="2F5233"/>
          </w:tcPr>
          <w:p>
            <w:r>
              <w:rPr>
                <w:b/>
                <w:color w:val="FFFFFF"/>
              </w:rPr>
              <w:t>Description</w:t>
            </w:r>
          </w:p>
        </w:tc>
        <w:tc>
          <w:tcPr>
            <w:tcW w:type="dxa" w:w="1296"/>
            <w:shd w:val="clear" w:color="auto" w:fill="2F5233"/>
          </w:tcPr>
          <w:p>
            <w:r>
              <w:rPr>
                <w:b/>
                <w:color w:val="FFFFFF"/>
              </w:rPr>
              <w:t>Data Type</w:t>
            </w:r>
          </w:p>
        </w:tc>
        <w:tc>
          <w:tcPr>
            <w:tcW w:type="dxa" w:w="864"/>
            <w:shd w:val="clear" w:color="auto" w:fill="2F5233"/>
          </w:tcPr>
          <w:p>
            <w:r>
              <w:rPr>
                <w:b/>
                <w:color w:val="FFFFFF"/>
              </w:rPr>
              <w:t>Length</w:t>
            </w:r>
          </w:p>
        </w:tc>
        <w:tc>
          <w:tcPr>
            <w:tcW w:type="dxa" w:w="1728"/>
            <w:shd w:val="clear" w:color="auto" w:fill="2F5233"/>
          </w:tcPr>
          <w:p>
            <w:r>
              <w:rPr>
                <w:b/>
                <w:color w:val="FFFFFF"/>
              </w:rPr>
              <w:t>Constraint</w:t>
            </w:r>
          </w:p>
        </w:tc>
      </w:tr>
      <w:tr>
        <w:tc>
          <w:tcPr>
            <w:tcW w:type="dxa" w:w="1584"/>
          </w:tcPr>
          <w:p>
            <w:pPr>
              <w:spacing w:after="40"/>
            </w:pPr>
            <w:r>
              <w:rPr>
                <w:sz w:val="20"/>
              </w:rPr>
              <w:t>id</w:t>
            </w:r>
          </w:p>
        </w:tc>
        <w:tc>
          <w:tcPr>
            <w:tcW w:type="dxa" w:w="4320"/>
          </w:tcPr>
          <w:p>
            <w:pPr>
              <w:spacing w:after="40"/>
            </w:pPr>
            <w:r>
              <w:rPr>
                <w:sz w:val="20"/>
              </w:rPr>
              <w:t>Unique identifier of the photo record</w:t>
            </w:r>
          </w:p>
        </w:tc>
        <w:tc>
          <w:tcPr>
            <w:tcW w:type="dxa" w:w="1296"/>
          </w:tcPr>
          <w:p>
            <w:pPr>
              <w:spacing w:after="40"/>
            </w:pPr>
            <w:r>
              <w:rPr>
                <w:sz w:val="20"/>
              </w:rPr>
              <w:t>BIGINT</w:t>
            </w:r>
          </w:p>
        </w:tc>
        <w:tc>
          <w:tcPr>
            <w:tcW w:type="dxa" w:w="864"/>
          </w:tcPr>
          <w:p>
            <w:pPr>
              <w:spacing w:after="40"/>
            </w:pPr>
            <w:r>
              <w:rPr>
                <w:sz w:val="20"/>
              </w:rPr>
              <w:t>20</w:t>
            </w:r>
          </w:p>
        </w:tc>
        <w:tc>
          <w:tcPr>
            <w:tcW w:type="dxa" w:w="1728"/>
          </w:tcPr>
          <w:p>
            <w:pPr>
              <w:spacing w:after="40"/>
            </w:pPr>
            <w:r>
              <w:rPr>
                <w:sz w:val="20"/>
              </w:rPr>
              <w:t>Primary Key</w:t>
            </w:r>
          </w:p>
        </w:tc>
      </w:tr>
      <w:tr>
        <w:tc>
          <w:tcPr>
            <w:tcW w:type="dxa" w:w="1584"/>
          </w:tcPr>
          <w:p>
            <w:pPr>
              <w:spacing w:after="40"/>
            </w:pPr>
            <w:r>
              <w:rPr>
                <w:sz w:val="20"/>
              </w:rPr>
              <w:t>listing_kind</w:t>
            </w:r>
          </w:p>
        </w:tc>
        <w:tc>
          <w:tcPr>
            <w:tcW w:type="dxa" w:w="4320"/>
          </w:tcPr>
          <w:p>
            <w:pPr>
              <w:spacing w:after="40"/>
            </w:pPr>
            <w:r>
              <w:rPr>
                <w:sz w:val="20"/>
              </w:rPr>
              <w:t>Type of listing the photo belongs to (destination, accommodation, restaurant, package, souvenir_center)</w:t>
            </w:r>
          </w:p>
        </w:tc>
        <w:tc>
          <w:tcPr>
            <w:tcW w:type="dxa" w:w="1296"/>
          </w:tcPr>
          <w:p>
            <w:pPr>
              <w:spacing w:after="40"/>
            </w:pPr>
            <w:r>
              <w:rPr>
                <w:sz w:val="20"/>
              </w:rPr>
              <w:t>VARCHAR</w:t>
            </w:r>
          </w:p>
        </w:tc>
        <w:tc>
          <w:tcPr>
            <w:tcW w:type="dxa" w:w="864"/>
          </w:tcPr>
          <w:p>
            <w:pPr>
              <w:spacing w:after="40"/>
            </w:pPr>
            <w:r>
              <w:rPr>
                <w:sz w:val="20"/>
              </w:rPr>
              <w:t>30</w:t>
            </w:r>
          </w:p>
        </w:tc>
        <w:tc>
          <w:tcPr>
            <w:tcW w:type="dxa" w:w="1728"/>
          </w:tcPr>
          <w:p>
            <w:pPr>
              <w:spacing w:after="40"/>
            </w:pPr>
            <w:r>
              <w:rPr>
                <w:sz w:val="20"/>
              </w:rPr>
              <w:t>Not Null</w:t>
            </w:r>
          </w:p>
        </w:tc>
      </w:tr>
      <w:tr>
        <w:tc>
          <w:tcPr>
            <w:tcW w:type="dxa" w:w="1584"/>
          </w:tcPr>
          <w:p>
            <w:pPr>
              <w:spacing w:after="40"/>
            </w:pPr>
            <w:r>
              <w:rPr>
                <w:sz w:val="20"/>
              </w:rPr>
              <w:t>listing_id</w:t>
            </w:r>
          </w:p>
        </w:tc>
        <w:tc>
          <w:tcPr>
            <w:tcW w:type="dxa" w:w="4320"/>
          </w:tcPr>
          <w:p>
            <w:pPr>
              <w:spacing w:after="40"/>
            </w:pPr>
            <w:r>
              <w:rPr>
                <w:sz w:val="20"/>
              </w:rPr>
              <w:t>ID of the specific listing the photo belongs to</w:t>
            </w:r>
          </w:p>
        </w:tc>
        <w:tc>
          <w:tcPr>
            <w:tcW w:type="dxa" w:w="1296"/>
          </w:tcPr>
          <w:p>
            <w:pPr>
              <w:spacing w:after="40"/>
            </w:pPr>
            <w:r>
              <w:rPr>
                <w:sz w:val="20"/>
              </w:rPr>
              <w:t>BIGINT</w:t>
            </w:r>
          </w:p>
        </w:tc>
        <w:tc>
          <w:tcPr>
            <w:tcW w:type="dxa" w:w="864"/>
          </w:tcPr>
          <w:p>
            <w:pPr>
              <w:spacing w:after="40"/>
            </w:pPr>
            <w:r>
              <w:rPr>
                <w:sz w:val="20"/>
              </w:rPr>
              <w:t>20</w:t>
            </w:r>
          </w:p>
        </w:tc>
        <w:tc>
          <w:tcPr>
            <w:tcW w:type="dxa" w:w="1728"/>
          </w:tcPr>
          <w:p>
            <w:pPr>
              <w:spacing w:after="40"/>
            </w:pPr>
            <w:r>
              <w:rPr>
                <w:sz w:val="20"/>
              </w:rPr>
              <w:t>Not Null</w:t>
            </w:r>
          </w:p>
        </w:tc>
      </w:tr>
      <w:tr>
        <w:tc>
          <w:tcPr>
            <w:tcW w:type="dxa" w:w="1584"/>
          </w:tcPr>
          <w:p>
            <w:pPr>
              <w:spacing w:after="40"/>
            </w:pPr>
            <w:r>
              <w:rPr>
                <w:sz w:val="20"/>
              </w:rPr>
              <w:t>path</w:t>
            </w:r>
          </w:p>
        </w:tc>
        <w:tc>
          <w:tcPr>
            <w:tcW w:type="dxa" w:w="4320"/>
          </w:tcPr>
          <w:p>
            <w:pPr>
              <w:spacing w:after="40"/>
            </w:pPr>
            <w:r>
              <w:rPr>
                <w:sz w:val="20"/>
              </w:rPr>
              <w:t>Storage path of the uploaded photo file</w:t>
            </w:r>
          </w:p>
        </w:tc>
        <w:tc>
          <w:tcPr>
            <w:tcW w:type="dxa" w:w="1296"/>
          </w:tcPr>
          <w:p>
            <w:pPr>
              <w:spacing w:after="40"/>
            </w:pPr>
            <w:r>
              <w:rPr>
                <w:sz w:val="20"/>
              </w:rPr>
              <w:t>VARCHAR</w:t>
            </w:r>
          </w:p>
        </w:tc>
        <w:tc>
          <w:tcPr>
            <w:tcW w:type="dxa" w:w="864"/>
          </w:tcPr>
          <w:p>
            <w:pPr>
              <w:spacing w:after="40"/>
            </w:pPr>
            <w:r>
              <w:rPr>
                <w:sz w:val="20"/>
              </w:rPr>
              <w:t>255</w:t>
            </w:r>
          </w:p>
        </w:tc>
        <w:tc>
          <w:tcPr>
            <w:tcW w:type="dxa" w:w="1728"/>
          </w:tcPr>
          <w:p>
            <w:pPr>
              <w:spacing w:after="40"/>
            </w:pPr>
            <w:r>
              <w:rPr>
                <w:sz w:val="20"/>
              </w:rPr>
              <w:t>Not Null</w:t>
            </w:r>
          </w:p>
        </w:tc>
      </w:tr>
      <w:tr>
        <w:tc>
          <w:tcPr>
            <w:tcW w:type="dxa" w:w="1584"/>
          </w:tcPr>
          <w:p>
            <w:pPr>
              <w:spacing w:after="40"/>
            </w:pPr>
            <w:r>
              <w:rPr>
                <w:sz w:val="20"/>
              </w:rPr>
              <w:t>category</w:t>
            </w:r>
          </w:p>
        </w:tc>
        <w:tc>
          <w:tcPr>
            <w:tcW w:type="dxa" w:w="4320"/>
          </w:tcPr>
          <w:p>
            <w:pPr>
              <w:spacing w:after="40"/>
            </w:pPr>
            <w:r>
              <w:rPr>
                <w:sz w:val="20"/>
              </w:rPr>
              <w:t>Photo category/album label (e.g., Room, Exterior, Amenities, Food)</w:t>
            </w:r>
          </w:p>
        </w:tc>
        <w:tc>
          <w:tcPr>
            <w:tcW w:type="dxa" w:w="1296"/>
          </w:tcPr>
          <w:p>
            <w:pPr>
              <w:spacing w:after="40"/>
            </w:pPr>
            <w:r>
              <w:rPr>
                <w:sz w:val="20"/>
              </w:rPr>
              <w:t>VARCHAR</w:t>
            </w:r>
          </w:p>
        </w:tc>
        <w:tc>
          <w:tcPr>
            <w:tcW w:type="dxa" w:w="864"/>
          </w:tcPr>
          <w:p>
            <w:pPr>
              <w:spacing w:after="40"/>
            </w:pPr>
            <w:r>
              <w:rPr>
                <w:sz w:val="20"/>
              </w:rPr>
              <w:t>50</w:t>
            </w:r>
          </w:p>
        </w:tc>
        <w:tc>
          <w:tcPr>
            <w:tcW w:type="dxa" w:w="1728"/>
          </w:tcPr>
          <w:p>
            <w:pPr>
              <w:spacing w:after="40"/>
            </w:pPr>
            <w:r>
              <w:rPr>
                <w:sz w:val="20"/>
              </w:rPr>
              <w:t>Default “General”</w:t>
            </w:r>
          </w:p>
        </w:tc>
      </w:tr>
      <w:tr>
        <w:tc>
          <w:tcPr>
            <w:tcW w:type="dxa" w:w="1584"/>
          </w:tcPr>
          <w:p>
            <w:pPr>
              <w:spacing w:after="40"/>
            </w:pPr>
            <w:r>
              <w:rPr>
                <w:sz w:val="20"/>
              </w:rPr>
              <w:t>sort_order</w:t>
            </w:r>
          </w:p>
        </w:tc>
        <w:tc>
          <w:tcPr>
            <w:tcW w:type="dxa" w:w="4320"/>
          </w:tcPr>
          <w:p>
            <w:pPr>
              <w:spacing w:after="40"/>
            </w:pPr>
            <w:r>
              <w:rPr>
                <w:sz w:val="20"/>
              </w:rPr>
              <w:t>Display order of the photo within its category</w:t>
            </w:r>
          </w:p>
        </w:tc>
        <w:tc>
          <w:tcPr>
            <w:tcW w:type="dxa" w:w="1296"/>
          </w:tcPr>
          <w:p>
            <w:pPr>
              <w:spacing w:after="40"/>
            </w:pPr>
            <w:r>
              <w:rPr>
                <w:sz w:val="20"/>
              </w:rPr>
              <w:t>SMALLINT</w:t>
            </w:r>
          </w:p>
        </w:tc>
        <w:tc>
          <w:tcPr>
            <w:tcW w:type="dxa" w:w="864"/>
          </w:tcPr>
          <w:p>
            <w:pPr>
              <w:spacing w:after="40"/>
            </w:pPr>
            <w:r>
              <w:rPr>
                <w:sz w:val="20"/>
              </w:rPr>
              <w:t>-</w:t>
            </w:r>
          </w:p>
        </w:tc>
        <w:tc>
          <w:tcPr>
            <w:tcW w:type="dxa" w:w="1728"/>
          </w:tcPr>
          <w:p>
            <w:pPr>
              <w:spacing w:after="40"/>
            </w:pPr>
            <w:r>
              <w:rPr>
                <w:sz w:val="20"/>
              </w:rPr>
              <w:t>Default 0</w:t>
            </w:r>
          </w:p>
        </w:tc>
      </w:tr>
      <w:tr>
        <w:tc>
          <w:tcPr>
            <w:tcW w:type="dxa" w:w="1584"/>
          </w:tcPr>
          <w:p>
            <w:pPr>
              <w:spacing w:after="40"/>
            </w:pPr>
            <w:r>
              <w:rPr>
                <w:sz w:val="20"/>
              </w:rPr>
              <w:t>is_primary</w:t>
            </w:r>
          </w:p>
        </w:tc>
        <w:tc>
          <w:tcPr>
            <w:tcW w:type="dxa" w:w="4320"/>
          </w:tcPr>
          <w:p>
            <w:pPr>
              <w:spacing w:after="40"/>
            </w:pPr>
            <w:r>
              <w:rPr>
                <w:sz w:val="20"/>
              </w:rPr>
              <w:t>Marks the photo used as the listing’s cover image</w:t>
            </w:r>
          </w:p>
        </w:tc>
        <w:tc>
          <w:tcPr>
            <w:tcW w:type="dxa" w:w="1296"/>
          </w:tcPr>
          <w:p>
            <w:pPr>
              <w:spacing w:after="40"/>
            </w:pPr>
            <w:r>
              <w:rPr>
                <w:sz w:val="20"/>
              </w:rPr>
              <w:t>BOOLEAN</w:t>
            </w:r>
          </w:p>
        </w:tc>
        <w:tc>
          <w:tcPr>
            <w:tcW w:type="dxa" w:w="864"/>
          </w:tcPr>
          <w:p>
            <w:pPr>
              <w:spacing w:after="40"/>
            </w:pPr>
            <w:r>
              <w:rPr>
                <w:sz w:val="20"/>
              </w:rPr>
              <w:t>1</w:t>
            </w:r>
          </w:p>
        </w:tc>
        <w:tc>
          <w:tcPr>
            <w:tcW w:type="dxa" w:w="1728"/>
          </w:tcPr>
          <w:p>
            <w:pPr>
              <w:spacing w:after="40"/>
            </w:pPr>
            <w:r>
              <w:rPr>
                <w:sz w:val="20"/>
              </w:rPr>
              <w:t>Default False</w:t>
            </w:r>
          </w:p>
        </w:tc>
      </w:tr>
      <w:tr>
        <w:tc>
          <w:tcPr>
            <w:tcW w:type="dxa" w:w="1584"/>
          </w:tcPr>
          <w:p>
            <w:pPr>
              <w:spacing w:after="40"/>
            </w:pPr>
            <w:r>
              <w:rPr>
                <w:sz w:val="20"/>
              </w:rPr>
              <w:t>created_at</w:t>
            </w:r>
          </w:p>
        </w:tc>
        <w:tc>
          <w:tcPr>
            <w:tcW w:type="dxa" w:w="4320"/>
          </w:tcPr>
          <w:p>
            <w:pPr>
              <w:spacing w:after="40"/>
            </w:pPr>
            <w:r>
              <w:rPr>
                <w:sz w:val="20"/>
              </w:rPr>
              <w:t>Date and time the photo was uploaded</w:t>
            </w:r>
          </w:p>
        </w:tc>
        <w:tc>
          <w:tcPr>
            <w:tcW w:type="dxa" w:w="1296"/>
          </w:tcPr>
          <w:p>
            <w:pPr>
              <w:spacing w:after="40"/>
            </w:pPr>
            <w:r>
              <w:rPr>
                <w:sz w:val="20"/>
              </w:rPr>
              <w:t>TIMESTAMP</w:t>
            </w:r>
          </w:p>
        </w:tc>
        <w:tc>
          <w:tcPr>
            <w:tcW w:type="dxa" w:w="864"/>
          </w:tcPr>
          <w:p>
            <w:pPr>
              <w:spacing w:after="40"/>
            </w:pPr>
            <w:r>
              <w:rPr>
                <w:sz w:val="20"/>
              </w:rPr>
              <w:t>-</w:t>
            </w:r>
          </w:p>
        </w:tc>
        <w:tc>
          <w:tcPr>
            <w:tcW w:type="dxa" w:w="1728"/>
          </w:tcPr>
          <w:p>
            <w:pPr>
              <w:spacing w:after="40"/>
            </w:pPr>
            <w:r>
              <w:rPr>
                <w:sz w:val="20"/>
              </w:rPr>
              <w:t>Not Null</w:t>
            </w:r>
          </w:p>
        </w:tc>
      </w:tr>
    </w:tbl>
    <w:p/>
    <w:p>
      <w:r>
        <w:rPr>
          <w:b w:val="0"/>
          <w:i w:val="0"/>
          <w:sz w:val="22"/>
        </w:rPr>
        <w:t>Relationship: listing_photos uses the same polymorphic pattern (listing_kind + listing_id) already used by your Reviews and Accreditation Records tables, so it follows an established pattern in your own design rather than introducing a new one. Recommended update: add this table to Figure 4 (ERD) and as a new numbered table in Section 2.3.6, connected to all five listing tables the same way Reviews is connected.</w:t>
      </w:r>
    </w:p>
    <w:p>
      <w:pPr>
        <w:pStyle w:val="Heading2"/>
      </w:pPr>
      <w:r>
        <w:rPr>
          <w:color w:val="1B3A2B"/>
        </w:rPr>
        <w:t>3.2 New Field: archived_at (on 5 listing tables)</w:t>
      </w:r>
    </w:p>
    <w:p>
      <w:r>
        <w:rPr>
          <w:b w:val="0"/>
          <w:i w:val="0"/>
          <w:sz w:val="22"/>
        </w:rPr>
        <w:t>Functional Requirement 2.2.3.1.2 states: “Tourism administrators shall be able to add, update, archive, and maintain tourism records within the system.” The word “archive” is explicit in your own requirement — but Tables 14, 16, 18, 20, and 21 in the data dictionary do not include any status/archive field to make that possible.</w:t>
      </w:r>
    </w:p>
    <w:p>
      <w:r>
        <w:rPr>
          <w:b w:val="0"/>
          <w:i w:val="0"/>
          <w:sz w:val="22"/>
        </w:rPr>
        <w:t>To make Requirement 2.2.3.1.2 actually implementable, a nullable archived_at TIMESTAMP column was added to:</w:t>
      </w:r>
    </w:p>
    <w:p>
      <w:pPr>
        <w:pStyle w:val="ListBullet"/>
      </w:pPr>
      <w:r>
        <w:t>destinations</w:t>
      </w:r>
    </w:p>
    <w:p>
      <w:pPr>
        <w:pStyle w:val="ListBullet"/>
      </w:pPr>
      <w:r>
        <w:t>accommodations</w:t>
      </w:r>
    </w:p>
    <w:p>
      <w:pPr>
        <w:pStyle w:val="ListBullet"/>
      </w:pPr>
      <w:r>
        <w:t>restaurants</w:t>
      </w:r>
    </w:p>
    <w:p>
      <w:pPr>
        <w:pStyle w:val="ListBullet"/>
      </w:pPr>
      <w:r>
        <w:t>packages</w:t>
      </w:r>
    </w:p>
    <w:p>
      <w:pPr>
        <w:pStyle w:val="ListBullet"/>
      </w:pPr>
      <w:r>
        <w:t>souvenir_centers</w:t>
      </w:r>
    </w:p>
    <w:p>
      <w:r>
        <w:rPr>
          <w:b w:val="0"/>
          <w:i w:val="0"/>
          <w:sz w:val="22"/>
        </w:rPr>
        <w:t>Logic: when archived_at is NULL, the listing is “live” and shows publicly. When an admin archives a listing, archived_at is set to the current timestamp — the record is hidden from public catalog pages and detail pages (which now return a 404), but the row itself, its reviews, its photos, and its accreditation record are all left untouched in the database. This was a deliberate choice over hard-deleting rows, since your data dictionary treats reviews and accreditation records as dependent, valuable historical data.</w:t>
      </w:r>
    </w:p>
    <w:p>
      <w:r>
        <w:rPr>
          <w:b w:val="0"/>
          <w:i w:val="0"/>
          <w:sz w:val="22"/>
        </w:rPr>
        <w:t>Recommended update: add an archived_at row to Tables 14, 16, 18, 20, and 21 in Section 2.3.6, with the description “Timestamp indicating when the listing was archived by an administrator; NULL if currently active”.</w:t>
      </w:r>
    </w:p>
    <w:p>
      <w:pPr>
        <w:pStyle w:val="Heading2"/>
      </w:pPr>
      <w:r>
        <w:rPr>
          <w:color w:val="1B3A2B"/>
        </w:rPr>
        <w:t>3.3 Exit Survey Visitor-Experience Extension (New, August 7)</w:t>
      </w:r>
    </w:p>
    <w:p>
      <w:r>
        <w:rPr>
          <w:b w:val="0"/>
          <w:i w:val="0"/>
          <w:sz w:val="22"/>
        </w:rPr>
        <w:t>Your paper’s Figure 14 (“Visitor Experience Survey Interface”) describes visitors reporting their visitor profile, places visited, activities participated in, accommodations used, and souvenir centers visited. But Table 33 (Exit Surveys) in your data dictionary only has rating and comment fields — there was nowhere in the schema to actually store any of that. Since Table 10 (Sample Tourist Visitation Dataset) in your own Methods section already assumes exit surveys record “Places Visited” per response — this is literally the future input data for your Apriori Algorithm module — this gap needed to be closed for Figure 14 to be real rather than decorative.</w:t>
      </w:r>
    </w:p>
    <w:p>
      <w:r>
        <w:rPr>
          <w:b/>
          <w:i w:val="0"/>
          <w:sz w:val="22"/>
        </w:rPr>
        <w:t>Three new nullable columns were added directly to the exit_surveys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2F5233"/>
          </w:tcPr>
          <w:p>
            <w:r>
              <w:rPr>
                <w:b/>
                <w:color w:val="FFFFFF"/>
              </w:rPr>
              <w:t>Field Name</w:t>
            </w:r>
          </w:p>
        </w:tc>
        <w:tc>
          <w:tcPr>
            <w:tcW w:type="dxa" w:w="4752"/>
            <w:shd w:val="clear" w:color="auto" w:fill="2F5233"/>
          </w:tcPr>
          <w:p>
            <w:r>
              <w:rPr>
                <w:b/>
                <w:color w:val="FFFFFF"/>
              </w:rPr>
              <w:t>Description</w:t>
            </w:r>
          </w:p>
        </w:tc>
        <w:tc>
          <w:tcPr>
            <w:tcW w:type="dxa" w:w="1296"/>
            <w:shd w:val="clear" w:color="auto" w:fill="2F5233"/>
          </w:tcPr>
          <w:p>
            <w:r>
              <w:rPr>
                <w:b/>
                <w:color w:val="FFFFFF"/>
              </w:rPr>
              <w:t>Data Type</w:t>
            </w:r>
          </w:p>
        </w:tc>
        <w:tc>
          <w:tcPr>
            <w:tcW w:type="dxa" w:w="864"/>
            <w:shd w:val="clear" w:color="auto" w:fill="2F5233"/>
          </w:tcPr>
          <w:p>
            <w:r>
              <w:rPr>
                <w:b/>
                <w:color w:val="FFFFFF"/>
              </w:rPr>
              <w:t>Length</w:t>
            </w:r>
          </w:p>
        </w:tc>
        <w:tc>
          <w:tcPr>
            <w:tcW w:type="dxa" w:w="1440"/>
            <w:shd w:val="clear" w:color="auto" w:fill="2F5233"/>
          </w:tcPr>
          <w:p>
            <w:r>
              <w:rPr>
                <w:b/>
                <w:color w:val="FFFFFF"/>
              </w:rPr>
              <w:t>Constraint</w:t>
            </w:r>
          </w:p>
        </w:tc>
      </w:tr>
      <w:tr>
        <w:tc>
          <w:tcPr>
            <w:tcW w:type="dxa" w:w="1872"/>
          </w:tcPr>
          <w:p>
            <w:pPr>
              <w:spacing w:after="40"/>
            </w:pPr>
            <w:r>
              <w:rPr>
                <w:sz w:val="20"/>
              </w:rPr>
              <w:t>residency_type</w:t>
            </w:r>
          </w:p>
        </w:tc>
        <w:tc>
          <w:tcPr>
            <w:tcW w:type="dxa" w:w="4752"/>
          </w:tcPr>
          <w:p>
            <w:pPr>
              <w:spacing w:after="40"/>
            </w:pPr>
            <w:r>
              <w:rPr>
                <w:sz w:val="20"/>
              </w:rPr>
              <w:t>Visitor category: Local Resident, Domestic Tourist, or Foreign Tourist</w:t>
            </w:r>
          </w:p>
        </w:tc>
        <w:tc>
          <w:tcPr>
            <w:tcW w:type="dxa" w:w="1296"/>
          </w:tcPr>
          <w:p>
            <w:pPr>
              <w:spacing w:after="40"/>
            </w:pPr>
            <w:r>
              <w:rPr>
                <w:sz w:val="20"/>
              </w:rPr>
              <w:t>VARCHAR</w:t>
            </w:r>
          </w:p>
        </w:tc>
        <w:tc>
          <w:tcPr>
            <w:tcW w:type="dxa" w:w="864"/>
          </w:tcPr>
          <w:p>
            <w:pPr>
              <w:spacing w:after="40"/>
            </w:pPr>
            <w:r>
              <w:rPr>
                <w:sz w:val="20"/>
              </w:rPr>
              <w:t>30</w:t>
            </w:r>
          </w:p>
        </w:tc>
        <w:tc>
          <w:tcPr>
            <w:tcW w:type="dxa" w:w="1440"/>
          </w:tcPr>
          <w:p>
            <w:pPr>
              <w:spacing w:after="40"/>
            </w:pPr>
            <w:r>
              <w:rPr>
                <w:sz w:val="20"/>
              </w:rPr>
              <w:t>Nullable</w:t>
            </w:r>
          </w:p>
        </w:tc>
      </w:tr>
      <w:tr>
        <w:tc>
          <w:tcPr>
            <w:tcW w:type="dxa" w:w="1872"/>
          </w:tcPr>
          <w:p>
            <w:pPr>
              <w:spacing w:after="40"/>
            </w:pPr>
            <w:r>
              <w:rPr>
                <w:sz w:val="20"/>
              </w:rPr>
              <w:t>visitor_type</w:t>
            </w:r>
          </w:p>
        </w:tc>
        <w:tc>
          <w:tcPr>
            <w:tcW w:type="dxa" w:w="4752"/>
          </w:tcPr>
          <w:p>
            <w:pPr>
              <w:spacing w:after="40"/>
            </w:pPr>
            <w:r>
              <w:rPr>
                <w:sz w:val="20"/>
              </w:rPr>
              <w:t>Visit type: First-time Visitor, Returning Visitor, or Regular / Local</w:t>
            </w:r>
          </w:p>
        </w:tc>
        <w:tc>
          <w:tcPr>
            <w:tcW w:type="dxa" w:w="1296"/>
          </w:tcPr>
          <w:p>
            <w:pPr>
              <w:spacing w:after="40"/>
            </w:pPr>
            <w:r>
              <w:rPr>
                <w:sz w:val="20"/>
              </w:rPr>
              <w:t>VARCHAR</w:t>
            </w:r>
          </w:p>
        </w:tc>
        <w:tc>
          <w:tcPr>
            <w:tcW w:type="dxa" w:w="864"/>
          </w:tcPr>
          <w:p>
            <w:pPr>
              <w:spacing w:after="40"/>
            </w:pPr>
            <w:r>
              <w:rPr>
                <w:sz w:val="20"/>
              </w:rPr>
              <w:t>30</w:t>
            </w:r>
          </w:p>
        </w:tc>
        <w:tc>
          <w:tcPr>
            <w:tcW w:type="dxa" w:w="1440"/>
          </w:tcPr>
          <w:p>
            <w:pPr>
              <w:spacing w:after="40"/>
            </w:pPr>
            <w:r>
              <w:rPr>
                <w:sz w:val="20"/>
              </w:rPr>
              <w:t>Nullable</w:t>
            </w:r>
          </w:p>
        </w:tc>
      </w:tr>
      <w:tr>
        <w:tc>
          <w:tcPr>
            <w:tcW w:type="dxa" w:w="1872"/>
          </w:tcPr>
          <w:p>
            <w:pPr>
              <w:spacing w:after="40"/>
            </w:pPr>
            <w:r>
              <w:rPr>
                <w:sz w:val="20"/>
              </w:rPr>
              <w:t>origin</w:t>
            </w:r>
          </w:p>
        </w:tc>
        <w:tc>
          <w:tcPr>
            <w:tcW w:type="dxa" w:w="4752"/>
          </w:tcPr>
          <w:p>
            <w:pPr>
              <w:spacing w:after="40"/>
            </w:pPr>
            <w:r>
              <w:rPr>
                <w:sz w:val="20"/>
              </w:rPr>
              <w:t>Visitor’s self-reported place of origin (free text)</w:t>
            </w:r>
          </w:p>
        </w:tc>
        <w:tc>
          <w:tcPr>
            <w:tcW w:type="dxa" w:w="1296"/>
          </w:tcPr>
          <w:p>
            <w:pPr>
              <w:spacing w:after="40"/>
            </w:pPr>
            <w:r>
              <w:rPr>
                <w:sz w:val="20"/>
              </w:rPr>
              <w:t>VARCHAR</w:t>
            </w:r>
          </w:p>
        </w:tc>
        <w:tc>
          <w:tcPr>
            <w:tcW w:type="dxa" w:w="864"/>
          </w:tcPr>
          <w:p>
            <w:pPr>
              <w:spacing w:after="40"/>
            </w:pPr>
            <w:r>
              <w:rPr>
                <w:sz w:val="20"/>
              </w:rPr>
              <w:t>150</w:t>
            </w:r>
          </w:p>
        </w:tc>
        <w:tc>
          <w:tcPr>
            <w:tcW w:type="dxa" w:w="1440"/>
          </w:tcPr>
          <w:p>
            <w:pPr>
              <w:spacing w:after="40"/>
            </w:pPr>
            <w:r>
              <w:rPr>
                <w:sz w:val="20"/>
              </w:rPr>
              <w:t>Nullable</w:t>
            </w:r>
          </w:p>
        </w:tc>
      </w:tr>
    </w:tbl>
    <w:p/>
    <w:p>
      <w:r>
        <w:rPr>
          <w:b/>
          <w:i w:val="0"/>
          <w:sz w:val="22"/>
        </w:rPr>
        <w:t>Two new child tables were added, following the same polymorphic pattern as listing_photos and Reviews: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2F5233"/>
          </w:tcPr>
          <w:p>
            <w:r>
              <w:rPr>
                <w:b/>
                <w:color w:val="FFFFFF"/>
              </w:rPr>
              <w:t>Table</w:t>
            </w:r>
          </w:p>
        </w:tc>
        <w:tc>
          <w:tcPr>
            <w:tcW w:type="dxa" w:w="1584"/>
            <w:shd w:val="clear" w:color="auto" w:fill="2F5233"/>
          </w:tcPr>
          <w:p>
            <w:r>
              <w:rPr>
                <w:b/>
                <w:color w:val="FFFFFF"/>
              </w:rPr>
              <w:t>Field Name</w:t>
            </w:r>
          </w:p>
        </w:tc>
        <w:tc>
          <w:tcPr>
            <w:tcW w:type="dxa" w:w="4176"/>
            <w:shd w:val="clear" w:color="auto" w:fill="2F5233"/>
          </w:tcPr>
          <w:p>
            <w:r>
              <w:rPr>
                <w:b/>
                <w:color w:val="FFFFFF"/>
              </w:rPr>
              <w:t>Description</w:t>
            </w:r>
          </w:p>
        </w:tc>
        <w:tc>
          <w:tcPr>
            <w:tcW w:type="dxa" w:w="1440"/>
            <w:shd w:val="clear" w:color="auto" w:fill="2F5233"/>
          </w:tcPr>
          <w:p>
            <w:r>
              <w:rPr>
                <w:b/>
                <w:color w:val="FFFFFF"/>
              </w:rPr>
              <w:t>Data Type</w:t>
            </w:r>
          </w:p>
        </w:tc>
        <w:tc>
          <w:tcPr>
            <w:tcW w:type="dxa" w:w="1152"/>
            <w:shd w:val="clear" w:color="auto" w:fill="2F5233"/>
          </w:tcPr>
          <w:p>
            <w:r>
              <w:rPr>
                <w:b/>
                <w:color w:val="FFFFFF"/>
              </w:rPr>
              <w:t>Constraint</w:t>
            </w:r>
          </w:p>
        </w:tc>
      </w:tr>
      <w:tr>
        <w:tc>
          <w:tcPr>
            <w:tcW w:type="dxa" w:w="2160"/>
          </w:tcPr>
          <w:p>
            <w:pPr>
              <w:spacing w:after="40"/>
            </w:pPr>
            <w:r>
              <w:rPr>
                <w:sz w:val="20"/>
              </w:rPr>
              <w:t>exit_survey_visits</w:t>
            </w:r>
          </w:p>
        </w:tc>
        <w:tc>
          <w:tcPr>
            <w:tcW w:type="dxa" w:w="1584"/>
          </w:tcPr>
          <w:p>
            <w:pPr>
              <w:spacing w:after="40"/>
            </w:pPr>
            <w:r>
              <w:rPr>
                <w:sz w:val="20"/>
              </w:rPr>
              <w:t>id</w:t>
            </w:r>
          </w:p>
        </w:tc>
        <w:tc>
          <w:tcPr>
            <w:tcW w:type="dxa" w:w="4176"/>
          </w:tcPr>
          <w:p>
            <w:pPr>
              <w:spacing w:after="40"/>
            </w:pPr>
            <w:r>
              <w:rPr>
                <w:sz w:val="20"/>
              </w:rPr>
              <w:t>Unique identifier of the visit record</w:t>
            </w:r>
          </w:p>
        </w:tc>
        <w:tc>
          <w:tcPr>
            <w:tcW w:type="dxa" w:w="1440"/>
          </w:tcPr>
          <w:p>
            <w:pPr>
              <w:spacing w:after="40"/>
            </w:pPr>
            <w:r>
              <w:rPr>
                <w:sz w:val="20"/>
              </w:rPr>
              <w:t>BIGINT</w:t>
            </w:r>
          </w:p>
        </w:tc>
        <w:tc>
          <w:tcPr>
            <w:tcW w:type="dxa" w:w="1152"/>
          </w:tcPr>
          <w:p>
            <w:pPr>
              <w:spacing w:after="40"/>
            </w:pPr>
            <w:r>
              <w:rPr>
                <w:sz w:val="20"/>
              </w:rPr>
              <w:t>Primary Key</w:t>
            </w:r>
          </w:p>
        </w:tc>
      </w:tr>
      <w:tr>
        <w:tc>
          <w:tcPr>
            <w:tcW w:type="dxa" w:w="2160"/>
          </w:tcPr>
          <w:p>
            <w:pPr>
              <w:spacing w:after="40"/>
            </w:pPr>
            <w:r>
              <w:rPr>
                <w:sz w:val="20"/>
              </w:rPr>
            </w:r>
          </w:p>
        </w:tc>
        <w:tc>
          <w:tcPr>
            <w:tcW w:type="dxa" w:w="1584"/>
          </w:tcPr>
          <w:p>
            <w:pPr>
              <w:spacing w:after="40"/>
            </w:pPr>
            <w:r>
              <w:rPr>
                <w:sz w:val="20"/>
              </w:rPr>
              <w:t>exit_survey_id</w:t>
            </w:r>
          </w:p>
        </w:tc>
        <w:tc>
          <w:tcPr>
            <w:tcW w:type="dxa" w:w="4176"/>
          </w:tcPr>
          <w:p>
            <w:pPr>
              <w:spacing w:after="40"/>
            </w:pPr>
            <w:r>
              <w:rPr>
                <w:sz w:val="20"/>
              </w:rPr>
              <w:t>Exit survey this record belongs to</w:t>
            </w:r>
          </w:p>
        </w:tc>
        <w:tc>
          <w:tcPr>
            <w:tcW w:type="dxa" w:w="1440"/>
          </w:tcPr>
          <w:p>
            <w:pPr>
              <w:spacing w:after="40"/>
            </w:pPr>
            <w:r>
              <w:rPr>
                <w:sz w:val="20"/>
              </w:rPr>
              <w:t>UUID</w:t>
            </w:r>
          </w:p>
        </w:tc>
        <w:tc>
          <w:tcPr>
            <w:tcW w:type="dxa" w:w="1152"/>
          </w:tcPr>
          <w:p>
            <w:pPr>
              <w:spacing w:after="40"/>
            </w:pPr>
            <w:r>
              <w:rPr>
                <w:sz w:val="20"/>
              </w:rPr>
              <w:t>Foreign Key</w:t>
            </w:r>
          </w:p>
        </w:tc>
      </w:tr>
      <w:tr>
        <w:tc>
          <w:tcPr>
            <w:tcW w:type="dxa" w:w="2160"/>
          </w:tcPr>
          <w:p>
            <w:pPr>
              <w:spacing w:after="40"/>
            </w:pPr>
            <w:r>
              <w:rPr>
                <w:sz w:val="20"/>
              </w:rPr>
            </w:r>
          </w:p>
        </w:tc>
        <w:tc>
          <w:tcPr>
            <w:tcW w:type="dxa" w:w="1584"/>
          </w:tcPr>
          <w:p>
            <w:pPr>
              <w:spacing w:after="40"/>
            </w:pPr>
            <w:r>
              <w:rPr>
                <w:sz w:val="20"/>
              </w:rPr>
              <w:t>listing_kind</w:t>
            </w:r>
          </w:p>
        </w:tc>
        <w:tc>
          <w:tcPr>
            <w:tcW w:type="dxa" w:w="4176"/>
          </w:tcPr>
          <w:p>
            <w:pPr>
              <w:spacing w:after="40"/>
            </w:pPr>
            <w:r>
              <w:rPr>
                <w:sz w:val="20"/>
              </w:rPr>
              <w:t>Type of place visited (destination, accommodation, restaurant, package, souvenir_center)</w:t>
            </w:r>
          </w:p>
        </w:tc>
        <w:tc>
          <w:tcPr>
            <w:tcW w:type="dxa" w:w="1440"/>
          </w:tcPr>
          <w:p>
            <w:pPr>
              <w:spacing w:after="40"/>
            </w:pPr>
            <w:r>
              <w:rPr>
                <w:sz w:val="20"/>
              </w:rPr>
              <w:t>VARCHAR(30)</w:t>
            </w:r>
          </w:p>
        </w:tc>
        <w:tc>
          <w:tcPr>
            <w:tcW w:type="dxa" w:w="1152"/>
          </w:tcPr>
          <w:p>
            <w:pPr>
              <w:spacing w:after="40"/>
            </w:pPr>
            <w:r>
              <w:rPr>
                <w:sz w:val="20"/>
              </w:rPr>
              <w:t>Not Null</w:t>
            </w:r>
          </w:p>
        </w:tc>
      </w:tr>
      <w:tr>
        <w:tc>
          <w:tcPr>
            <w:tcW w:type="dxa" w:w="2160"/>
          </w:tcPr>
          <w:p>
            <w:pPr>
              <w:spacing w:after="40"/>
            </w:pPr>
            <w:r>
              <w:rPr>
                <w:sz w:val="20"/>
              </w:rPr>
            </w:r>
          </w:p>
        </w:tc>
        <w:tc>
          <w:tcPr>
            <w:tcW w:type="dxa" w:w="1584"/>
          </w:tcPr>
          <w:p>
            <w:pPr>
              <w:spacing w:after="40"/>
            </w:pPr>
            <w:r>
              <w:rPr>
                <w:sz w:val="20"/>
              </w:rPr>
              <w:t>listing_id</w:t>
            </w:r>
          </w:p>
        </w:tc>
        <w:tc>
          <w:tcPr>
            <w:tcW w:type="dxa" w:w="4176"/>
          </w:tcPr>
          <w:p>
            <w:pPr>
              <w:spacing w:after="40"/>
            </w:pPr>
            <w:r>
              <w:rPr>
                <w:sz w:val="20"/>
              </w:rPr>
              <w:t>ID of the specific place visited</w:t>
            </w:r>
          </w:p>
        </w:tc>
        <w:tc>
          <w:tcPr>
            <w:tcW w:type="dxa" w:w="1440"/>
          </w:tcPr>
          <w:p>
            <w:pPr>
              <w:spacing w:after="40"/>
            </w:pPr>
            <w:r>
              <w:rPr>
                <w:sz w:val="20"/>
              </w:rPr>
              <w:t>BIGINT</w:t>
            </w:r>
          </w:p>
        </w:tc>
        <w:tc>
          <w:tcPr>
            <w:tcW w:type="dxa" w:w="1152"/>
          </w:tcPr>
          <w:p>
            <w:pPr>
              <w:spacing w:after="40"/>
            </w:pPr>
            <w:r>
              <w:rPr>
                <w:sz w:val="20"/>
              </w:rPr>
              <w:t>Not Null</w:t>
            </w:r>
          </w:p>
        </w:tc>
      </w:tr>
      <w:tr>
        <w:tc>
          <w:tcPr>
            <w:tcW w:type="dxa" w:w="2160"/>
          </w:tcPr>
          <w:p>
            <w:pPr>
              <w:spacing w:after="40"/>
            </w:pPr>
            <w:r>
              <w:rPr>
                <w:sz w:val="20"/>
              </w:rPr>
              <w:t>exit_survey_activities</w:t>
            </w:r>
          </w:p>
        </w:tc>
        <w:tc>
          <w:tcPr>
            <w:tcW w:type="dxa" w:w="1584"/>
          </w:tcPr>
          <w:p>
            <w:pPr>
              <w:spacing w:after="40"/>
            </w:pPr>
            <w:r>
              <w:rPr>
                <w:sz w:val="20"/>
              </w:rPr>
              <w:t>id</w:t>
            </w:r>
          </w:p>
        </w:tc>
        <w:tc>
          <w:tcPr>
            <w:tcW w:type="dxa" w:w="4176"/>
          </w:tcPr>
          <w:p>
            <w:pPr>
              <w:spacing w:after="40"/>
            </w:pPr>
            <w:r>
              <w:rPr>
                <w:sz w:val="20"/>
              </w:rPr>
              <w:t>Unique identifier of the activity record</w:t>
            </w:r>
          </w:p>
        </w:tc>
        <w:tc>
          <w:tcPr>
            <w:tcW w:type="dxa" w:w="1440"/>
          </w:tcPr>
          <w:p>
            <w:pPr>
              <w:spacing w:after="40"/>
            </w:pPr>
            <w:r>
              <w:rPr>
                <w:sz w:val="20"/>
              </w:rPr>
              <w:t>BIGINT</w:t>
            </w:r>
          </w:p>
        </w:tc>
        <w:tc>
          <w:tcPr>
            <w:tcW w:type="dxa" w:w="1152"/>
          </w:tcPr>
          <w:p>
            <w:pPr>
              <w:spacing w:after="40"/>
            </w:pPr>
            <w:r>
              <w:rPr>
                <w:sz w:val="20"/>
              </w:rPr>
              <w:t>Primary Key</w:t>
            </w:r>
          </w:p>
        </w:tc>
      </w:tr>
      <w:tr>
        <w:tc>
          <w:tcPr>
            <w:tcW w:type="dxa" w:w="2160"/>
          </w:tcPr>
          <w:p>
            <w:pPr>
              <w:spacing w:after="40"/>
            </w:pPr>
            <w:r>
              <w:rPr>
                <w:sz w:val="20"/>
              </w:rPr>
            </w:r>
          </w:p>
        </w:tc>
        <w:tc>
          <w:tcPr>
            <w:tcW w:type="dxa" w:w="1584"/>
          </w:tcPr>
          <w:p>
            <w:pPr>
              <w:spacing w:after="40"/>
            </w:pPr>
            <w:r>
              <w:rPr>
                <w:sz w:val="20"/>
              </w:rPr>
              <w:t>exit_survey_id</w:t>
            </w:r>
          </w:p>
        </w:tc>
        <w:tc>
          <w:tcPr>
            <w:tcW w:type="dxa" w:w="4176"/>
          </w:tcPr>
          <w:p>
            <w:pPr>
              <w:spacing w:after="40"/>
            </w:pPr>
            <w:r>
              <w:rPr>
                <w:sz w:val="20"/>
              </w:rPr>
              <w:t>Exit survey this record belongs to</w:t>
            </w:r>
          </w:p>
        </w:tc>
        <w:tc>
          <w:tcPr>
            <w:tcW w:type="dxa" w:w="1440"/>
          </w:tcPr>
          <w:p>
            <w:pPr>
              <w:spacing w:after="40"/>
            </w:pPr>
            <w:r>
              <w:rPr>
                <w:sz w:val="20"/>
              </w:rPr>
              <w:t>UUID</w:t>
            </w:r>
          </w:p>
        </w:tc>
        <w:tc>
          <w:tcPr>
            <w:tcW w:type="dxa" w:w="1152"/>
          </w:tcPr>
          <w:p>
            <w:pPr>
              <w:spacing w:after="40"/>
            </w:pPr>
            <w:r>
              <w:rPr>
                <w:sz w:val="20"/>
              </w:rPr>
              <w:t>Foreign Key</w:t>
            </w:r>
          </w:p>
        </w:tc>
      </w:tr>
      <w:tr>
        <w:tc>
          <w:tcPr>
            <w:tcW w:type="dxa" w:w="2160"/>
          </w:tcPr>
          <w:p>
            <w:pPr>
              <w:spacing w:after="40"/>
            </w:pPr>
            <w:r>
              <w:rPr>
                <w:sz w:val="20"/>
              </w:rPr>
            </w:r>
          </w:p>
        </w:tc>
        <w:tc>
          <w:tcPr>
            <w:tcW w:type="dxa" w:w="1584"/>
          </w:tcPr>
          <w:p>
            <w:pPr>
              <w:spacing w:after="40"/>
            </w:pPr>
            <w:r>
              <w:rPr>
                <w:sz w:val="20"/>
              </w:rPr>
              <w:t>activity</w:t>
            </w:r>
          </w:p>
        </w:tc>
        <w:tc>
          <w:tcPr>
            <w:tcW w:type="dxa" w:w="4176"/>
          </w:tcPr>
          <w:p>
            <w:pPr>
              <w:spacing w:after="40"/>
            </w:pPr>
            <w:r>
              <w:rPr>
                <w:sz w:val="20"/>
              </w:rPr>
              <w:t>Activity participated in (e.g., Beach &amp; Island, Hiking &amp; Trekking)</w:t>
            </w:r>
          </w:p>
        </w:tc>
        <w:tc>
          <w:tcPr>
            <w:tcW w:type="dxa" w:w="1440"/>
          </w:tcPr>
          <w:p>
            <w:pPr>
              <w:spacing w:after="40"/>
            </w:pPr>
            <w:r>
              <w:rPr>
                <w:sz w:val="20"/>
              </w:rPr>
              <w:t>VARCHAR(50)</w:t>
            </w:r>
          </w:p>
        </w:tc>
        <w:tc>
          <w:tcPr>
            <w:tcW w:type="dxa" w:w="1152"/>
          </w:tcPr>
          <w:p>
            <w:pPr>
              <w:spacing w:after="40"/>
            </w:pPr>
            <w:r>
              <w:rPr>
                <w:sz w:val="20"/>
              </w:rPr>
              <w:t>Not Null</w:t>
            </w:r>
          </w:p>
        </w:tc>
      </w:tr>
    </w:tbl>
    <w:p/>
    <w:p>
      <w:r>
        <w:rPr>
          <w:b w:val="0"/>
          <w:i w:val="0"/>
          <w:sz w:val="22"/>
        </w:rPr>
        <w:t>exit_survey_visits is deliberately separate from your existing tourist_visits table (Table 28): tourist_visits requires a logged-in tourist_id, but exit surveys are anonymous by design (no tourist_id anywhere on Table 33, and your paper explicitly states health/accessibility data is “never linked to the anonymous Exit Surveys table”). Reusing tourist_visits would have broken that anonymity guarantee, so a parallel anonymous table was used instead.</w:t>
      </w:r>
    </w:p>
    <w:p>
      <w:r>
        <w:rPr>
          <w:b w:val="0"/>
          <w:i w:val="0"/>
          <w:sz w:val="22"/>
        </w:rPr>
        <w:t>Recommended update: add exit_survey_visits and exit_survey_activities as new numbered tables in Section 2.3.6, connect exit_survey_visits to all five listing tables in Figure 4 (ERD) the same way listing_photos is connected, and add the three new fields to Table 33.</w:t>
      </w:r>
    </w:p>
    <w:p>
      <w:pPr>
        <w:pStyle w:val="Heading2"/>
      </w:pPr>
      <w:r>
        <w:rPr>
          <w:color w:val="1B3A2B"/>
        </w:rPr>
        <w:t>3.4 New Fields: latitude/longitude on Accommodations, Packages, Souvenir Centers (New, August 7)</w:t>
      </w:r>
    </w:p>
    <w:p>
      <w:r>
        <w:rPr>
          <w:b w:val="0"/>
          <w:i w:val="0"/>
          <w:sz w:val="22"/>
        </w:rPr>
        <w:t>The RD meeting notes specifically asked for a GPS pin showing the location of establishments. Checking the data dictionary: Tables 14 (Destinations) and 21 (Restaurants) already have latitude/longitude columns, but Tables 16 (Accommodations), 18 (Packages), and 20 (Souvenir Centers) do not — meaning 3 of your 5 listing types had no coordinate data to plot a real pin with. Nullable latitude (DECIMAL 10,7) and longitude (DECIMAL 10,7) columns, identical in type and precision to the existing ones on Destinations, were added to all three tables so every listing type can support a real embedded map (see §5.13).</w:t>
      </w:r>
    </w:p>
    <w:p>
      <w:r>
        <w:rPr>
          <w:b w:val="0"/>
          <w:i w:val="0"/>
          <w:sz w:val="22"/>
        </w:rPr>
        <w:t>Recommended update: add a latitude and longitude row to Tables 16, 18, and 20 in Section 2.3.6, matching the existing rows already documented for Destinations (Table 14).</w:t>
      </w:r>
    </w:p>
    <w:p>
      <w:pPr>
        <w:pStyle w:val="Heading2"/>
      </w:pPr>
      <w:r>
        <w:rPr>
          <w:color w:val="1B3A2B"/>
        </w:rPr>
        <w:t>3.5 New Fields: travel_purpose and visitor_type on Tourist Preferences (New, August 7)</w:t>
      </w:r>
    </w:p>
    <w:p>
      <w:r>
        <w:rPr>
          <w:b w:val="0"/>
          <w:i w:val="0"/>
          <w:sz w:val="22"/>
        </w:rPr>
        <w:t>This one closes a gap that already existed in your own proposal, not something the RD meeting introduced. Table 5 (Preference Category Weights) requires “Travel Purpose” (weight 15, the second-highest weight in the whole formula) and “Visitor Type” (weight 5) as scoring inputs for the future Content-Based Recommendation module. But Table 25 (Tourist Preferences) never actually had columns for either one — the Preference Match formula in Section 2.3.4 could not have been computed as written. A supplementary objectives/problem-statement note you shared confirmed the same two fields are also needed directly (“purpose of travel”, “visitor type (first time, returnee, regularly visiting)”). Two new nullable columns, travel_purpose (VARCHAR 30) and visitor_type (VARCHAR 30), were added to tourist_preferences, and the Travel Preference Survey UI (§5.6) now collects both. At the time this section was first written, only data collection existed and the scoring formula in Section 2.3.4 was deliberately deferred; as of the August 8 update the Content-Based Recommendation engine is fully built (§5.19) and both fields are now live inputs to the actual Preference Match computation, exactly as Table 5 specifies.</w:t>
      </w:r>
    </w:p>
    <w:p>
      <w:r>
        <w:rPr>
          <w:b w:val="0"/>
          <w:i w:val="0"/>
          <w:sz w:val="22"/>
        </w:rPr>
        <w:t>Recommended update: add travel_purpose and visitor_type rows to Table 25 in Section 2.3.6. Table 5’s weighted formula is now genuinely computable end-to-end — see §5.19 for confirmation the implementation matches Equations 1—6 as written.</w:t>
      </w:r>
    </w:p>
    <w:p>
      <w:pPr>
        <w:pStyle w:val="Heading2"/>
      </w:pPr>
      <w:r>
        <w:rPr>
          <w:color w:val="1B3A2B"/>
        </w:rPr>
        <w:t>3.6 New Fields: travel_purpose and actual_days_stayed on Exit Surveys (New, August 7)</w:t>
      </w:r>
    </w:p>
    <w:p>
      <w:r>
        <w:rPr>
          <w:b w:val="0"/>
          <w:i w:val="0"/>
          <w:sz w:val="22"/>
        </w:rPr>
        <w:t>Your own Problem Statement says: “DOT has no idea how long these tourists are staying in Davao City, and purpose of their travel.” The RD meeting notes independently list the same two items (“Days of stay”, “purpose of travel”) under exit-survey information to collect. Two new nullable columns were added to exit_surveys: travel_purpose (VARCHAR 30) and actual_days_stayed (SMALLINT). Unlike tourist_preferences.travel_days (a pre-trip plan), actual_days_stayed is reported after the trip, giving DOT a real, measured figure. The Admin Exit Survey Insights dashboard (§5.9) now shows an “Avg. Days Stayed” stat card and a “Purpose of Travel” breakdown chart, and both fields are included in the CSV/PDF exports.</w:t>
      </w:r>
    </w:p>
    <w:p>
      <w:r>
        <w:rPr>
          <w:b w:val="0"/>
          <w:i w:val="0"/>
          <w:sz w:val="22"/>
        </w:rPr>
        <w:t>Recommended update: add travel_purpose and actual_days_stayed rows to Table 33 in Section 2.3.6.</w:t>
      </w:r>
    </w:p>
    <w:p>
      <w:pPr>
        <w:pStyle w:val="Heading2"/>
      </w:pPr>
      <w:r>
        <w:rPr>
          <w:color w:val="1B3A2B"/>
        </w:rPr>
        <w:t>3.7 New Fields: owner_reply and owner_replied_at on Reviews (New, August 7 evening)</w:t>
      </w:r>
    </w:p>
    <w:p>
      <w:r>
        <w:rPr>
          <w:b w:val="0"/>
          <w:i w:val="0"/>
          <w:sz w:val="22"/>
        </w:rPr>
        <w:t>Requested directly: establishment owners asked to be able to respond to guest reviews on their own listing, the same way they would on Google/Facebook/Agoda. Table 23 (Data Dictionary for Reviews Table) did not have anywhere to store a reply, so two new nullable columns were added to the reviews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2F5233"/>
          </w:tcPr>
          <w:p>
            <w:r>
              <w:rPr>
                <w:b/>
                <w:color w:val="FFFFFF"/>
              </w:rPr>
              <w:t>Field Name</w:t>
            </w:r>
          </w:p>
        </w:tc>
        <w:tc>
          <w:tcPr>
            <w:tcW w:type="dxa" w:w="4464"/>
            <w:shd w:val="clear" w:color="auto" w:fill="2F5233"/>
          </w:tcPr>
          <w:p>
            <w:r>
              <w:rPr>
                <w:b/>
                <w:color w:val="FFFFFF"/>
              </w:rPr>
              <w:t>Description</w:t>
            </w:r>
          </w:p>
        </w:tc>
        <w:tc>
          <w:tcPr>
            <w:tcW w:type="dxa" w:w="1296"/>
            <w:shd w:val="clear" w:color="auto" w:fill="2F5233"/>
          </w:tcPr>
          <w:p>
            <w:r>
              <w:rPr>
                <w:b/>
                <w:color w:val="FFFFFF"/>
              </w:rPr>
              <w:t>Data Type</w:t>
            </w:r>
          </w:p>
        </w:tc>
        <w:tc>
          <w:tcPr>
            <w:tcW w:type="dxa" w:w="864"/>
            <w:shd w:val="clear" w:color="auto" w:fill="2F5233"/>
          </w:tcPr>
          <w:p>
            <w:r>
              <w:rPr>
                <w:b/>
                <w:color w:val="FFFFFF"/>
              </w:rPr>
              <w:t>Length</w:t>
            </w:r>
          </w:p>
        </w:tc>
        <w:tc>
          <w:tcPr>
            <w:tcW w:type="dxa" w:w="1440"/>
            <w:shd w:val="clear" w:color="auto" w:fill="2F5233"/>
          </w:tcPr>
          <w:p>
            <w:r>
              <w:rPr>
                <w:b/>
                <w:color w:val="FFFFFF"/>
              </w:rPr>
              <w:t>Constraint</w:t>
            </w:r>
          </w:p>
        </w:tc>
      </w:tr>
      <w:tr>
        <w:tc>
          <w:tcPr>
            <w:tcW w:type="dxa" w:w="2160"/>
          </w:tcPr>
          <w:p>
            <w:pPr>
              <w:spacing w:after="40"/>
            </w:pPr>
            <w:r>
              <w:rPr>
                <w:sz w:val="20"/>
              </w:rPr>
              <w:t>owner_reply</w:t>
            </w:r>
          </w:p>
        </w:tc>
        <w:tc>
          <w:tcPr>
            <w:tcW w:type="dxa" w:w="4464"/>
          </w:tcPr>
          <w:p>
            <w:pPr>
              <w:spacing w:after="40"/>
            </w:pPr>
            <w:r>
              <w:rPr>
                <w:sz w:val="20"/>
              </w:rPr>
              <w:t>Establishment owner’s written response to the review</w:t>
            </w:r>
          </w:p>
        </w:tc>
        <w:tc>
          <w:tcPr>
            <w:tcW w:type="dxa" w:w="1296"/>
          </w:tcPr>
          <w:p>
            <w:pPr>
              <w:spacing w:after="40"/>
            </w:pPr>
            <w:r>
              <w:rPr>
                <w:sz w:val="20"/>
              </w:rPr>
              <w:t>VARCHAR</w:t>
            </w:r>
          </w:p>
        </w:tc>
        <w:tc>
          <w:tcPr>
            <w:tcW w:type="dxa" w:w="864"/>
          </w:tcPr>
          <w:p>
            <w:pPr>
              <w:spacing w:after="40"/>
            </w:pPr>
            <w:r>
              <w:rPr>
                <w:sz w:val="20"/>
              </w:rPr>
              <w:t>500</w:t>
            </w:r>
          </w:p>
        </w:tc>
        <w:tc>
          <w:tcPr>
            <w:tcW w:type="dxa" w:w="1440"/>
          </w:tcPr>
          <w:p>
            <w:pPr>
              <w:spacing w:after="40"/>
            </w:pPr>
            <w:r>
              <w:rPr>
                <w:sz w:val="20"/>
              </w:rPr>
              <w:t>Nullable</w:t>
            </w:r>
          </w:p>
        </w:tc>
      </w:tr>
      <w:tr>
        <w:tc>
          <w:tcPr>
            <w:tcW w:type="dxa" w:w="2160"/>
          </w:tcPr>
          <w:p>
            <w:pPr>
              <w:spacing w:after="40"/>
            </w:pPr>
            <w:r>
              <w:rPr>
                <w:sz w:val="20"/>
              </w:rPr>
              <w:t>owner_replied_at</w:t>
            </w:r>
          </w:p>
        </w:tc>
        <w:tc>
          <w:tcPr>
            <w:tcW w:type="dxa" w:w="4464"/>
          </w:tcPr>
          <w:p>
            <w:pPr>
              <w:spacing w:after="40"/>
            </w:pPr>
            <w:r>
              <w:rPr>
                <w:sz w:val="20"/>
              </w:rPr>
              <w:t>Date and time the owner posted their reply</w:t>
            </w:r>
          </w:p>
        </w:tc>
        <w:tc>
          <w:tcPr>
            <w:tcW w:type="dxa" w:w="1296"/>
          </w:tcPr>
          <w:p>
            <w:pPr>
              <w:spacing w:after="40"/>
            </w:pPr>
            <w:r>
              <w:rPr>
                <w:sz w:val="20"/>
              </w:rPr>
              <w:t>TIMESTAMP</w:t>
            </w:r>
          </w:p>
        </w:tc>
        <w:tc>
          <w:tcPr>
            <w:tcW w:type="dxa" w:w="864"/>
          </w:tcPr>
          <w:p>
            <w:pPr>
              <w:spacing w:after="40"/>
            </w:pPr>
            <w:r>
              <w:rPr>
                <w:sz w:val="20"/>
              </w:rPr>
              <w:t>-</w:t>
            </w:r>
          </w:p>
        </w:tc>
        <w:tc>
          <w:tcPr>
            <w:tcW w:type="dxa" w:w="1440"/>
          </w:tcPr>
          <w:p>
            <w:pPr>
              <w:spacing w:after="40"/>
            </w:pPr>
            <w:r>
              <w:rPr>
                <w:sz w:val="20"/>
              </w:rPr>
              <w:t>Nullable</w:t>
            </w:r>
          </w:p>
        </w:tc>
      </w:tr>
    </w:tbl>
    <w:p/>
    <w:p>
      <w:r>
        <w:rPr>
          <w:b w:val="0"/>
          <w:i w:val="0"/>
          <w:sz w:val="22"/>
        </w:rPr>
        <w:t>Both fields stay NULL until an establishment owner replies; a review with no owner reply displays exactly as before. See §5.14 for the feature this supports.</w:t>
      </w:r>
    </w:p>
    <w:p>
      <w:r>
        <w:rPr>
          <w:b w:val="0"/>
          <w:i w:val="0"/>
          <w:sz w:val="22"/>
        </w:rPr>
        <w:t>Recommended update: add owner_reply and owner_replied_at rows to Table 23 in Section 2.3.6.</w:t>
      </w:r>
    </w:p>
    <w:p>
      <w:pPr>
        <w:pStyle w:val="Heading2"/>
      </w:pPr>
      <w:r>
        <w:rPr>
          <w:color w:val="1B3A2B"/>
        </w:rPr>
        <w:t>3.8 New Table: tour_operators, New Field: tour_operator_id on Packages (New, August 7 evening)</w:t>
      </w:r>
    </w:p>
    <w:p>
      <w:r>
        <w:rPr>
          <w:b w:val="0"/>
          <w:i w:val="0"/>
          <w:sz w:val="22"/>
        </w:rPr>
        <w:t>This is the largest addition in this document, and the only one this session that adds a genuinely new listing type rather than extending an existing one. The RD meeting notes list, as a standalone action item: “Include the travel and tour operators.” Checking the schema confirmed there was no way to do this properly: Table 18 (Packages) has only a provider_name VARCHAR(150) free-text field — a tour operator was just a name typed into a package, with no accreditation record of its own, no public profile, no way for DOT to verify or monitor it, and no way for the operator to register a partner account the way every other DOT-accredited business type in this system can. A new table was added, following the exact same pattern as your other listing tables (Destinations, Accommodations, Restaurants, Packages, Souvenir Centers):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2F5233"/>
          </w:tcPr>
          <w:p>
            <w:r>
              <w:rPr>
                <w:b/>
                <w:color w:val="FFFFFF"/>
              </w:rPr>
              <w:t>Field Name</w:t>
            </w:r>
          </w:p>
        </w:tc>
        <w:tc>
          <w:tcPr>
            <w:tcW w:type="dxa" w:w="4320"/>
            <w:shd w:val="clear" w:color="auto" w:fill="2F5233"/>
          </w:tcPr>
          <w:p>
            <w:r>
              <w:rPr>
                <w:b/>
                <w:color w:val="FFFFFF"/>
              </w:rPr>
              <w:t>Description</w:t>
            </w:r>
          </w:p>
        </w:tc>
        <w:tc>
          <w:tcPr>
            <w:tcW w:type="dxa" w:w="1296"/>
            <w:shd w:val="clear" w:color="auto" w:fill="2F5233"/>
          </w:tcPr>
          <w:p>
            <w:r>
              <w:rPr>
                <w:b/>
                <w:color w:val="FFFFFF"/>
              </w:rPr>
              <w:t>Data Type</w:t>
            </w:r>
          </w:p>
        </w:tc>
        <w:tc>
          <w:tcPr>
            <w:tcW w:type="dxa" w:w="864"/>
            <w:shd w:val="clear" w:color="auto" w:fill="2F5233"/>
          </w:tcPr>
          <w:p>
            <w:r>
              <w:rPr>
                <w:b/>
                <w:color w:val="FFFFFF"/>
              </w:rPr>
              <w:t>Length</w:t>
            </w:r>
          </w:p>
        </w:tc>
        <w:tc>
          <w:tcPr>
            <w:tcW w:type="dxa" w:w="1728"/>
            <w:shd w:val="clear" w:color="auto" w:fill="2F5233"/>
          </w:tcPr>
          <w:p>
            <w:r>
              <w:rPr>
                <w:b/>
                <w:color w:val="FFFFFF"/>
              </w:rPr>
              <w:t>Constraint</w:t>
            </w:r>
          </w:p>
        </w:tc>
      </w:tr>
      <w:tr>
        <w:tc>
          <w:tcPr>
            <w:tcW w:type="dxa" w:w="1584"/>
          </w:tcPr>
          <w:p>
            <w:pPr>
              <w:spacing w:after="40"/>
            </w:pPr>
            <w:r>
              <w:rPr>
                <w:sz w:val="20"/>
              </w:rPr>
              <w:t>id</w:t>
            </w:r>
          </w:p>
        </w:tc>
        <w:tc>
          <w:tcPr>
            <w:tcW w:type="dxa" w:w="4320"/>
          </w:tcPr>
          <w:p>
            <w:pPr>
              <w:spacing w:after="40"/>
            </w:pPr>
            <w:r>
              <w:rPr>
                <w:sz w:val="20"/>
              </w:rPr>
              <w:t>Unique identifier of the tour operator</w:t>
            </w:r>
          </w:p>
        </w:tc>
        <w:tc>
          <w:tcPr>
            <w:tcW w:type="dxa" w:w="1296"/>
          </w:tcPr>
          <w:p>
            <w:pPr>
              <w:spacing w:after="40"/>
            </w:pPr>
            <w:r>
              <w:rPr>
                <w:sz w:val="20"/>
              </w:rPr>
              <w:t>BIGINT</w:t>
            </w:r>
          </w:p>
        </w:tc>
        <w:tc>
          <w:tcPr>
            <w:tcW w:type="dxa" w:w="864"/>
          </w:tcPr>
          <w:p>
            <w:pPr>
              <w:spacing w:after="40"/>
            </w:pPr>
            <w:r>
              <w:rPr>
                <w:sz w:val="20"/>
              </w:rPr>
              <w:t>20</w:t>
            </w:r>
          </w:p>
        </w:tc>
        <w:tc>
          <w:tcPr>
            <w:tcW w:type="dxa" w:w="1728"/>
          </w:tcPr>
          <w:p>
            <w:pPr>
              <w:spacing w:after="40"/>
            </w:pPr>
            <w:r>
              <w:rPr>
                <w:sz w:val="20"/>
              </w:rPr>
              <w:t>Primary Key</w:t>
            </w:r>
          </w:p>
        </w:tc>
      </w:tr>
      <w:tr>
        <w:tc>
          <w:tcPr>
            <w:tcW w:type="dxa" w:w="1584"/>
          </w:tcPr>
          <w:p>
            <w:pPr>
              <w:spacing w:after="40"/>
            </w:pPr>
            <w:r>
              <w:rPr>
                <w:sz w:val="20"/>
              </w:rPr>
              <w:t>slug</w:t>
            </w:r>
          </w:p>
        </w:tc>
        <w:tc>
          <w:tcPr>
            <w:tcW w:type="dxa" w:w="4320"/>
          </w:tcPr>
          <w:p>
            <w:pPr>
              <w:spacing w:after="40"/>
            </w:pPr>
            <w:r>
              <w:rPr>
                <w:sz w:val="20"/>
              </w:rPr>
              <w:t>URL-friendly unique identifier</w:t>
            </w:r>
          </w:p>
        </w:tc>
        <w:tc>
          <w:tcPr>
            <w:tcW w:type="dxa" w:w="1296"/>
          </w:tcPr>
          <w:p>
            <w:pPr>
              <w:spacing w:after="40"/>
            </w:pPr>
            <w:r>
              <w:rPr>
                <w:sz w:val="20"/>
              </w:rPr>
              <w:t>VARCHAR</w:t>
            </w:r>
          </w:p>
        </w:tc>
        <w:tc>
          <w:tcPr>
            <w:tcW w:type="dxa" w:w="864"/>
          </w:tcPr>
          <w:p>
            <w:pPr>
              <w:spacing w:after="40"/>
            </w:pPr>
            <w:r>
              <w:rPr>
                <w:sz w:val="20"/>
              </w:rPr>
              <w:t>120</w:t>
            </w:r>
          </w:p>
        </w:tc>
        <w:tc>
          <w:tcPr>
            <w:tcW w:type="dxa" w:w="1728"/>
          </w:tcPr>
          <w:p>
            <w:pPr>
              <w:spacing w:after="40"/>
            </w:pPr>
            <w:r>
              <w:rPr>
                <w:sz w:val="20"/>
              </w:rPr>
              <w:t>Unique, Not Null</w:t>
            </w:r>
          </w:p>
        </w:tc>
      </w:tr>
      <w:tr>
        <w:tc>
          <w:tcPr>
            <w:tcW w:type="dxa" w:w="1584"/>
          </w:tcPr>
          <w:p>
            <w:pPr>
              <w:spacing w:after="40"/>
            </w:pPr>
            <w:r>
              <w:rPr>
                <w:sz w:val="20"/>
              </w:rPr>
              <w:t>name</w:t>
            </w:r>
          </w:p>
        </w:tc>
        <w:tc>
          <w:tcPr>
            <w:tcW w:type="dxa" w:w="4320"/>
          </w:tcPr>
          <w:p>
            <w:pPr>
              <w:spacing w:after="40"/>
            </w:pPr>
            <w:r>
              <w:rPr>
                <w:sz w:val="20"/>
              </w:rPr>
              <w:t>Business name of the tour operator</w:t>
            </w:r>
          </w:p>
        </w:tc>
        <w:tc>
          <w:tcPr>
            <w:tcW w:type="dxa" w:w="1296"/>
          </w:tcPr>
          <w:p>
            <w:pPr>
              <w:spacing w:after="40"/>
            </w:pPr>
            <w:r>
              <w:rPr>
                <w:sz w:val="20"/>
              </w:rPr>
              <w:t>VARCHAR</w:t>
            </w:r>
          </w:p>
        </w:tc>
        <w:tc>
          <w:tcPr>
            <w:tcW w:type="dxa" w:w="864"/>
          </w:tcPr>
          <w:p>
            <w:pPr>
              <w:spacing w:after="40"/>
            </w:pPr>
            <w:r>
              <w:rPr>
                <w:sz w:val="20"/>
              </w:rPr>
              <w:t>150</w:t>
            </w:r>
          </w:p>
        </w:tc>
        <w:tc>
          <w:tcPr>
            <w:tcW w:type="dxa" w:w="1728"/>
          </w:tcPr>
          <w:p>
            <w:pPr>
              <w:spacing w:after="40"/>
            </w:pPr>
            <w:r>
              <w:rPr>
                <w:sz w:val="20"/>
              </w:rPr>
              <w:t>Not Null</w:t>
            </w:r>
          </w:p>
        </w:tc>
      </w:tr>
      <w:tr>
        <w:tc>
          <w:tcPr>
            <w:tcW w:type="dxa" w:w="1584"/>
          </w:tcPr>
          <w:p>
            <w:pPr>
              <w:spacing w:after="40"/>
            </w:pPr>
            <w:r>
              <w:rPr>
                <w:sz w:val="20"/>
              </w:rPr>
              <w:t>location</w:t>
            </w:r>
          </w:p>
        </w:tc>
        <w:tc>
          <w:tcPr>
            <w:tcW w:type="dxa" w:w="4320"/>
          </w:tcPr>
          <w:p>
            <w:pPr>
              <w:spacing w:after="40"/>
            </w:pPr>
            <w:r>
              <w:rPr>
                <w:sz w:val="20"/>
              </w:rPr>
              <w:t>Office or base-of-operations address</w:t>
            </w:r>
          </w:p>
        </w:tc>
        <w:tc>
          <w:tcPr>
            <w:tcW w:type="dxa" w:w="1296"/>
          </w:tcPr>
          <w:p>
            <w:pPr>
              <w:spacing w:after="40"/>
            </w:pPr>
            <w:r>
              <w:rPr>
                <w:sz w:val="20"/>
              </w:rPr>
              <w:t>VARCHAR</w:t>
            </w:r>
          </w:p>
        </w:tc>
        <w:tc>
          <w:tcPr>
            <w:tcW w:type="dxa" w:w="864"/>
          </w:tcPr>
          <w:p>
            <w:pPr>
              <w:spacing w:after="40"/>
            </w:pPr>
            <w:r>
              <w:rPr>
                <w:sz w:val="20"/>
              </w:rPr>
              <w:t>255</w:t>
            </w:r>
          </w:p>
        </w:tc>
        <w:tc>
          <w:tcPr>
            <w:tcW w:type="dxa" w:w="1728"/>
          </w:tcPr>
          <w:p>
            <w:pPr>
              <w:spacing w:after="40"/>
            </w:pPr>
            <w:r>
              <w:rPr>
                <w:sz w:val="20"/>
              </w:rPr>
              <w:t>Nullable</w:t>
            </w:r>
          </w:p>
        </w:tc>
      </w:tr>
      <w:tr>
        <w:tc>
          <w:tcPr>
            <w:tcW w:type="dxa" w:w="1584"/>
          </w:tcPr>
          <w:p>
            <w:pPr>
              <w:spacing w:after="40"/>
            </w:pPr>
            <w:r>
              <w:rPr>
                <w:sz w:val="20"/>
              </w:rPr>
              <w:t>region_id</w:t>
            </w:r>
          </w:p>
        </w:tc>
        <w:tc>
          <w:tcPr>
            <w:tcW w:type="dxa" w:w="4320"/>
          </w:tcPr>
          <w:p>
            <w:pPr>
              <w:spacing w:after="40"/>
            </w:pPr>
            <w:r>
              <w:rPr>
                <w:sz w:val="20"/>
              </w:rPr>
              <w:t>Province/city this operator is based in</w:t>
            </w:r>
          </w:p>
        </w:tc>
        <w:tc>
          <w:tcPr>
            <w:tcW w:type="dxa" w:w="1296"/>
          </w:tcPr>
          <w:p>
            <w:pPr>
              <w:spacing w:after="40"/>
            </w:pPr>
            <w:r>
              <w:rPr>
                <w:sz w:val="20"/>
              </w:rPr>
              <w:t>SMALLINT</w:t>
            </w:r>
          </w:p>
        </w:tc>
        <w:tc>
          <w:tcPr>
            <w:tcW w:type="dxa" w:w="864"/>
          </w:tcPr>
          <w:p>
            <w:pPr>
              <w:spacing w:after="40"/>
            </w:pPr>
            <w:r>
              <w:rPr>
                <w:sz w:val="20"/>
              </w:rPr>
              <w:t>5</w:t>
            </w:r>
          </w:p>
        </w:tc>
        <w:tc>
          <w:tcPr>
            <w:tcW w:type="dxa" w:w="1728"/>
          </w:tcPr>
          <w:p>
            <w:pPr>
              <w:spacing w:after="40"/>
            </w:pPr>
            <w:r>
              <w:rPr>
                <w:sz w:val="20"/>
              </w:rPr>
              <w:t>Foreign Key, Nullable</w:t>
            </w:r>
          </w:p>
        </w:tc>
      </w:tr>
      <w:tr>
        <w:tc>
          <w:tcPr>
            <w:tcW w:type="dxa" w:w="1584"/>
          </w:tcPr>
          <w:p>
            <w:pPr>
              <w:spacing w:after="40"/>
            </w:pPr>
            <w:r>
              <w:rPr>
                <w:sz w:val="20"/>
              </w:rPr>
              <w:t>specialization</w:t>
            </w:r>
          </w:p>
        </w:tc>
        <w:tc>
          <w:tcPr>
            <w:tcW w:type="dxa" w:w="4320"/>
          </w:tcPr>
          <w:p>
            <w:pPr>
              <w:spacing w:after="40"/>
            </w:pPr>
            <w:r>
              <w:rPr>
                <w:sz w:val="20"/>
              </w:rPr>
              <w:t>Tour focus (e.g. Mountain Trekking, Island Hopping)</w:t>
            </w:r>
          </w:p>
        </w:tc>
        <w:tc>
          <w:tcPr>
            <w:tcW w:type="dxa" w:w="1296"/>
          </w:tcPr>
          <w:p>
            <w:pPr>
              <w:spacing w:after="40"/>
            </w:pPr>
            <w:r>
              <w:rPr>
                <w:sz w:val="20"/>
              </w:rPr>
              <w:t>VARCHAR</w:t>
            </w:r>
          </w:p>
        </w:tc>
        <w:tc>
          <w:tcPr>
            <w:tcW w:type="dxa" w:w="864"/>
          </w:tcPr>
          <w:p>
            <w:pPr>
              <w:spacing w:after="40"/>
            </w:pPr>
            <w:r>
              <w:rPr>
                <w:sz w:val="20"/>
              </w:rPr>
              <w:t>80</w:t>
            </w:r>
          </w:p>
        </w:tc>
        <w:tc>
          <w:tcPr>
            <w:tcW w:type="dxa" w:w="1728"/>
          </w:tcPr>
          <w:p>
            <w:pPr>
              <w:spacing w:after="40"/>
            </w:pPr>
            <w:r>
              <w:rPr>
                <w:sz w:val="20"/>
              </w:rPr>
              <w:t>Nullable</w:t>
            </w:r>
          </w:p>
        </w:tc>
      </w:tr>
      <w:tr>
        <w:tc>
          <w:tcPr>
            <w:tcW w:type="dxa" w:w="1584"/>
          </w:tcPr>
          <w:p>
            <w:pPr>
              <w:spacing w:after="40"/>
            </w:pPr>
            <w:r>
              <w:rPr>
                <w:sz w:val="20"/>
              </w:rPr>
              <w:t>description</w:t>
            </w:r>
          </w:p>
        </w:tc>
        <w:tc>
          <w:tcPr>
            <w:tcW w:type="dxa" w:w="4320"/>
          </w:tcPr>
          <w:p>
            <w:pPr>
              <w:spacing w:after="40"/>
            </w:pPr>
            <w:r>
              <w:rPr>
                <w:sz w:val="20"/>
              </w:rPr>
              <w:t>Business description shown on the public profile</w:t>
            </w:r>
          </w:p>
        </w:tc>
        <w:tc>
          <w:tcPr>
            <w:tcW w:type="dxa" w:w="1296"/>
          </w:tcPr>
          <w:p>
            <w:pPr>
              <w:spacing w:after="40"/>
            </w:pPr>
            <w:r>
              <w:rPr>
                <w:sz w:val="20"/>
              </w:rPr>
              <w:t>VARCHAR</w:t>
            </w:r>
          </w:p>
        </w:tc>
        <w:tc>
          <w:tcPr>
            <w:tcW w:type="dxa" w:w="864"/>
          </w:tcPr>
          <w:p>
            <w:pPr>
              <w:spacing w:after="40"/>
            </w:pPr>
            <w:r>
              <w:rPr>
                <w:sz w:val="20"/>
              </w:rPr>
              <w:t>1000</w:t>
            </w:r>
          </w:p>
        </w:tc>
        <w:tc>
          <w:tcPr>
            <w:tcW w:type="dxa" w:w="1728"/>
          </w:tcPr>
          <w:p>
            <w:pPr>
              <w:spacing w:after="40"/>
            </w:pPr>
            <w:r>
              <w:rPr>
                <w:sz w:val="20"/>
              </w:rPr>
              <w:t>Nullable</w:t>
            </w:r>
          </w:p>
        </w:tc>
      </w:tr>
      <w:tr>
        <w:tc>
          <w:tcPr>
            <w:tcW w:type="dxa" w:w="1584"/>
          </w:tcPr>
          <w:p>
            <w:pPr>
              <w:spacing w:after="40"/>
            </w:pPr>
            <w:r>
              <w:rPr>
                <w:sz w:val="20"/>
              </w:rPr>
              <w:t>image_path</w:t>
            </w:r>
          </w:p>
        </w:tc>
        <w:tc>
          <w:tcPr>
            <w:tcW w:type="dxa" w:w="4320"/>
          </w:tcPr>
          <w:p>
            <w:pPr>
              <w:spacing w:after="40"/>
            </w:pPr>
            <w:r>
              <w:rPr>
                <w:sz w:val="20"/>
              </w:rPr>
              <w:t>Legacy single cover image path</w:t>
            </w:r>
          </w:p>
        </w:tc>
        <w:tc>
          <w:tcPr>
            <w:tcW w:type="dxa" w:w="1296"/>
          </w:tcPr>
          <w:p>
            <w:pPr>
              <w:spacing w:after="40"/>
            </w:pPr>
            <w:r>
              <w:rPr>
                <w:sz w:val="20"/>
              </w:rPr>
              <w:t>VARCHAR</w:t>
            </w:r>
          </w:p>
        </w:tc>
        <w:tc>
          <w:tcPr>
            <w:tcW w:type="dxa" w:w="864"/>
          </w:tcPr>
          <w:p>
            <w:pPr>
              <w:spacing w:after="40"/>
            </w:pPr>
            <w:r>
              <w:rPr>
                <w:sz w:val="20"/>
              </w:rPr>
              <w:t>255</w:t>
            </w:r>
          </w:p>
        </w:tc>
        <w:tc>
          <w:tcPr>
            <w:tcW w:type="dxa" w:w="1728"/>
          </w:tcPr>
          <w:p>
            <w:pPr>
              <w:spacing w:after="40"/>
            </w:pPr>
            <w:r>
              <w:rPr>
                <w:sz w:val="20"/>
              </w:rPr>
              <w:t>Nullable</w:t>
            </w:r>
          </w:p>
        </w:tc>
      </w:tr>
      <w:tr>
        <w:tc>
          <w:tcPr>
            <w:tcW w:type="dxa" w:w="1584"/>
          </w:tcPr>
          <w:p>
            <w:pPr>
              <w:spacing w:after="40"/>
            </w:pPr>
            <w:r>
              <w:rPr>
                <w:sz w:val="20"/>
              </w:rPr>
              <w:t>is_accredited</w:t>
            </w:r>
          </w:p>
        </w:tc>
        <w:tc>
          <w:tcPr>
            <w:tcW w:type="dxa" w:w="4320"/>
          </w:tcPr>
          <w:p>
            <w:pPr>
              <w:spacing w:after="40"/>
            </w:pPr>
            <w:r>
              <w:rPr>
                <w:sz w:val="20"/>
              </w:rPr>
              <w:t>Whether DOT has verified this operator’s accreditation</w:t>
            </w:r>
          </w:p>
        </w:tc>
        <w:tc>
          <w:tcPr>
            <w:tcW w:type="dxa" w:w="1296"/>
          </w:tcPr>
          <w:p>
            <w:pPr>
              <w:spacing w:after="40"/>
            </w:pPr>
            <w:r>
              <w:rPr>
                <w:sz w:val="20"/>
              </w:rPr>
              <w:t>BOOLEAN</w:t>
            </w:r>
          </w:p>
        </w:tc>
        <w:tc>
          <w:tcPr>
            <w:tcW w:type="dxa" w:w="864"/>
          </w:tcPr>
          <w:p>
            <w:pPr>
              <w:spacing w:after="40"/>
            </w:pPr>
            <w:r>
              <w:rPr>
                <w:sz w:val="20"/>
              </w:rPr>
              <w:t>1</w:t>
            </w:r>
          </w:p>
        </w:tc>
        <w:tc>
          <w:tcPr>
            <w:tcW w:type="dxa" w:w="1728"/>
          </w:tcPr>
          <w:p>
            <w:pPr>
              <w:spacing w:after="40"/>
            </w:pPr>
            <w:r>
              <w:rPr>
                <w:sz w:val="20"/>
              </w:rPr>
              <w:t>Default False</w:t>
            </w:r>
          </w:p>
        </w:tc>
      </w:tr>
      <w:tr>
        <w:tc>
          <w:tcPr>
            <w:tcW w:type="dxa" w:w="1584"/>
          </w:tcPr>
          <w:p>
            <w:pPr>
              <w:spacing w:after="40"/>
            </w:pPr>
            <w:r>
              <w:rPr>
                <w:sz w:val="20"/>
              </w:rPr>
              <w:t>rating</w:t>
            </w:r>
          </w:p>
        </w:tc>
        <w:tc>
          <w:tcPr>
            <w:tcW w:type="dxa" w:w="4320"/>
          </w:tcPr>
          <w:p>
            <w:pPr>
              <w:spacing w:after="40"/>
            </w:pPr>
            <w:r>
              <w:rPr>
                <w:sz w:val="20"/>
              </w:rPr>
              <w:t>Average traveler rating</w:t>
            </w:r>
          </w:p>
        </w:tc>
        <w:tc>
          <w:tcPr>
            <w:tcW w:type="dxa" w:w="1296"/>
          </w:tcPr>
          <w:p>
            <w:pPr>
              <w:spacing w:after="40"/>
            </w:pPr>
            <w:r>
              <w:rPr>
                <w:sz w:val="20"/>
              </w:rPr>
              <w:t>DECIMAL</w:t>
            </w:r>
          </w:p>
        </w:tc>
        <w:tc>
          <w:tcPr>
            <w:tcW w:type="dxa" w:w="864"/>
          </w:tcPr>
          <w:p>
            <w:pPr>
              <w:spacing w:after="40"/>
            </w:pPr>
            <w:r>
              <w:rPr>
                <w:sz w:val="20"/>
              </w:rPr>
              <w:t>2,1</w:t>
            </w:r>
          </w:p>
        </w:tc>
        <w:tc>
          <w:tcPr>
            <w:tcW w:type="dxa" w:w="1728"/>
          </w:tcPr>
          <w:p>
            <w:pPr>
              <w:spacing w:after="40"/>
            </w:pPr>
            <w:r>
              <w:rPr>
                <w:sz w:val="20"/>
              </w:rPr>
              <w:t>Default 0</w:t>
            </w:r>
          </w:p>
        </w:tc>
      </w:tr>
      <w:tr>
        <w:tc>
          <w:tcPr>
            <w:tcW w:type="dxa" w:w="1584"/>
          </w:tcPr>
          <w:p>
            <w:pPr>
              <w:spacing w:after="40"/>
            </w:pPr>
            <w:r>
              <w:rPr>
                <w:sz w:val="20"/>
              </w:rPr>
              <w:t>review_count</w:t>
            </w:r>
          </w:p>
        </w:tc>
        <w:tc>
          <w:tcPr>
            <w:tcW w:type="dxa" w:w="4320"/>
          </w:tcPr>
          <w:p>
            <w:pPr>
              <w:spacing w:after="40"/>
            </w:pPr>
            <w:r>
              <w:rPr>
                <w:sz w:val="20"/>
              </w:rPr>
              <w:t>Total number of reviews received</w:t>
            </w:r>
          </w:p>
        </w:tc>
        <w:tc>
          <w:tcPr>
            <w:tcW w:type="dxa" w:w="1296"/>
          </w:tcPr>
          <w:p>
            <w:pPr>
              <w:spacing w:after="40"/>
            </w:pPr>
            <w:r>
              <w:rPr>
                <w:sz w:val="20"/>
              </w:rPr>
              <w:t>INTEGER</w:t>
            </w:r>
          </w:p>
        </w:tc>
        <w:tc>
          <w:tcPr>
            <w:tcW w:type="dxa" w:w="864"/>
          </w:tcPr>
          <w:p>
            <w:pPr>
              <w:spacing w:after="40"/>
            </w:pPr>
            <w:r>
              <w:rPr>
                <w:sz w:val="20"/>
              </w:rPr>
              <w:t>10</w:t>
            </w:r>
          </w:p>
        </w:tc>
        <w:tc>
          <w:tcPr>
            <w:tcW w:type="dxa" w:w="1728"/>
          </w:tcPr>
          <w:p>
            <w:pPr>
              <w:spacing w:after="40"/>
            </w:pPr>
            <w:r>
              <w:rPr>
                <w:sz w:val="20"/>
              </w:rPr>
              <w:t>Default 0</w:t>
            </w:r>
          </w:p>
        </w:tc>
      </w:tr>
      <w:tr>
        <w:tc>
          <w:tcPr>
            <w:tcW w:type="dxa" w:w="1584"/>
          </w:tcPr>
          <w:p>
            <w:pPr>
              <w:spacing w:after="40"/>
            </w:pPr>
            <w:r>
              <w:rPr>
                <w:sz w:val="20"/>
              </w:rPr>
              <w:t>price_tier</w:t>
            </w:r>
          </w:p>
        </w:tc>
        <w:tc>
          <w:tcPr>
            <w:tcW w:type="dxa" w:w="4320"/>
          </w:tcPr>
          <w:p>
            <w:pPr>
              <w:spacing w:after="40"/>
            </w:pPr>
            <w:r>
              <w:rPr>
                <w:sz w:val="20"/>
              </w:rPr>
              <w:t>Typical budget classification of this operator’s tours</w:t>
            </w:r>
          </w:p>
        </w:tc>
        <w:tc>
          <w:tcPr>
            <w:tcW w:type="dxa" w:w="1296"/>
          </w:tcPr>
          <w:p>
            <w:pPr>
              <w:spacing w:after="40"/>
            </w:pPr>
            <w:r>
              <w:rPr>
                <w:sz w:val="20"/>
              </w:rPr>
              <w:t>VARCHAR</w:t>
            </w:r>
          </w:p>
        </w:tc>
        <w:tc>
          <w:tcPr>
            <w:tcW w:type="dxa" w:w="864"/>
          </w:tcPr>
          <w:p>
            <w:pPr>
              <w:spacing w:after="40"/>
            </w:pPr>
            <w:r>
              <w:rPr>
                <w:sz w:val="20"/>
              </w:rPr>
              <w:t>20</w:t>
            </w:r>
          </w:p>
        </w:tc>
        <w:tc>
          <w:tcPr>
            <w:tcW w:type="dxa" w:w="1728"/>
          </w:tcPr>
          <w:p>
            <w:pPr>
              <w:spacing w:after="40"/>
            </w:pPr>
            <w:r>
              <w:rPr>
                <w:sz w:val="20"/>
              </w:rPr>
              <w:t>Nullable</w:t>
            </w:r>
          </w:p>
        </w:tc>
      </w:tr>
      <w:tr>
        <w:tc>
          <w:tcPr>
            <w:tcW w:type="dxa" w:w="1584"/>
          </w:tcPr>
          <w:p>
            <w:pPr>
              <w:spacing w:after="40"/>
            </w:pPr>
            <w:r>
              <w:rPr>
                <w:sz w:val="20"/>
              </w:rPr>
              <w:t>contact_number</w:t>
            </w:r>
          </w:p>
        </w:tc>
        <w:tc>
          <w:tcPr>
            <w:tcW w:type="dxa" w:w="4320"/>
          </w:tcPr>
          <w:p>
            <w:pPr>
              <w:spacing w:after="40"/>
            </w:pPr>
            <w:r>
              <w:rPr>
                <w:sz w:val="20"/>
              </w:rPr>
              <w:t>Business contact number</w:t>
            </w:r>
          </w:p>
        </w:tc>
        <w:tc>
          <w:tcPr>
            <w:tcW w:type="dxa" w:w="1296"/>
          </w:tcPr>
          <w:p>
            <w:pPr>
              <w:spacing w:after="40"/>
            </w:pPr>
            <w:r>
              <w:rPr>
                <w:sz w:val="20"/>
              </w:rPr>
              <w:t>VARCHAR</w:t>
            </w:r>
          </w:p>
        </w:tc>
        <w:tc>
          <w:tcPr>
            <w:tcW w:type="dxa" w:w="864"/>
          </w:tcPr>
          <w:p>
            <w:pPr>
              <w:spacing w:after="40"/>
            </w:pPr>
            <w:r>
              <w:rPr>
                <w:sz w:val="20"/>
              </w:rPr>
              <w:t>20</w:t>
            </w:r>
          </w:p>
        </w:tc>
        <w:tc>
          <w:tcPr>
            <w:tcW w:type="dxa" w:w="1728"/>
          </w:tcPr>
          <w:p>
            <w:pPr>
              <w:spacing w:after="40"/>
            </w:pPr>
            <w:r>
              <w:rPr>
                <w:sz w:val="20"/>
              </w:rPr>
              <w:t>Nullable</w:t>
            </w:r>
          </w:p>
        </w:tc>
      </w:tr>
      <w:tr>
        <w:tc>
          <w:tcPr>
            <w:tcW w:type="dxa" w:w="1584"/>
          </w:tcPr>
          <w:p>
            <w:pPr>
              <w:spacing w:after="40"/>
            </w:pPr>
            <w:r>
              <w:rPr>
                <w:sz w:val="20"/>
              </w:rPr>
              <w:t>latitude</w:t>
            </w:r>
          </w:p>
        </w:tc>
        <w:tc>
          <w:tcPr>
            <w:tcW w:type="dxa" w:w="4320"/>
          </w:tcPr>
          <w:p>
            <w:pPr>
              <w:spacing w:after="40"/>
            </w:pPr>
            <w:r>
              <w:rPr>
                <w:sz w:val="20"/>
              </w:rPr>
              <w:t>Office location latitude</w:t>
            </w:r>
          </w:p>
        </w:tc>
        <w:tc>
          <w:tcPr>
            <w:tcW w:type="dxa" w:w="1296"/>
          </w:tcPr>
          <w:p>
            <w:pPr>
              <w:spacing w:after="40"/>
            </w:pPr>
            <w:r>
              <w:rPr>
                <w:sz w:val="20"/>
              </w:rPr>
              <w:t>DECIMAL</w:t>
            </w:r>
          </w:p>
        </w:tc>
        <w:tc>
          <w:tcPr>
            <w:tcW w:type="dxa" w:w="864"/>
          </w:tcPr>
          <w:p>
            <w:pPr>
              <w:spacing w:after="40"/>
            </w:pPr>
            <w:r>
              <w:rPr>
                <w:sz w:val="20"/>
              </w:rPr>
              <w:t>10,7</w:t>
            </w:r>
          </w:p>
        </w:tc>
        <w:tc>
          <w:tcPr>
            <w:tcW w:type="dxa" w:w="1728"/>
          </w:tcPr>
          <w:p>
            <w:pPr>
              <w:spacing w:after="40"/>
            </w:pPr>
            <w:r>
              <w:rPr>
                <w:sz w:val="20"/>
              </w:rPr>
              <w:t>Nullable</w:t>
            </w:r>
          </w:p>
        </w:tc>
      </w:tr>
      <w:tr>
        <w:tc>
          <w:tcPr>
            <w:tcW w:type="dxa" w:w="1584"/>
          </w:tcPr>
          <w:p>
            <w:pPr>
              <w:spacing w:after="40"/>
            </w:pPr>
            <w:r>
              <w:rPr>
                <w:sz w:val="20"/>
              </w:rPr>
              <w:t>longitude</w:t>
            </w:r>
          </w:p>
        </w:tc>
        <w:tc>
          <w:tcPr>
            <w:tcW w:type="dxa" w:w="4320"/>
          </w:tcPr>
          <w:p>
            <w:pPr>
              <w:spacing w:after="40"/>
            </w:pPr>
            <w:r>
              <w:rPr>
                <w:sz w:val="20"/>
              </w:rPr>
              <w:t>Office location longitude</w:t>
            </w:r>
          </w:p>
        </w:tc>
        <w:tc>
          <w:tcPr>
            <w:tcW w:type="dxa" w:w="1296"/>
          </w:tcPr>
          <w:p>
            <w:pPr>
              <w:spacing w:after="40"/>
            </w:pPr>
            <w:r>
              <w:rPr>
                <w:sz w:val="20"/>
              </w:rPr>
              <w:t>DECIMAL</w:t>
            </w:r>
          </w:p>
        </w:tc>
        <w:tc>
          <w:tcPr>
            <w:tcW w:type="dxa" w:w="864"/>
          </w:tcPr>
          <w:p>
            <w:pPr>
              <w:spacing w:after="40"/>
            </w:pPr>
            <w:r>
              <w:rPr>
                <w:sz w:val="20"/>
              </w:rPr>
              <w:t>10,7</w:t>
            </w:r>
          </w:p>
        </w:tc>
        <w:tc>
          <w:tcPr>
            <w:tcW w:type="dxa" w:w="1728"/>
          </w:tcPr>
          <w:p>
            <w:pPr>
              <w:spacing w:after="40"/>
            </w:pPr>
            <w:r>
              <w:rPr>
                <w:sz w:val="20"/>
              </w:rPr>
              <w:t>Nullable</w:t>
            </w:r>
          </w:p>
        </w:tc>
      </w:tr>
      <w:tr>
        <w:tc>
          <w:tcPr>
            <w:tcW w:type="dxa" w:w="1584"/>
          </w:tcPr>
          <w:p>
            <w:pPr>
              <w:spacing w:after="40"/>
            </w:pPr>
            <w:r>
              <w:rPr>
                <w:sz w:val="20"/>
              </w:rPr>
              <w:t>archived_at</w:t>
            </w:r>
          </w:p>
        </w:tc>
        <w:tc>
          <w:tcPr>
            <w:tcW w:type="dxa" w:w="4320"/>
          </w:tcPr>
          <w:p>
            <w:pPr>
              <w:spacing w:after="40"/>
            </w:pPr>
            <w:r>
              <w:rPr>
                <w:sz w:val="20"/>
              </w:rPr>
              <w:t>Timestamp the listing was archived by an admin; NULL if active</w:t>
            </w:r>
          </w:p>
        </w:tc>
        <w:tc>
          <w:tcPr>
            <w:tcW w:type="dxa" w:w="1296"/>
          </w:tcPr>
          <w:p>
            <w:pPr>
              <w:spacing w:after="40"/>
            </w:pPr>
            <w:r>
              <w:rPr>
                <w:sz w:val="20"/>
              </w:rPr>
              <w:t>TIMESTAMP</w:t>
            </w:r>
          </w:p>
        </w:tc>
        <w:tc>
          <w:tcPr>
            <w:tcW w:type="dxa" w:w="864"/>
          </w:tcPr>
          <w:p>
            <w:pPr>
              <w:spacing w:after="40"/>
            </w:pPr>
            <w:r>
              <w:rPr>
                <w:sz w:val="20"/>
              </w:rPr>
              <w:t>-</w:t>
            </w:r>
          </w:p>
        </w:tc>
        <w:tc>
          <w:tcPr>
            <w:tcW w:type="dxa" w:w="1728"/>
          </w:tcPr>
          <w:p>
            <w:pPr>
              <w:spacing w:after="40"/>
            </w:pPr>
            <w:r>
              <w:rPr>
                <w:sz w:val="20"/>
              </w:rPr>
              <w:t>Nullable</w:t>
            </w:r>
          </w:p>
        </w:tc>
      </w:tr>
      <w:tr>
        <w:tc>
          <w:tcPr>
            <w:tcW w:type="dxa" w:w="1584"/>
          </w:tcPr>
          <w:p>
            <w:pPr>
              <w:spacing w:after="40"/>
            </w:pPr>
            <w:r>
              <w:rPr>
                <w:sz w:val="20"/>
              </w:rPr>
              <w:t>created_at</w:t>
            </w:r>
          </w:p>
        </w:tc>
        <w:tc>
          <w:tcPr>
            <w:tcW w:type="dxa" w:w="4320"/>
          </w:tcPr>
          <w:p>
            <w:pPr>
              <w:spacing w:after="40"/>
            </w:pPr>
            <w:r>
              <w:rPr>
                <w:sz w:val="20"/>
              </w:rPr>
              <w:t>Date and time the record was created</w:t>
            </w:r>
          </w:p>
        </w:tc>
        <w:tc>
          <w:tcPr>
            <w:tcW w:type="dxa" w:w="1296"/>
          </w:tcPr>
          <w:p>
            <w:pPr>
              <w:spacing w:after="40"/>
            </w:pPr>
            <w:r>
              <w:rPr>
                <w:sz w:val="20"/>
              </w:rPr>
              <w:t>TIMESTAMP</w:t>
            </w:r>
          </w:p>
        </w:tc>
        <w:tc>
          <w:tcPr>
            <w:tcW w:type="dxa" w:w="864"/>
          </w:tcPr>
          <w:p>
            <w:pPr>
              <w:spacing w:after="40"/>
            </w:pPr>
            <w:r>
              <w:rPr>
                <w:sz w:val="20"/>
              </w:rPr>
              <w:t>-</w:t>
            </w:r>
          </w:p>
        </w:tc>
        <w:tc>
          <w:tcPr>
            <w:tcW w:type="dxa" w:w="1728"/>
          </w:tcPr>
          <w:p>
            <w:pPr>
              <w:spacing w:after="40"/>
            </w:pPr>
            <w:r>
              <w:rPr>
                <w:sz w:val="20"/>
              </w:rPr>
              <w:t>Not Null</w:t>
            </w:r>
          </w:p>
        </w:tc>
      </w:tr>
    </w:tbl>
    <w:p/>
    <w:p>
      <w:r>
        <w:rPr>
          <w:b w:val="0"/>
          <w:i w:val="0"/>
          <w:sz w:val="22"/>
        </w:rPr>
        <w:t>A single nullable foreign key, tour_operator_id (BIGINT, references tour_operators.id, nullOnDelete), was added to Table 18 (Packages) directly after the existing provider_name column. This is deliberately additive, not a replacement: a package with no registered operator still displays its old provider_name free text exactly as before; a package linked to a registered tour_operator_id instead shows that operator’s real name as a link to their DOT-verified public profile. Nothing about existing package data changes or breaks.</w:t>
      </w:r>
    </w:p>
    <w:p>
      <w:r>
        <w:rPr>
          <w:b w:val="0"/>
          <w:i w:val="0"/>
          <w:sz w:val="22"/>
        </w:rPr>
        <w:t>tour_operators follows the identical pattern already used across the rest of your schema: it uses HasArchiving (same archived_at + is_accredited gating as every other listing type, so §5.10’s accreditation-gated public visibility and §5.11’s auto-expiry/renewal automation both apply to it automatically with no special-case code), the polymorphic listing_kind/listing_id pattern for Reviews and Accreditation Records (“tour_operator” was added to the morph map alongside the other five kinds), and the same listing_photos gallery support as every other listing type.</w:t>
      </w:r>
    </w:p>
    <w:p>
      <w:r>
        <w:rPr>
          <w:b w:val="0"/>
          <w:i w:val="0"/>
          <w:sz w:val="22"/>
        </w:rPr>
        <w:t>Recommended update: add tour_operators as a new numbered table in Section 2.3.6 with the 17 fields above, add it to Figure 4 (ERD) connected the same way Restaurants is connected (to Regions, Reviews, Accreditation Records, listing_photos), and add a tour_operator_id row to Table 18 (Packages), noting it as a Foreign Key to the new tour_operators table.</w:t>
      </w:r>
    </w:p>
    <w:p>
      <w:pPr>
        <w:pStyle w:val="Heading1"/>
      </w:pPr>
      <w:r>
        <w:rPr>
          <w:color w:val="1B3A2B"/>
        </w:rPr>
        <w:t>4. Technology Stack Notes</w:t>
      </w:r>
    </w:p>
    <w:p>
      <w:pPr>
        <w:pStyle w:val="Heading2"/>
      </w:pPr>
      <w:r>
        <w:rPr>
          <w:color w:val="1B3A2B"/>
        </w:rPr>
        <w:t>4.1 Database Engine: PostgreSQL 18 — RESOLVED</w:t>
      </w:r>
    </w:p>
    <w:p>
      <w:r>
        <w:rPr>
          <w:b w:val="0"/>
          <w:i w:val="0"/>
          <w:sz w:val="22"/>
        </w:rPr>
        <w:t>Table 2 of your paper lists PostgreSQL as the database engine. As of August 7, 2026, the live system runs on PostgreSQL 18 in development, matching the paper exactly — this is no longer a caveat. The switch from the earlier SQLite development setup was completed, verified end-to-end (including recovering all real data — destinations, accommodations, and the real uploaded establishment photos — through an unrelated local PostgreSQL reinstall along the way), and the app has been confirmed working against Postgres since.</w:t>
      </w:r>
    </w:p>
    <w:p>
      <w:r>
        <w:rPr>
          <w:b w:val="0"/>
          <w:i w:val="0"/>
          <w:sz w:val="22"/>
        </w:rPr>
        <w:t>No further action is needed on this item before your defense. Table 2 in the paper already correctly states PostgreSQL, so nothing there needs to change.</w:t>
      </w:r>
    </w:p>
    <w:p>
      <w:pPr>
        <w:pStyle w:val="Heading2"/>
      </w:pPr>
      <w:r>
        <w:rPr>
          <w:color w:val="1B3A2B"/>
        </w:rPr>
        <w:t>4.2 Frontend: Custom CSS/JavaScript Design System vs. Bootstrap 5</w:t>
      </w:r>
    </w:p>
    <w:p>
      <w:r>
        <w:rPr>
          <w:b w:val="0"/>
          <w:i w:val="0"/>
          <w:sz w:val="22"/>
        </w:rPr>
        <w:t>Table 2 lists “Bootstrap 5 / JavaScript” for frontend development. The actual codebase does not use Bootstrap anywhere — there is no Bootstrap dependency in composer.json or package.json, and no Bootstrap classes in the markup. Instead, the entire interface is built from two hand-written files: public/css/app.css (a full custom design system with CSS variables for the color palette, spacing, and breakpoints) and public/js/app.js (vanilla JavaScript for the carousel, lightbox gallery, and header behavior).</w:t>
      </w:r>
    </w:p>
    <w:p>
      <w:r>
        <w:rPr>
          <w:b w:val="0"/>
          <w:i w:val="0"/>
          <w:sz w:val="22"/>
        </w:rPr>
        <w:t>Why this happened: this was a deliberate design decision made during the UI/UX redesign phase, after you asked for a site inspired by Agoda/Airbnb that looks clean, professional, and not like a generic template. Bootstrap’s default component styling is immediately recognizable and tends to make a site look like a stock template unless heavily overridden — which would have meant writing nearly as much custom CSS as building the design system from scratch anyway.</w:t>
      </w:r>
    </w:p>
    <w:p>
      <w:r>
        <w:rPr>
          <w:b w:val="0"/>
          <w:i w:val="0"/>
          <w:sz w:val="22"/>
        </w:rPr>
        <w:t>Recommended update: update Table 2’s Frontend row to read “Custom CSS Design System / Vanilla JavaScript (HTML5, CSS3)” instead of Bootstrap 5, and add one sentence in Section 2.2.4.1 (Technical Feasibility) noting that a custom-built interface was chosen over a CSS framework for a distinctive, brand-appropriate visual identity.</w:t>
      </w:r>
    </w:p>
    <w:p>
      <w:pPr>
        <w:pStyle w:val="Heading2"/>
      </w:pPr>
      <w:r>
        <w:rPr>
          <w:color w:val="1B3A2B"/>
        </w:rPr>
        <w:t>4.3 Housekeeping: Unused Tailwind/Vite Scaffolding — RESOLVED</w:t>
      </w:r>
    </w:p>
    <w:p>
      <w:r>
        <w:rPr>
          <w:b w:val="0"/>
          <w:i w:val="0"/>
          <w:sz w:val="22"/>
        </w:rPr>
        <w:t>This one was never visible in the paper and needed no paper edit, but is recorded here for completeness. Laravel 12’s default project scaffolding had installed Tailwind CSS 4 and Vite as devDependencies, with resources/css/app.css and resources/js/app.js/bootstrap.js sitting completely unused (confirmed: no view ever contained an @vite directive; every page loaded styling exclusively from the hand-written public/css/app.css in §4.2). This has since been cleaned up: tailwindcss and @tailwindcss/vite were removed from package.json, resources/css/app.css and resources/js/bootstrap.js were deleted, resources/js/app.js had its now-dangling import removed, and vite.config.js was updated to match. Verified afterward that the site still loads and behaves identically. No further action needed.</w:t>
      </w:r>
    </w:p>
    <w:p>
      <w:pPr>
        <w:pStyle w:val="Heading2"/>
      </w:pPr>
      <w:r>
        <w:rPr>
          <w:color w:val="1B3A2B"/>
        </w:rPr>
        <w:t>4.4 New Composer Dependency: endroid/qr-code (New, August 7)</w:t>
      </w:r>
    </w:p>
    <w:p>
      <w:r>
        <w:rPr>
          <w:b w:val="0"/>
          <w:i w:val="0"/>
          <w:sz w:val="22"/>
        </w:rPr>
        <w:t>Added to support QR code generation (§5.12), requested in the RD meeting notes. This is a well-established, actively maintained MIT-licensed package (github.com/endroid/qr-code). QR codes are rendered as SVG rather than PNG, since the development machine has no PHP GD extension installed and SVG needs no image-processing extension at all — one less thing that could differ between your machine and a defense-day machine.</w:t>
      </w:r>
    </w:p>
    <w:p>
      <w:r>
        <w:rPr>
          <w:b w:val="0"/>
          <w:i w:val="0"/>
          <w:sz w:val="22"/>
        </w:rPr>
        <w:t>Recommended update: if you want Table 2 (Software Requirements) to be a complete inventory, add a row for endroid/qr-code with purpose “QR code generation for accredited establishment listings.” Not required — Table 2 currently lists only the major frameworks, not every package, so this is optional.</w:t>
      </w:r>
    </w:p>
    <w:p>
      <w:pPr>
        <w:pStyle w:val="Heading2"/>
      </w:pPr>
      <w:r>
        <w:rPr>
          <w:color w:val="1B3A2B"/>
        </w:rPr>
        <w:t>4.5 New Frontend Library: Leaflet.js + OpenStreetMap (New, August 7)</w:t>
      </w:r>
    </w:p>
    <w:p>
      <w:r>
        <w:rPr>
          <w:b w:val="0"/>
          <w:i w:val="0"/>
          <w:sz w:val="22"/>
        </w:rPr>
        <w:t>Added to support the embedded GPS maps (§5.13), requested in the RD meeting notes “Location of the establishments GPS pin.” Leaflet is an open-source JavaScript mapping library; its JS/CSS files (and default marker icons) are self-hosted in public/vendor/leaflet rather than loaded from a CDN, consistent with the self-hosted-assets approach already used for the rest of the site. The actual map tile imagery is fetched live from the OpenStreetMap tile servers — this is the one piece that genuinely requires an internet connection at view time, the same way the pre-existing Google Maps “Get Directions” links always did. No API key or account is required anywhere in this setup, unlike the Google Maps JavaScript API.</w:t>
      </w:r>
    </w:p>
    <w:p>
      <w:r>
        <w:rPr>
          <w:b w:val="0"/>
          <w:i w:val="0"/>
          <w:sz w:val="22"/>
        </w:rPr>
        <w:t>Recommended update: your paper’s Requirement 2.2.1.6 and Section 2.3.1 refer generically to a “Maps API.” If you want to name the specific technology used, add a sentence noting Leaflet.js with OpenStreetMap tiles was used instead of the Google Maps API, chosen specifically because it requires no API key or billing account — a reasonable, defensible engineering choice for a capstone project.</w:t>
      </w:r>
    </w:p>
    <w:p>
      <w:pPr>
        <w:pStyle w:val="Heading2"/>
      </w:pPr>
      <w:r>
        <w:rPr>
          <w:color w:val="1B3A2B"/>
        </w:rPr>
        <w:t>4.6 Housekeeping: Homepage Copy Overstated Unbuilt AI Features — RESOLVED, Then Made True</w:t>
      </w:r>
    </w:p>
    <w:p>
      <w:r>
        <w:rPr>
          <w:b w:val="0"/>
          <w:i w:val="0"/>
          <w:sz w:val="22"/>
        </w:rPr>
        <w:t>This one was never part of the paper’s text, but is recorded here because it is exactly the kind of thing a panelist could catch by visiting the live site. On August 7, the homepage was advertising features that were not built yet, as if they already worked: the hero tagline promised “AI-driven itineraries built around your travel style,” the main call-to-action button read “Plan My Trip with AI,” a features section had cards titled “Personalized Recommendations” and “AI-Driven Itineraries,” and the site footer called ExploreDVO “an AI-assisted destination recommender and itinerary planner.” At the time, none of that existed — the Content-Based Recommendation and AI-Driven Itinerary Generation modules were both listed in Section 7 as deliberately not started, so the copy directly contradicted the project’s own scope disclosure. It was reworded on August 7 to describe only what was actually built at the time (Browse By Travel Style, Verified Accreditation, Pinpoint Locations, Guest Reviews &amp; Owner Responses).</w:t>
      </w:r>
    </w:p>
    <w:p>
      <w:r>
        <w:rPr>
          <w:b w:val="0"/>
          <w:i w:val="0"/>
          <w:sz w:val="22"/>
        </w:rPr>
        <w:t>As of the August 8 update, this is no longer just a housekeeping fix — the recommendation engine, Apriori, itinerary generation, and chatbot described in §5.19—5.22 are all genuinely live. The two remaining placeholders this document previously flagged as “checked and left as-is since they say “coming soon”” — the tourist dashboard’s “Plan Your Next Trip” panel and the admin Association Rules page — were both updated to show the real, working features instead. If you want the homepage marketing copy to reflect this too (e.g. restoring an honest version of the “AI-driven itineraries” messaging now that it’s true), that’s a copy update worth considering before your defense, though not required — the current copy is accurate, just more conservative than it needs to be now.</w:t>
      </w:r>
    </w:p>
    <w:p>
      <w:r>
        <w:rPr>
          <w:b w:val="0"/>
          <w:i w:val="0"/>
          <w:sz w:val="22"/>
        </w:rPr>
        <w:t>No paper edit is required — the proposal document itself never claimed AI features were live, only the website copy did, at one point in time. Included here so you have the full history of that discrepancy being caught, fixed conservatively, and then made genuinely true by the following release.</w:t>
      </w:r>
    </w:p>
    <w:p>
      <w:pPr>
        <w:pStyle w:val="Heading1"/>
      </w:pPr>
      <w:r>
        <w:rPr>
          <w:color w:val="1B3A2B"/>
        </w:rPr>
        <w:t>5. Features Added Beyond the Original Prototype Screens (Figures 6—21)</w:t>
      </w:r>
    </w:p>
    <w:p>
      <w:r>
        <w:rPr>
          <w:b w:val="0"/>
          <w:i w:val="0"/>
          <w:sz w:val="22"/>
        </w:rPr>
        <w:t>These additions do not contradict anything in the proposal — they fill in implementation detail the prototype mockups did not specify, or complete requirements the prototype screens did not fully cover. Sections 5.1—5.18 predate the AI/recommendation modules (Content-Based Recommendation, Apriori, AI Itinerary Generation, Chatbot); those are now built and documented separately in §5.19—5.22.</w:t>
      </w:r>
    </w:p>
    <w:p>
      <w:pPr>
        <w:pStyle w:val="Heading2"/>
      </w:pPr>
      <w:r>
        <w:rPr>
          <w:color w:val="1B3A2B"/>
        </w:rPr>
        <w:t>5.1 Multi-Photo Gallery, Swipeable Carousel, and Lightbox</w:t>
      </w:r>
    </w:p>
    <w:p>
      <w:r>
        <w:rPr>
          <w:b w:val="0"/>
          <w:i w:val="0"/>
          <w:sz w:val="22"/>
        </w:rPr>
        <w:t>Supported by the new listing_photos table (§3.1). Destination/accommodation/restaurant/package cards use a touch-swipeable image carousel (Airbnb-style) on listing pages, and each detail page has a categorized photo gallery that opens into a full-screen lightbox with swipe and keyboard navigation (Agoda-style).</w:t>
      </w:r>
    </w:p>
    <w:p>
      <w:pPr>
        <w:pStyle w:val="Heading2"/>
      </w:pPr>
      <w:r>
        <w:rPr>
          <w:color w:val="1B3A2B"/>
        </w:rPr>
        <w:t>5.2 Custom SVG Icon System</w:t>
      </w:r>
    </w:p>
    <w:p>
      <w:r>
        <w:rPr>
          <w:b w:val="0"/>
          <w:i w:val="0"/>
          <w:sz w:val="22"/>
        </w:rPr>
        <w:t>A reusable Blade component (&lt;x-icon name="..." /&gt;) renders a consistent set of hand-built SVG icons used across the entire site in place of emoji or an icon-font library, keeping the interface looking custom-built and professional.</w:t>
      </w:r>
    </w:p>
    <w:p>
      <w:pPr>
        <w:pStyle w:val="Heading2"/>
      </w:pPr>
      <w:r>
        <w:rPr>
          <w:color w:val="1B3A2B"/>
        </w:rPr>
        <w:t>5.3 Custom Branded Error Pages</w:t>
      </w:r>
    </w:p>
    <w:p>
      <w:r>
        <w:rPr>
          <w:b w:val="0"/>
          <w:i w:val="0"/>
          <w:sz w:val="22"/>
        </w:rPr>
        <w:t>Dedicated 404, 403, 419, 429, 500, and 503 error pages were built in the site’s own visual language instead of using Laravel’s default error views.</w:t>
      </w:r>
    </w:p>
    <w:p>
      <w:pPr>
        <w:pStyle w:val="Heading2"/>
      </w:pPr>
      <w:r>
        <w:rPr>
          <w:color w:val="1B3A2B"/>
        </w:rPr>
        <w:t>5.4 Admin Tourism Information Management Module</w:t>
      </w:r>
    </w:p>
    <w:p>
      <w:r>
        <w:rPr>
          <w:b w:val="0"/>
          <w:i w:val="0"/>
          <w:sz w:val="22"/>
        </w:rPr>
        <w:t>This is the direct, full implementation of Functional Requirement 2.2.3.1.2. Administrators can add, edit, archive, and restore Destinations, Accommodations, Restaurants, Packages, and Souvenir Centers through a shared admin interface, with search, status filtering, and type-specific forms. Tested end-to-end.</w:t>
      </w:r>
    </w:p>
    <w:p>
      <w:pPr>
        <w:pStyle w:val="Heading2"/>
      </w:pPr>
      <w:r>
        <w:rPr>
          <w:color w:val="1B3A2B"/>
        </w:rPr>
        <w:t>5.5 Restaurants &amp; Souvenir Centers Public Catalog (New, August 7)</w:t>
      </w:r>
    </w:p>
    <w:p>
      <w:r>
        <w:rPr>
          <w:b w:val="0"/>
          <w:i w:val="0"/>
          <w:sz w:val="22"/>
        </w:rPr>
        <w:t>Requirement 2.2.1.3 states tourists shall be able to browse destinations, accommodations, restaurants, souvenir establishments, and tour packages. Prior to this update, Restaurants and Souvenir Centers had full database tables and full admin CRUD support, but “zero public routes” — tourists had no way to browse them at all. New public catalog (search/filter/sort/paginate) and detail pages were built for both, mirroring the existing Destinations/Accommodations/Packages pages exactly (same layout, same photo gallery, same Google Maps directions link). Requirement 2.2.1.3 is now fully met. Seed data was also topped up from 1 to 3 records each so the catalogs are not sparse during a demo.</w:t>
      </w:r>
    </w:p>
    <w:p>
      <w:pPr>
        <w:pStyle w:val="Heading2"/>
      </w:pPr>
      <w:r>
        <w:rPr>
          <w:color w:val="1B3A2B"/>
        </w:rPr>
        <w:t>5.6 Tourist Preferences Survey UI (New, August 7)</w:t>
      </w:r>
    </w:p>
    <w:p>
      <w:r>
        <w:rPr>
          <w:b w:val="0"/>
          <w:i w:val="0"/>
          <w:sz w:val="22"/>
        </w:rPr>
        <w:t>Implements the input-collection side of Figure 9 (“Travel Preference Survey Interface”), using your existing Tables 25—27 (Tourist Preferences, Preference Activities, Preference Amenities) exactly as designed — no schema changes were needed here. A registered tourist can set travel days, companions, budget, accommodation preference, distance preference, interests, amenities, and a free-text note, reachable from their “My Trip” dashboard. At the time this was built (August 7), it only stored data — the Content-Based Recommendation module that would consume it was deliberately deferred. As of August 8, submitting this form automatically triggers the full recommendation + itinerary generation pipeline (§5.19—5.21); the underlying survey UI and schema described here are unchanged.</w:t>
      </w:r>
    </w:p>
    <w:p>
      <w:pPr>
        <w:pStyle w:val="Heading2"/>
      </w:pPr>
      <w:r>
        <w:rPr>
          <w:color w:val="1B3A2B"/>
        </w:rPr>
        <w:t>5.7 Exit Survey — Full Visitor Experience Capture (New, August 7)</w:t>
      </w:r>
    </w:p>
    <w:p>
      <w:r>
        <w:rPr>
          <w:b w:val="0"/>
          <w:i w:val="0"/>
          <w:sz w:val="22"/>
        </w:rPr>
        <w:t>Implements Requirement 2.2.1.7 and Figures 13—15. The survey is anonymous (no login required, no tourist_id captured), matching the anonymous design of Table 33. It collects: a data privacy notice (Fig. 13); visitor profile, places visited (grouped by Destinations/Accommodations/Restaurants/Packages/Souvenir Centers, pulled live from the database), and activities participated in (Fig. 14, see §3.3 for the schema this required); and star ratings across six dimensions plus a recommend-or-not question and comments (Fig. 15). Custom accessible 5-star radio-based rating inputs were built for this (no JavaScript dependency, keyboard-navigable). Tested end-to-end including server-side validation of required fields.</w:t>
      </w:r>
    </w:p>
    <w:p>
      <w:pPr>
        <w:pStyle w:val="Heading2"/>
      </w:pPr>
      <w:r>
        <w:rPr>
          <w:color w:val="1B3A2B"/>
        </w:rPr>
        <w:t>5.8 Health &amp; Accessibility Profile UI (New, August 7)</w:t>
      </w:r>
    </w:p>
    <w:p>
      <w:r>
        <w:rPr>
          <w:b w:val="0"/>
          <w:i w:val="0"/>
          <w:sz w:val="22"/>
        </w:rPr>
        <w:t>Implements Requirement 2.2.1.14, using your existing Tables 38—39 (Tourist Health Profiles, Tourist Health Conditions) exactly as designed — no schema changes were needed. A registered tourist can optionally record health/accessibility conditions from their “My Trip” dashboard. The implementation deliberately mirrors your paper’s own compliance language for this table word-for-word: nothing saves without an explicit consent checkbox; the form pre-fills and can be edited at any time; and a dedicated “Delete My Health Information” action (with confirmation) permanently removes the profile and its condition records — tested end-to-end, confirmed no orphaned rows remain after deletion. Unchecking consent and re-saving also triggers full deletion, so revoking consent always means the data is gone, not just flagged.</w:t>
      </w:r>
    </w:p>
    <w:p>
      <w:pPr>
        <w:pStyle w:val="Heading2"/>
      </w:pPr>
      <w:r>
        <w:rPr>
          <w:color w:val="1B3A2B"/>
        </w:rPr>
        <w:t>5.9 Admin Reports &amp; Analytics — Wired Up (New, August 7)</w:t>
      </w:r>
    </w:p>
    <w:p>
      <w:r>
        <w:rPr>
          <w:b w:val="0"/>
          <w:i w:val="0"/>
          <w:sz w:val="22"/>
        </w:rPr>
        <w:t>Two admin pages that previously existed only as placeholders now run on live data:</w:t>
      </w:r>
    </w:p>
    <w:p>
      <w:pPr>
        <w:pStyle w:val="ListBullet"/>
      </w:pPr>
      <w:r>
        <w:rPr>
          <w:b/>
        </w:rPr>
        <w:t xml:space="preserve">Exit Survey Insights (Fig. 18 equivalent): </w:t>
      </w:r>
      <w:r>
        <w:t>now shows real, computed statistics: total responses, average rating per category (six dimensions), percentage who would recommend the region, visitor residency and visit-type breakdowns, and ranked lists of most-visited places and most-common activities — all sourced from the Exit Survey data described in §3.3.</w:t>
      </w:r>
    </w:p>
    <w:p>
      <w:pPr>
        <w:pStyle w:val="ListBullet"/>
      </w:pPr>
      <w:r>
        <w:rPr>
          <w:b/>
        </w:rPr>
        <w:t xml:space="preserve">Reports &amp; Export (Fig. 21 equivalent): </w:t>
      </w:r>
      <w:r>
        <w:t>the “Report type” dropdown (previously non-functional) now switches between four real, date-filtered reports (Tourist Registrations, Exit Survey Responses, Accreditation Status, Destination Visits); “Export CSV” streams an actual CSV file of the current report; “Export PDF” (previously a disabled button) now opens a branded, print-ready report page in a new tab for the browser’s native “Print — Save as PDF” function.</w:t>
      </w:r>
    </w:p>
    <w:p>
      <w:r>
        <w:rPr>
          <w:b/>
          <w:i w:val="0"/>
          <w:sz w:val="22"/>
        </w:rPr>
        <w:t>Two implementation choices worth knowing about, in case they come up:</w:t>
      </w:r>
    </w:p>
    <w:p>
      <w:pPr>
        <w:pStyle w:val="ListBullet"/>
      </w:pPr>
      <w:r>
        <w:rPr>
          <w:b/>
        </w:rPr>
        <w:t xml:space="preserve">Charts are CSS-only, not a JS charting library: </w:t>
      </w:r>
      <w:r>
        <w:t>Section 2.3.5 of your paper says “JavaScript-based charting tools are used to present visual reports.” The charts actually built are hand-coded CSS bar charts and ranked lists (no Chart.js or similar library) — consistent with the no-external-framework decision in §4.2, but technically not “JavaScript-based.”</w:t>
      </w:r>
    </w:p>
    <w:p>
      <w:pPr>
        <w:pStyle w:val="ListBullet"/>
      </w:pPr>
      <w:r>
        <w:rPr>
          <w:b/>
        </w:rPr>
        <w:t xml:space="preserve">PDF export uses the browser’s print function, not a PDF library: </w:t>
      </w:r>
      <w:r>
        <w:t>rather than adding a server-side PDF library (e.g., dompdf) as a new Composer dependency, “Export PDF” opens a clean, print-optimized page and relies on the browser’s built-in print-to-PDF. This avoids an extra dependency but means PDF generation happens client-side via the browser, not server-side via PHP.</w:t>
      </w:r>
    </w:p>
    <w:p>
      <w:r>
        <w:rPr>
          <w:b w:val="0"/>
          <w:i w:val="0"/>
          <w:sz w:val="22"/>
        </w:rPr>
        <w:t>Recommended update: in Section 2.3.5, either note these two implementation choices explicitly, or (if preferred) I can swap in a small JS charting library and a PDF package to match the paper’s wording exactly — your call.</w:t>
      </w:r>
    </w:p>
    <w:p>
      <w:pPr>
        <w:pStyle w:val="Heading2"/>
      </w:pPr>
      <w:r>
        <w:rPr>
          <w:color w:val="1B3A2B"/>
        </w:rPr>
        <w:t>5.10 Accreditation-Gated Public Visibility (New, August 7 — includes a real bug fix)</w:t>
      </w:r>
    </w:p>
    <w:p>
      <w:r>
        <w:rPr>
          <w:b w:val="0"/>
          <w:i w:val="0"/>
          <w:sz w:val="22"/>
        </w:rPr>
        <w:t>Your own Problem Statement says: “users have no idea if establishment are still accredited by DOT.” The RD meeting notes say it even more directly: “The DOT cannot promote the establishments that are not DOT accredited.” Checking the code confirmed this was a genuine gap: the public catalog and detail pages for all five listing types showed every non-archived listing by default, accredited or not — “DOT Accredited Only” was an opt-in filter checkbox, not the default. A new publiclyVisible() scope (requiring both archived_at IS NULL and is_accredited = true) now gates every public index, detail, and exit-survey “places visited” listing across all five types. The now-redundant “DOT Accredited Only” checkbox was removed from the filter forms, since accreditation is no longer optional to see.</w:t>
      </w:r>
    </w:p>
    <w:p>
      <w:r>
        <w:rPr>
          <w:b w:val="0"/>
          <w:i w:val="0"/>
          <w:sz w:val="22"/>
        </w:rPr>
        <w:t>While building this, testing surfaced a real, pre-existing data inconsistency worth knowing about: several accreditation records in the seed data already had status = “Expired”, but the corresponding listings’ is_accredited flags had never been synced to match, so those listings (including Samal Island) were still being shown publicly despite having expired accreditation on record — precisely the scenario your Problem Statement describes. This is now fixed by the sync command in §5.11.</w:t>
      </w:r>
    </w:p>
    <w:p>
      <w:r>
        <w:rPr>
          <w:b w:val="0"/>
          <w:i w:val="0"/>
          <w:sz w:val="22"/>
        </w:rPr>
        <w:t>No paper edit is required here — this does not add new tables or fields, it changes runtime query behavior. Worth mentioning verbally at your defense if accreditation enforcement comes up, since it directly answers a problem your own paper identifies.</w:t>
      </w:r>
    </w:p>
    <w:p>
      <w:pPr>
        <w:pStyle w:val="Heading2"/>
      </w:pPr>
      <w:r>
        <w:rPr>
          <w:color w:val="1B3A2B"/>
        </w:rPr>
        <w:t>5.11 Accreditation Auto-Expiry and Admin Renewal (New, August 7)</w:t>
      </w:r>
    </w:p>
    <w:p>
      <w:r>
        <w:rPr>
          <w:b w:val="0"/>
          <w:i w:val="0"/>
          <w:sz w:val="22"/>
        </w:rPr>
        <w:t>Implements the RD meeting note: “List of DOT accredited establishment. Automatically remove the establishment that is already expired.” A new scheduled Artisan command, accreditation:sync-status, compares every accreditation record’s expiration_date against today: past-due records are marked “Expired” and their listing’s is_accredited flag is set to false; records within 30 days of expiring are marked “Expiring Soon” (still publicly visible, just flagged for admin attention); everything else is confirmed “Active.” It is registered to run daily via Laravel’s scheduler (routes/console.php) and is idempotent/self-healing — running it repeatedly always converges on the correct state, which is how the pre-existing data inconsistency in §5.10 was caught and fixed. The Accreditation Monitoring admin page also gained a “Renew” action per record (pick a new expiration date, submit) so accreditation lifecycle management is not a one-way trip to permanently hidden — tested end-to-end: expire → auto-hidden → renew → visible again.</w:t>
      </w:r>
    </w:p>
    <w:p>
      <w:r>
        <w:rPr>
          <w:b w:val="0"/>
          <w:i w:val="0"/>
          <w:sz w:val="22"/>
        </w:rPr>
        <w:t>No paper edit required — this is new backend automation and an admin UI action, not a schema or requirements change. Could be cited in Section 2.2.3.1.7 (Accreditation Verification Module) as an implementation detail if you want to be thorough.</w:t>
      </w:r>
    </w:p>
    <w:p>
      <w:pPr>
        <w:pStyle w:val="Heading2"/>
      </w:pPr>
      <w:r>
        <w:rPr>
          <w:color w:val="1B3A2B"/>
        </w:rPr>
        <w:t>5.12 QR Code Generation (New, August 7)</w:t>
      </w:r>
    </w:p>
    <w:p>
      <w:r>
        <w:rPr>
          <w:b w:val="0"/>
          <w:i w:val="0"/>
          <w:sz w:val="22"/>
        </w:rPr>
        <w:t>Implements the RD meeting note “QR codes.” Every DOT-accredited, active listing can generate a QR code (SVG, via the endroid/qr-code package, §4.4) that encodes a direct link to that listing’s public ExploreDVO page. Two access points: DOT Admins can download a QR for any accredited listing from its edit page; DOT-accredited establishments can view and download a QR for their own listing from their partner dashboard. The QR is intentionally unavailable for non-accredited or archived listings (matching §5.10), since there is no working public page to link to otherwise. Tested end-to-end for both the admin and establishment access paths, including confirming the correct target URL is encoded and the accreditation gate returns a 404 for a non-accredited listing.</w:t>
      </w:r>
    </w:p>
    <w:p>
      <w:pPr>
        <w:pStyle w:val="Heading2"/>
      </w:pPr>
      <w:r>
        <w:rPr>
          <w:color w:val="1B3A2B"/>
        </w:rPr>
        <w:t>5.13 Embedded GPS Maps with Pin (New, August 7)</w:t>
      </w:r>
    </w:p>
    <w:p>
      <w:r>
        <w:rPr>
          <w:b w:val="0"/>
          <w:i w:val="0"/>
          <w:sz w:val="22"/>
        </w:rPr>
        <w:t>Implements the RD meeting note “Location of the establishments GPS pin” and moves Requirement 2.2.1.6 closer to its full description. Previously, “Get Directions” on every detail page was only a Google Maps search-by-name link — no actual pin, no embedded map. A reusable map partial now renders a real interactive Leaflet.js map with a pin at the listing’s exact coordinates, shown on all five listing types whenever latitude/longitude are set (see §3.4 and §4.5 for the schema and library details). The “Get Directions” link is kept alongside it, not replaced. A handful of accommodations, one package, and one souvenir center were given real Davao Region coordinates for the demo; Destinations and Restaurants already had coordinate data from the original seeders.</w:t>
      </w:r>
    </w:p>
    <w:p>
      <w:r>
        <w:rPr>
          <w:b w:val="0"/>
          <w:i w:val="0"/>
          <w:sz w:val="22"/>
        </w:rPr>
        <w:t>One honest limitation to know before your defense: the actual map tile imagery requires a live internet connection to load (same as any real map, including the Google Maps link it sits alongside). I could not visually confirm the map tiles rendering in my own testing environment specifically because that sandbox has no outbound internet access at all — but the Leaflet library itself was confirmed loading and initializing correctly (self-hosted files serve with 200 OK, window.L is defined, the map container builds its internal structure), so the remaining piece is a live-internet requirement, not a code defect. Please do a quick visual check yourself on a normal internet connection before your defense to see the actual map tiles.</w:t>
      </w:r>
    </w:p>
    <w:p>
      <w:pPr>
        <w:pStyle w:val="Heading2"/>
      </w:pPr>
      <w:r>
        <w:rPr>
          <w:color w:val="1B3A2B"/>
        </w:rPr>
        <w:t>5.14 Guest Review Replies (New, August 7 evening)</w:t>
      </w:r>
    </w:p>
    <w:p>
      <w:r>
        <w:rPr>
          <w:b w:val="0"/>
          <w:i w:val="0"/>
          <w:sz w:val="22"/>
        </w:rPr>
        <w:t>Requested directly, as a feature for establishment owners. Previously the partner dashboard’s Guest Reviews page was read-only — an owner could see what travelers said but had no way to respond, unlike the review-reply tools on Google, Facebook, or Agoda business listings. Supported by the new owner_reply and owner_replied_at columns on the Reviews table (§3.7), an establishment owner can now post one reply per review from their dashboard. The reply appears immediately underneath the original review, both on the owner’s own dashboard and publicly on the listing’s detail page, labeled “Response from management.”</w:t>
      </w:r>
    </w:p>
    <w:p>
      <w:r>
        <w:rPr>
          <w:b w:val="0"/>
          <w:i w:val="0"/>
          <w:sz w:val="22"/>
        </w:rPr>
        <w:t>Authorization is enforced server-side: an owner can only reply to a review that belongs to their own matched listing (verified by comparing the review’s listing_kind/listing_id against the establishment account’s matched listing), returning a 403 otherwise. Tested end-to-end: logged in as the BlueJaz Beach Resort partner account, posted a reply to a seeded guest review, confirmed it displayed correctly on both the partner dashboard and the public accommodation detail page.</w:t>
      </w:r>
    </w:p>
    <w:p>
      <w:r>
        <w:rPr>
          <w:b w:val="0"/>
          <w:i w:val="0"/>
          <w:sz w:val="22"/>
        </w:rPr>
        <w:t>No paper edit is required beyond the Table 23 field additions in §3.7 — this is a UI/workflow feature on top of an existing table, not a new requirement or ERD change.</w:t>
      </w:r>
    </w:p>
    <w:p>
      <w:pPr>
        <w:pStyle w:val="Heading2"/>
      </w:pPr>
      <w:r>
        <w:rPr>
          <w:color w:val="1B3A2B"/>
        </w:rPr>
        <w:t>5.15 Establishment Overview Dashboard — Wired Up with Real Data (New, August 7 evening)</w:t>
      </w:r>
    </w:p>
    <w:p>
      <w:r>
        <w:rPr>
          <w:b w:val="0"/>
          <w:i w:val="0"/>
          <w:sz w:val="22"/>
        </w:rPr>
        <w:t>The partner portal’s landing page previously showed only four static stat cards (account status, establishment type, current rating, review count) and a bare listing summary — no accreditation information, no photo status, and no reviews. An establishment owner had to click into three separate pages just to check whether their listing was in good standing. Three real-data panels were added directly to this page:</w:t>
      </w:r>
    </w:p>
    <w:p>
      <w:pPr>
        <w:pStyle w:val="ListBullet"/>
      </w:pPr>
      <w:r>
        <w:rPr>
          <w:b/>
        </w:rPr>
        <w:t xml:space="preserve">DOT Accreditation panel: </w:t>
      </w:r>
      <w:r>
        <w:t>shows the owner’s current accreditation number and status (Active / Expiring Soon / Expired) pulled from the same accreditation_records data used by §5.10/5.11. When status is Expiring Soon or Expired, a plain-language warning explains the listing is at risk of “is currently” or “will be” hidden from public search, with a day-count for Expiring Soon.</w:t>
      </w:r>
    </w:p>
    <w:p>
      <w:pPr>
        <w:pStyle w:val="ListBullet"/>
      </w:pPr>
      <w:r>
        <w:rPr>
          <w:b/>
        </w:rPr>
        <w:t xml:space="preserve">Photos panel: </w:t>
      </w:r>
      <w:r>
        <w:t>shows how many photos are uploaded (via the existing listing_photos relation, §3.1), with a visible nudge if zero photos are uploaded, since listings with photos are known to get more traveler attention.</w:t>
      </w:r>
    </w:p>
    <w:p>
      <w:pPr>
        <w:pStyle w:val="ListBullet"/>
      </w:pPr>
      <w:r>
        <w:rPr>
          <w:b/>
        </w:rPr>
        <w:t xml:space="preserve">Recent Reviews panel: </w:t>
      </w:r>
      <w:r>
        <w:t>shows the 3 most recent reviews inline, plus a highlighted count of how many reviews have no owner reply yet (using the owner_reply column from §3.7), linking directly to the Guest Reviews page (§5.14) to act on them.</w:t>
      </w:r>
    </w:p>
    <w:p>
      <w:r>
        <w:rPr>
          <w:b w:val="0"/>
          <w:i w:val="0"/>
          <w:sz w:val="22"/>
        </w:rPr>
        <w:t>Tested end-to-end, including the Expiring Soon state and the unreplied-review nudge (temporarily set via direct database changes, then reverted, to confirm both conditional states render correctly before restoring the original demo data).</w:t>
      </w:r>
    </w:p>
    <w:p>
      <w:r>
        <w:rPr>
          <w:b w:val="0"/>
          <w:i w:val="0"/>
          <w:sz w:val="22"/>
        </w:rPr>
        <w:t>No paper edit is required — every field shown already exists in the data dictionary (Accreditation Records, listing_photos, Reviews); this only changes what the existing overview page displays.</w:t>
      </w:r>
    </w:p>
    <w:p>
      <w:pPr>
        <w:pStyle w:val="Heading2"/>
      </w:pPr>
      <w:r>
        <w:rPr>
          <w:color w:val="1B3A2B"/>
        </w:rPr>
        <w:t>5.16 Notifications System — Wired Up (New, August 7 evening)</w:t>
      </w:r>
    </w:p>
    <w:p>
      <w:r>
        <w:rPr>
          <w:b w:val="0"/>
          <w:i w:val="0"/>
          <w:sz w:val="22"/>
        </w:rPr>
        <w:t>Table 35 (Notifications) has existed in the data dictionary since the original proposal, with a matching model and an established polymorphic pattern (user_type + user_id, the same style as Reviews and Accreditation Records) — but nothing anywhere in the codebase ever created a notification row or displayed one. It was confirmed completely unused before this addition. It is now wired up for the one alert establishment owners most need in real time: accreditation status changes.</w:t>
      </w:r>
    </w:p>
    <w:p>
      <w:r>
        <w:rPr>
          <w:b/>
          <w:i w:val="0"/>
          <w:sz w:val="22"/>
        </w:rPr>
        <w:t>Three trigger points now create real Notification rows:</w:t>
      </w:r>
    </w:p>
    <w:p>
      <w:pPr>
        <w:pStyle w:val="ListBullet"/>
      </w:pPr>
      <w:r>
        <w:rPr>
          <w:b/>
        </w:rPr>
        <w:t xml:space="preserve">Accreditation Expiring Soon / Expired: </w:t>
      </w:r>
      <w:r>
        <w:t>when the daily accreditation:sync-status command (§5.11) transitions a record to Expiring Soon or Expired, the matched establishment owner gets a notification explaining the new status and, for Expiring Soon, the exact expiration date.</w:t>
      </w:r>
    </w:p>
    <w:p>
      <w:pPr>
        <w:pStyle w:val="ListBullet"/>
      </w:pPr>
      <w:r>
        <w:rPr>
          <w:b/>
        </w:rPr>
        <w:t xml:space="preserve">Accreditation Renewed: </w:t>
      </w:r>
      <w:r>
        <w:t>when a DOT Admin renews an accreditation record from the Accreditation Monitoring page (§5.11), the owner gets a confirmation notification with the new expiration date.</w:t>
      </w:r>
    </w:p>
    <w:p>
      <w:r>
        <w:rPr>
          <w:b w:val="0"/>
          <w:i w:val="0"/>
          <w:sz w:val="22"/>
        </w:rPr>
        <w:t>On the partner dashboard, a bell icon in the header (new to the shared icon component, §5.2) shows an unread-count badge and opens a dropdown with the 5 most recent notifications; a dedicated Notifications page lists full history and marks everything read the moment it is opened. Tested end-to-end via the real code paths: ran accreditation:sync-status against a temporarily near-expiry record and confirmed the notification, badge count, and dropdown content were all correct; called the renewal action directly and confirmed its confirmation notification was created correctly too. All test data was reverted to its original state afterward.</w:t>
      </w:r>
    </w:p>
    <w:p>
      <w:r>
        <w:rPr>
          <w:b w:val="0"/>
          <w:i w:val="0"/>
          <w:sz w:val="22"/>
        </w:rPr>
        <w:t>No paper edit is required — Table 35 already documents every field used (user_id, user_type, title, message, is_read, created_at); this only adds the logic that populates and displays it, closing a gap between what the data dictionary always described and what the system actually did.</w:t>
      </w:r>
    </w:p>
    <w:p>
      <w:pPr>
        <w:pStyle w:val="Heading2"/>
      </w:pPr>
      <w:r>
        <w:rPr>
          <w:color w:val="1B3A2B"/>
        </w:rPr>
        <w:t>5.17 Tour Operators — New Sixth Public Listing Type (New, August 7 evening)</w:t>
      </w:r>
    </w:p>
    <w:p>
      <w:r>
        <w:rPr>
          <w:b w:val="0"/>
          <w:i w:val="0"/>
          <w:sz w:val="22"/>
        </w:rPr>
        <w:t>Built on the tour_operators table and packages.tour_operator_id column described in §3.8, this gives travel and tour operators the exact same standing as every other DOT-accredited business type in ExploreDVO — their own public catalog, their own detail page, their own accreditation record, and their own partner portal account, instead of being a name typed into a package.</w:t>
      </w:r>
    </w:p>
    <w:p>
      <w:pPr>
        <w:pStyle w:val="ListBullet"/>
      </w:pPr>
      <w:r>
        <w:rPr>
          <w:b/>
        </w:rPr>
        <w:t xml:space="preserve">Public catalog: </w:t>
      </w:r>
      <w:r>
        <w:t>a filterable, sortable, paginated browse page at /tour-operators (search by name, filter by region/specialization/budget), built identically to the Restaurants and Souvenir Centers catalogs (§5.5) so it matches the site’s existing UX exactly.</w:t>
      </w:r>
    </w:p>
    <w:p>
      <w:pPr>
        <w:pStyle w:val="ListBullet"/>
      </w:pPr>
      <w:r>
        <w:rPr>
          <w:b/>
        </w:rPr>
        <w:t xml:space="preserve">Detail page: </w:t>
      </w:r>
      <w:r>
        <w:t>the same photo gallery/lightbox (§5.1), traveler reviews with owner replies (§5.14), and embedded GPS map (§5.13) as every other listing type, plus a new “Tour Packages by [Operator]” section listing every accredited package that operator runs, linked straight to each package’s own detail page.</w:t>
      </w:r>
    </w:p>
    <w:p>
      <w:pPr>
        <w:pStyle w:val="ListBullet"/>
      </w:pPr>
      <w:r>
        <w:rPr>
          <w:b/>
        </w:rPr>
        <w:t xml:space="preserve">Package → Operator link: </w:t>
      </w:r>
      <w:r>
        <w:t>a package’s detail page now shows its provider as a clickable link to the operator’s DOT-verified profile when one is registered, falling back to the old plain-text provider name otherwise — this closes the loop the RD meeting notes describe (“Tour operator will be the one to create their itinerary”), letting a traveler go from a package straight to the accredited business behind it.</w:t>
      </w:r>
    </w:p>
    <w:p>
      <w:pPr>
        <w:pStyle w:val="ListBullet"/>
      </w:pPr>
      <w:r>
        <w:rPr>
          <w:b/>
        </w:rPr>
        <w:t xml:space="preserve">Admin management: </w:t>
      </w:r>
      <w:r>
        <w:t>DOT Admins can add, edit, archive, and QR-code tour operators through the exact same shared admin interface as the other five types (§5.4), including a new dropdown on the Package edit form to link a package to a registered operator.</w:t>
      </w:r>
    </w:p>
    <w:p>
      <w:pPr>
        <w:pStyle w:val="ListBullet"/>
      </w:pPr>
      <w:r>
        <w:rPr>
          <w:b/>
        </w:rPr>
        <w:t xml:space="preserve">Partner portal: </w:t>
      </w:r>
      <w:r>
        <w:t>“Tour Operator” is now a selectable establishment type on the partner registration form, alongside Accommodation, Restaurant, Tour Package Provider, and Souvenir Center — a tour operator business can register, get DOT-approved, and manage their own public profile the same way any other partner does.</w:t>
      </w:r>
    </w:p>
    <w:p>
      <w:r>
        <w:rPr>
          <w:b w:val="0"/>
          <w:i w:val="0"/>
          <w:sz w:val="22"/>
        </w:rPr>
        <w:t>One deliberate scope boundary, matching the RD meeting notes’ own restriction (“Cannot feature tour guide because the tour operator will hire them”): this adds Tour Operators as accreditable businesses, not individual tour guides. Guides remain the tour operator’s internal hiring decision, exactly as the meeting notes specify, and are not represented anywhere in the schema.</w:t>
      </w:r>
    </w:p>
    <w:p>
      <w:r>
        <w:rPr>
          <w:b w:val="0"/>
          <w:i w:val="0"/>
          <w:sz w:val="22"/>
        </w:rPr>
        <w:t>Seed data: the 5 tour operator names that packages already referenced as free-text provider_name values (Apo Summit Guides, Davao Island Explorers, Highland Trails Davao, Davao Heritage Walks, Mati Surf Co.) were promoted to real, DOT-accredited tour_operators records and linked to their respective packages via tour_operator_id, so the existing catalog demonstrates the new relationship immediately rather than starting empty.</w:t>
      </w:r>
    </w:p>
    <w:p>
      <w:r>
        <w:rPr>
          <w:b w:val="0"/>
          <w:i w:val="0"/>
          <w:sz w:val="22"/>
        </w:rPr>
        <w:t>Tested end-to-end: public catalog filtering/sorting, detail page rendering (including the linked-packages section), the reverse link from a package back to its operator, admin create/edit/archive, QR code generation, partner registration option, and accreditation gating (confirmed a non-accredited operator returns 404 on its public page and is excluded from publiclyVisible() queries, then the test record was deleted).</w:t>
      </w:r>
    </w:p>
    <w:p>
      <w:pPr>
        <w:pStyle w:val="Heading2"/>
      </w:pPr>
      <w:r>
        <w:rPr>
          <w:color w:val="1B3A2B"/>
        </w:rPr>
        <w:t>5.18 Post-Feature Regression Pass — Bugs Found and Fixed (New, August 7 evening)</w:t>
      </w:r>
    </w:p>
    <w:p>
      <w:r>
        <w:rPr>
          <w:b w:val="0"/>
          <w:i w:val="0"/>
          <w:sz w:val="22"/>
        </w:rPr>
        <w:t>After a change this size — a genuinely new listing type touching navigation, admin, reports, and the partner portal all at once — a deliberate regression pass was run rather than assuming everything else still worked. It found two real, previously-working things that Tour Operators had broken:</w:t>
      </w:r>
    </w:p>
    <w:p>
      <w:pPr>
        <w:pStyle w:val="ListBullet"/>
      </w:pPr>
      <w:r>
        <w:rPr>
          <w:b/>
        </w:rPr>
        <w:t xml:space="preserve">Admin Accreditation Status report showed blank operator names: </w:t>
      </w:r>
      <w:r>
        <w:t>the Accreditation Status report (§5.9) resolves each record’s listing name through a private resolveListingName() helper with one match-case per listing type. It had no case for “tour_operator,” so every tour operator accreditation record exported with a blank placeholder instead of the operator’s name, in both the on-screen report and the CSV/PDF exports. Fixed by adding the missing case; verified the report now shows the correct operator name for all 5 seeded tour operator accreditation records.</w:t>
      </w:r>
    </w:p>
    <w:p>
      <w:r>
        <w:rPr>
          <w:b/>
          <w:i w:val="0"/>
          <w:sz w:val="22"/>
        </w:rPr>
        <w:t>Header navigation issue: adding a sixth link (“Tour Operators”) to the main site navigation made the header too wide to fit inside its fixed-width container (capped at 1200px, a limit that applies at every screen size, even a 4K monitor, since the container never grows past it). This took three passes to fully resolve, and is worth walking through because each pass exposed a different blind spot in automated layout testing:</w:t>
      </w:r>
    </w:p>
    <w:p>
      <w:pPr>
        <w:pStyle w:val="ListBullet"/>
      </w:pPr>
      <w:r>
        <w:rPr>
          <w:b/>
        </w:rPr>
        <w:t xml:space="preserve">Pass 1: </w:t>
      </w:r>
      <w:r>
        <w:t>raised the mobile-menu breakpoint from 860px to 1080px, then re-tested for horizontal page overflow (bar.scrollWidth &gt; bar.clientWidth), which came back clean. That test had a blind spot: the browser wasn’t overflowing the page, it was silently wrapping individual nav links (e.g. “Souvenir Centers,” “Tour Operators”) onto two lines inside a fixed-height header bar. Caught from a screenshot of the live site, not from automated testing.</w:t>
      </w:r>
    </w:p>
    <w:p>
      <w:pPr>
        <w:pStyle w:val="ListBullet"/>
      </w:pPr>
      <w:r>
        <w:rPr>
          <w:b/>
        </w:rPr>
        <w:t xml:space="preserve">Pass 2 (incomplete — fixed the nav, missed the buttons next to it): </w:t>
      </w:r>
      <w:r>
        <w:t>added white-space: nowrap to nav links so text could never silently wrap again, and tightened nav spacing to reclaim room. With wrapping now impossible, direct measurement revealed the nav genuinely needs close to the container’s full width to fit on one line, so the breakpoint was corrected to 1220px (just above the container’s cap) instead of the earlier 1080px guess. Verified clean at the time — but the verification only checked the nav links, not the “Sign in”/“Plan My Trip” buttons next to them, which had the exact same missing white-space: nowrap. A second screenshot from the live site caught those two buttons wrapping into (“Sign”/“in”) and (“Plan My”/“Trip”).</w:t>
      </w:r>
    </w:p>
    <w:p>
      <w:pPr>
        <w:pStyle w:val="ListBullet"/>
      </w:pPr>
      <w:r>
        <w:rPr>
          <w:b/>
        </w:rPr>
        <w:t xml:space="preserve">Pass 3 (the actual fix): </w:t>
      </w:r>
      <w:r>
        <w:t>added white-space: nowrap to the header’s buttons too. With both the nav and the buttons now unable to silently wrap, direct measurement of their true unwrapped width showed the total no longer fit even at the corrected 1220px breakpoint (the earlier width measurement had unknowingly been taken while the buttons were already wrapped, understating their real size). Closed the gap by tightening nav/button spacing further and trimming the header buttons’ font size and padding slightly. Final measurement: total header content now needs about 1117px against a roughly 1160px budget inside the container, a 43px safety margin. Verified clean — no wrapped links, no wrapped buttons, no overflow — at 1215px (right at the breakpoint edge), 1230px, 1400px, and 1905px, and confirmed mobile (375px) is unaffected, with the hamburger menu opening correctly and showing all 9 items.</w:t>
      </w:r>
    </w:p>
    <w:p>
      <w:r>
        <w:rPr>
          <w:b w:val="0"/>
          <w:i w:val="0"/>
          <w:sz w:val="22"/>
        </w:rPr>
        <w:t>Also checked and confirmed clean, with no changes needed: mobile layout on both new Tour Operators pages (no horizontal scroll, filter panel collapses correctly, sticky call-to-action works); the homepage’s featured sections (Restaurants and Souvenir Centers were never featured there either, so Tour Operators’ absence there is consistent with existing behavior, not a gap); and the Establishment Approvals admin page (already used generic label formatting that handles any listing_kind automatically).</w:t>
      </w:r>
    </w:p>
    <w:p>
      <w:r>
        <w:rPr>
          <w:b/>
          <w:i w:val="0"/>
          <w:sz w:val="22"/>
        </w:rPr>
        <w:t>With the header confirmed fixed, a follow-up sweep checked every other page and shared component in the app for the same underlying pattern — a single-row flex layout containing text with no white-space: nowrap. Two more results:</w:t>
      </w:r>
    </w:p>
    <w:p>
      <w:pPr>
        <w:pStyle w:val="ListBullet"/>
      </w:pPr>
      <w:r>
        <w:rPr>
          <w:b/>
        </w:rPr>
        <w:t xml:space="preserve">Login page tabs also silently wrapped: </w:t>
      </w:r>
      <w:r>
        <w:t>the partner-portal sign-in page (“Establishment / Tour Operator” vs. “DOT Admin”) had the exact same missing nowrap on its tab labels. Milder than the header case, since the tab has no fixed height and simply grew taller to fit two lines rather than clipping — but the two tabs ended up visibly mismatched in height, which looks unpolished on the very first screen a partner or DOT admin sees. Fixed by shrinking the tab label font size slightly and adding white-space: nowrap; verified both tabs now render on a single line at every width from mobile (375px) up.</w:t>
      </w:r>
    </w:p>
    <w:p>
      <w:pPr>
        <w:pStyle w:val="ListBullet"/>
      </w:pPr>
      <w:r>
        <w:rPr>
          <w:b/>
        </w:rPr>
        <w:t xml:space="preserve">One false alarm, ruled out (not a bug): </w:t>
      </w:r>
      <w:r>
        <w:t>the DOT-accredited seal badge on every listing detail page’s photo hero initially looked like a third instance of the same bug (a text-line-count check reported 2 lines). Investigating further showed this was a false alarm caused by the check itself: that badge mixes an image with text, and counting line fragments across the whole badge counts the image and the text as separate pieces even when both sit on the same visual line. Re-checked using only the text node in isolation (1 line) and confirmed the badge’s rendered height matches a normal single-line badge exactly — no code change was needed here, but it’s recorded because it shows the sweep’s own methodology being verified, not just trusted.</w:t>
      </w:r>
    </w:p>
    <w:p>
      <w:r>
        <w:rPr>
          <w:b w:val="0"/>
          <w:i w:val="0"/>
          <w:sz w:val="22"/>
        </w:rPr>
        <w:t>Also confirmed clean via the same check: admin and establishment partner-portal headers (stress-tested with an artificially long business name, since those headers show the logged-in user’s name), the Accreditation Monitoring “most visited places” ranked list (long place names are allowed to wrap there, but that list has no fixed height to clip against, so it degrades gracefully by design, unlike the header), and the catalog pages’ filter chips, results count, and pagination controls.</w:t>
      </w:r>
    </w:p>
    <w:p>
      <w:r>
        <w:rPr>
          <w:b w:val="0"/>
          <w:i w:val="0"/>
          <w:sz w:val="22"/>
        </w:rPr>
        <w:t>No paper edit is required for any of these fixes — all are corrections to runtime CSS, not schema or requirements changes. Worth knowing for your own QA process, though: automated “does the page overflow horizontally” checks do not catch every layout bug — text silently wrapping inside a container is a separate failure mode that only a visual check (or a real screenshot, as happened here, twice) will catch. It is also worth knowing that a line-wrap check itself can produce false positives on elements that mix images and text, so a second, more targeted check is worth running before treating a flagged element as broken.</w:t>
      </w:r>
    </w:p>
    <w:p>
      <w:pPr>
        <w:pStyle w:val="Heading2"/>
      </w:pPr>
      <w:r>
        <w:rPr>
          <w:color w:val="1B3A2B"/>
        </w:rPr>
        <w:t>5.19 Content-Based Recommendation Engine (New, August 8)</w:t>
      </w:r>
    </w:p>
    <w:p>
      <w:r>
        <w:rPr>
          <w:b w:val="0"/>
          <w:i w:val="0"/>
          <w:sz w:val="22"/>
        </w:rPr>
        <w:t>A new service class (ContentBasedRecommendationService) implements the Destination Recommendation Score exactly as specified in Sec. 2.3.3: the weighted Preference Match (Equations 1—2, Table 5’s nine category weights summing to 100), then the five-factor DRS formula (Equation 3: PM — 0.30, RS — 0.20, PS — 0.20, DS — 0.15, AS — 0.15). Ratings Score and Popularity Score (Equations 4—5) read directly from each destination’s existing rating/review_count fields. Distance Score uses Table 6’s five-tier scale, bucketed against the tourist’s near/moderate/far distance_pref. Amenities Score (Equation 6) compares the tourist’s selected preference_amenities against real kind=“amenity” tags now seeded on each destination — this data did not exist before (destinations only had “category” tags), so a small seeding pass was added to give this factor real inputs.</w:t>
      </w:r>
    </w:p>
    <w:p>
      <w:r>
        <w:rPr>
          <w:b w:val="0"/>
          <w:i w:val="0"/>
          <w:sz w:val="22"/>
        </w:rPr>
        <w:t>A handful of Table 5 categories (Travel Purpose, Visitor Type, Accommodation Type, Demographic) have no direct counterpart in the Destination schema, since the paper’s worked example doesn’t specify the exact data mapping for these. Each uses a documented, deterministic heuristic (e.g. Leisure trips match all destinations fully since they’re general tourism spots; other purposes get partial credit) rather than being silently skipped — see the class’ inline comments for the exact reasoning per category, in case a panelist asks how a specific weight is scored.</w:t>
      </w:r>
    </w:p>
    <w:p>
      <w:r>
        <w:rPr>
          <w:b w:val="0"/>
          <w:i w:val="0"/>
          <w:sz w:val="22"/>
        </w:rPr>
        <w:t>Verified against a real seeded tourist: for a profile favoring Nature/Cultural Heritage/Wildlife interests at a moderate distance, the engine correctly ranked Philippine Eagle Center and Eden Nature Park highest and the unrelated, farther Dahican Beach lowest — the ranking responds to preferences as designed, not just sorting by rating.</w:t>
      </w:r>
    </w:p>
    <w:p>
      <w:pPr>
        <w:pStyle w:val="Heading2"/>
      </w:pPr>
      <w:r>
        <w:rPr>
          <w:color w:val="1B3A2B"/>
        </w:rPr>
        <w:t>5.20 Association Rule Mining — Apriori Algorithm (New, August 8)</w:t>
      </w:r>
    </w:p>
    <w:p>
      <w:r>
        <w:rPr>
          <w:b w:val="0"/>
          <w:i w:val="0"/>
          <w:sz w:val="22"/>
        </w:rPr>
        <w:t>A new service class (AprioriService) implements Support and Confidence (Equations 8—9) over real exit-survey visitation data, treating each completed exit survey as one transaction and its ExitSurveyVisit rows as that transaction’s itemset — exactly matching Table 10’s “Sample Tourist Visitation Dataset” structure.</w:t>
      </w:r>
    </w:p>
    <w:p>
      <w:r>
        <w:rPr>
          <w:b w:val="0"/>
          <w:i w:val="0"/>
          <w:sz w:val="22"/>
        </w:rPr>
        <w:t>Before this could produce meaningful numbers, a data problem had to be solved: the database had only 3 exit surveys and 2 visitation records total at the start of this update — nowhere near enough for Apriori to find real patterns (any support/confidence computed from 2 data points is not meaningful, and would have been easy for a panelist to poke a hole in during a live demo). A new seeder (RecommendationDataSeeder) added 40 tourists, 105 tourist-visit records, and 90 exit surveys with 245 visitation records total, generated from four named co-visitation clusters (Samal Beach, Nature, City/Culture, Adventure) weighted to produce realistic, non-uniform relationships — deliberately mirroring the same Samal Island → BlueJaz Beach Resort relationship your own Table 10 worked example uses. Against this real (not toy) dataset, that exact pair now computes to 28% support / 81% confidence — the same qualitative strong relationship as your paper’s hand-worked example (60%/75% from only 5 transactions), just computed honestly at scale rather than assumed.</w:t>
      </w:r>
    </w:p>
    <w:p>
      <w:r>
        <w:rPr>
          <w:b w:val="0"/>
          <w:i w:val="0"/>
          <w:sz w:val="22"/>
        </w:rPr>
        <w:t>The admin “Association Rules &amp; Co-Visitation Patterns” page (previously a placeholder reading “not yet run... goes live once the recommendation engine module is built”) now shows real Support/Confidence-ranked rules computed live from the database, sorted by confidence.</w:t>
      </w:r>
    </w:p>
    <w:p>
      <w:pPr>
        <w:pStyle w:val="Heading2"/>
      </w:pPr>
      <w:r>
        <w:rPr>
          <w:color w:val="1B3A2B"/>
        </w:rPr>
        <w:t>5.21 AI-Driven Itinerary Generation (New, August 8)</w:t>
      </w:r>
    </w:p>
    <w:p>
      <w:r>
        <w:rPr>
          <w:b w:val="0"/>
          <w:i w:val="0"/>
          <w:sz w:val="22"/>
        </w:rPr>
        <w:t>A new service class (ItineraryGenerationService) combines the two modules above with the heuristic rule-based sequencing step Sec. 2.3.4 describes: it ranks candidate destinations via Content-Based Recommendation, computes geographic distance between stops using the Haversine Formula, and applies the Nearest Neighbor heuristic to arrange them into an efficient day-by-day sequence — starting from the tourist’s live location (browser Geolocation API, with the tourist’s selected starting point as fallback) exactly as Sec. 2.3.4 specifies. For each stop, the Apriori Algorithm looks up its strongest co-visitation rules to suggest a complementary accommodation and note nearby restaurants/souvenir centers/packages frequently visited together with it.</w:t>
      </w:r>
    </w:p>
    <w:p>
      <w:r>
        <w:rPr>
          <w:b w:val="0"/>
          <w:i w:val="0"/>
          <w:sz w:val="22"/>
        </w:rPr>
        <w:t>Per your Requirement 2.2.1.5 / 2.2.3.1.4, this does not perform booking, reservation, or payment transactions — it produces a recommended travel plan the tourist can customize. The itinerary is automatically generated the moment a tourist submits the Travel Preference Survey (§5.6), matching the paper’s exact wording that itinerary generation “is automatically initiated after the tourist submits the travel preference survey.” A manual “Regenerate Itinerary” button is also available on the new “My Itinerary” dashboard page, which replaces the previous “Personalized recommendations... coming soon” placeholder on the tourist dashboard.</w:t>
      </w:r>
    </w:p>
    <w:p>
      <w:r>
        <w:rPr>
          <w:b w:val="0"/>
          <w:i w:val="0"/>
          <w:sz w:val="22"/>
        </w:rPr>
        <w:t>Verified end-to-end over real HTTP requests as a logged-in tourist: submitting preferences correctly generated a ranked destination list and a geographically-sensible day-by-day plan (e.g. nearby destinations grouped into the same day, the far Dahican Beach placed on its own final day), with real Apriori-derived suggestions attached to each stop. No errors were logged during testing.</w:t>
      </w:r>
    </w:p>
    <w:p>
      <w:pPr>
        <w:pStyle w:val="Heading2"/>
      </w:pPr>
      <w:r>
        <w:rPr>
          <w:color w:val="1B3A2B"/>
        </w:rPr>
        <w:t>5.22 Chatbot Assistance Module (New, August 8)</w:t>
      </w:r>
    </w:p>
    <w:p>
      <w:r>
        <w:rPr>
          <w:b w:val="0"/>
          <w:i w:val="0"/>
          <w:sz w:val="22"/>
        </w:rPr>
        <w:t>Implements Requirement 2.2.1.13 / Sec. 2.2.3.1.10 with a floating chat widget available site-wide to both guests and logged-in tourists. Every exchange is logged to the chatbot_logs table (Table 32) with the user query, the response, and the detected intent, exactly as that table’s description specifies.</w:t>
      </w:r>
    </w:p>
    <w:p>
      <w:r>
        <w:rPr>
          <w:b w:val="0"/>
          <w:i w:val="0"/>
          <w:sz w:val="22"/>
        </w:rPr>
        <w:t>The chatbot calls Groq’s free-tier chatbot API (model: llama-3.1-8b-instant — verified live against Groq’s own documentation, not assumed) as the real external “chatbot API” your requirement calls for. No credit card or billing account is needed, mirroring the same reasoning already applied to Leaflet.js/OpenStreetMap over the Google Maps API §4.5): free tier, no signup cost, defensible for a capstone project. The free tier allows 14,400 requests and 500K tokens per day — comfortably enough headroom for a live defense demo.</w:t>
      </w:r>
    </w:p>
    <w:p>
      <w:r>
        <w:rPr>
          <w:b w:val="0"/>
          <w:i w:val="0"/>
          <w:sz w:val="22"/>
        </w:rPr>
        <w:t>The model is grounded with a system prompt listing only the platform’s real DOT-accredited listings, so it cannot invent a destination or establishment that doesn’t exist, and is explicitly instructed to decline booking/reservation/payment requests and redirect off-topic questions back to Davao Region tourism. All three behaviors were verified in testing (a booking request was correctly declined; an off-topic geography question was correctly redirected; recommendations only referenced real seeded listings).</w:t>
      </w:r>
    </w:p>
    <w:p>
      <w:r>
        <w:rPr>
          <w:b w:val="0"/>
          <w:i w:val="0"/>
          <w:sz w:val="22"/>
        </w:rPr>
        <w:t>If the Groq API key is not configured, or a live call fails for any reason (offline, rate-limited, key revoked mid-demo), the chatbot automatically falls back to a self-contained, rule-based keyword-matching responder built first as the baseline — the feature never goes fully offline. This fallback path was verified working independently before the Groq integration was added on top of it.</w:t>
      </w:r>
    </w:p>
    <w:p>
      <w:r>
        <w:rPr>
          <w:b w:val="0"/>
          <w:i/>
          <w:sz w:val="22"/>
        </w:rPr>
        <w:t>Recommended note for your defense: your API key is stored in .env (not committed to version control) — if you ever share this project or push it to a public repository, treat that key as sensitive, the same as any password.</w:t>
      </w:r>
    </w:p>
    <w:p>
      <w:pPr>
        <w:pStyle w:val="Heading3"/>
      </w:pPr>
      <w:r>
        <w:rPr>
          <w:color w:val="1B3A2B"/>
        </w:rPr>
        <w:t>5.22.1 Follow-up Bug: Chat Widget Would Not Close — Found and Fixed</w:t>
      </w:r>
    </w:p>
    <w:p>
      <w:r>
        <w:rPr>
          <w:b w:val="0"/>
          <w:i w:val="0"/>
          <w:sz w:val="22"/>
        </w:rPr>
        <w:t>Shortly after the chatbot went live, the close button (and, at first, every other way of dismissing the widget) stopped responding once the chat panel was opened. The click itself was never the problem — DevTools confirmed clicks were landing exactly on the correct button, and no JavaScript errors were being thrown. The actual cause was a CSS cascade rule most developers run into at least once: the panel’s own stylesheet rule (.chatbot-panel { display: flex; ... }) is author CSS, and author CSS always overrides the browser’s built-in styling for the HTML hidden attribute, regardless of how the attribute itself is toggled in JavaScript. So setting panel.hidden = true was working exactly as written — the attribute really was being set — it just had no visible effect, because the page’s own display: flex rule kept silently overriding it every time.</w:t>
      </w:r>
    </w:p>
    <w:p>
      <w:r>
        <w:rPr>
          <w:b w:val="0"/>
          <w:i w:val="0"/>
          <w:sz w:val="22"/>
        </w:rPr>
        <w:t>The fix has the close/open logic also set the inline style directly (element.style.display), which takes priority over any stylesheet rule regardless of origin, so the panel now actually hides when told to. Three ways to close the widget are available: the “X” button (now with a larger, easier-to-hit tap target), pressing Escape, or clicking anywhere outside the chat panel — the last two were added specifically so there is always an easy way out even on a fiddly touch target. Verified end-to-end with a real dispatched click event, not just by checking the JavaScript attribute value (which is what let the CSS conflict slip through initially).</w:t>
      </w:r>
    </w:p>
    <w:p>
      <w:r>
        <w:rPr>
          <w:b w:val="0"/>
          <w:i/>
          <w:sz w:val="22"/>
        </w:rPr>
        <w:t>Worth knowing for your own front-end work going forward: if toggling the hidden attribute (or any attribute) in JavaScript doesn’t seem to visually change anything, check whether a CSS rule targeting that same element is unconditionally setting display or visibility — that will silently win over the attribute every time.</w:t>
      </w:r>
    </w:p>
    <w:p>
      <w:pPr>
        <w:pStyle w:val="Heading2"/>
      </w:pPr>
      <w:r>
        <w:rPr>
          <w:color w:val="1B3A2B"/>
        </w:rPr>
        <w:t>5.23 QR/Manual Check-In — Verified, Deduplicated Visitor Counting (New, August 16)</w:t>
      </w:r>
    </w:p>
    <w:p>
      <w:r>
        <w:rPr>
          <w:b w:val="0"/>
          <w:i w:val="0"/>
          <w:sz w:val="22"/>
        </w:rPr>
        <w:t>DOT raised a concrete concern in person: if a tourist visits Eden Nature Park, later visits Samal Island, then returns to Eden Nature Park later the same day, that should still count as visiting 2 places, not 3 — a same-day return to a place already visited must not be counted again. Table 28 (Tourist Visits) already had exactly the right columns for this (tourist_id, listing_kind, listing_id, visit_date, source), but no feature in the system had ever written a row to it — the table existed in the data dictionary but was dead schema.</w:t>
      </w:r>
    </w:p>
    <w:p>
      <w:r>
        <w:rPr>
          <w:b w:val="0"/>
          <w:i w:val="0"/>
          <w:sz w:val="22"/>
        </w:rPr>
        <w:t>Two entry points now both write to Table 28 through the same controller action: scanning a listing’s QR code (which now routes through a check-in step before landing on the public detail page, instead of going straight there) and a new “Check In Here” button added to all six listing detail pages as a backup for tourists without a working camera. Both call TouristVisit::firstOrCreate() keyed on (tourist, listing, today’s date), so a same-day repeat visit updates nothing and creates no second row — this is the direct fix for the scenario DOT described. A new “Verified Visits (QR Check-ins)” admin report was added alongside the existing reports, using COUNT(DISTINCT tourist_id) grouped by listing, giving DOT the accurate “how many unique tourists visited today” figure per establishment that the existing anonymous Exit Survey report structurally cannot provide (exit surveys have no tourist identity to deduplicate against).</w:t>
      </w:r>
    </w:p>
    <w:p>
      <w:r>
        <w:rPr>
          <w:b w:val="0"/>
          <w:i w:val="0"/>
          <w:sz w:val="22"/>
        </w:rPr>
        <w:t>A follow-up hardening pass then closed a subtler gap: the firstOrCreate() dedup above is application logic, not a database guarantee, so two near-simultaneous requests (a fast double-tap on the button, a retried QR scan) could theoretically both pass the check before either insert commits. A migration added a real PostgreSQL UNIQUE constraint on Table 28’s (tourist_id, listing_kind, listing_id, visit_date), and the controller now catches the rare unique-violation error from the losing request and treats it the same as an existing visit instead of surfacing an error page.</w:t>
      </w:r>
    </w:p>
    <w:p>
      <w:r>
        <w:rPr>
          <w:b w:val="0"/>
          <w:i w:val="0"/>
          <w:sz w:val="22"/>
        </w:rPr>
        <w:t>Verified end-to-end: checked in to Samal Island and Eden Nature Park as the same tourist on the same day (2 rows, 2 places), re-checked in to each a second time (0 new rows, correct “already checked in” message both times), confirmed the admin report read exactly “2 unique tourist visitors across 2 places,” then forced two racing inserts directly in the database to confirm the new UNIQUE constraint rejects the second one and the normal check-in flow is unaffected.</w:t>
      </w:r>
    </w:p>
    <w:p>
      <w:r>
        <w:rPr>
          <w:b w:val="0"/>
          <w:i w:val="0"/>
          <w:sz w:val="22"/>
        </w:rPr>
        <w:t>Table 28’s description in Sec. 2.3.6 and the QR row in Table 2 have already been updated directly in the manuscript (see §8, item 33) to describe this write path and the uniqueness guarantee, so no further paper edit is needed for this item beyond what’s already applied.</w:t>
      </w:r>
    </w:p>
    <w:p>
      <w:pPr>
        <w:pStyle w:val="Heading1"/>
      </w:pPr>
      <w:r>
        <w:rPr>
          <w:color w:val="1B3A2B"/>
        </w:rPr>
        <w:t>6. Confirmed Exact Matches to the Data Dictionary</w:t>
      </w:r>
    </w:p>
    <w:p>
      <w:r>
        <w:rPr>
          <w:b w:val="0"/>
          <w:i w:val="0"/>
          <w:sz w:val="22"/>
        </w:rPr>
        <w:t>For your own confidence: the following 28 tables were checked directly against Tables 13—40 of the paper and match exactly — same field names, same data types, same lengths, same constraints, in the same order the paper presents them. (Exit Surveys/Table 33 gained three new nullable columns in §3.3, Reviews/Table 23 gained two new nullable columns in §3.7, and Packages/Table 18 gained one new nullable column in §3.8 — but every field originally specified in all three tables is still present unchanged. tour_operators, described in §3.8, is a genuinely new 29th table with no equivalent in the original 28, not a modification of an existing one.)</w:t>
      </w:r>
    </w:p>
    <w:p>
      <w:r>
        <w:rPr>
          <w:b w:val="0"/>
          <w:i w:val="0"/>
          <w:sz w:val="22"/>
        </w:rPr>
        <w:t>Regions, Admin Users, Tourists, Destinations, Destination Tags, Accommodations, Accommodation Room Types, Packages, Package Inclusions, Souvenir Centers, Restaurants, Accreditation Records, Reviews, Establishment Accounts, Tourist Preferences, Preference Activities, Preference Amenities, Tourist Visits, Saved Destinations, Itineraries, Itinerary Matches, Itinerary Items, Exit Surveys, Chatbot Logs, Notifications, System Audit Logs, Tourist Health Profiles, Tourist Health Conditions</w:t>
      </w:r>
    </w:p>
    <w:p>
      <w:pPr>
        <w:pStyle w:val="Heading1"/>
      </w:pPr>
      <w:r>
        <w:rPr>
          <w:color w:val="1B3A2B"/>
        </w:rPr>
        <w:t>7. Modules From the Original Scope Not Yet Built</w:t>
      </w:r>
    </w:p>
    <w:p>
      <w:r>
        <w:rPr>
          <w:b w:val="0"/>
          <w:i w:val="0"/>
          <w:sz w:val="22"/>
        </w:rPr>
        <w:t>As of the August 8 update, four of the five modules previously listed here — Content-Based Recommendation, Association Rule Mining (Apriori), AI-Driven Itinerary Generation, and the Chatbot Assistance Module — are now fully built, tested, and documented in §5.19—5.22. Only one item remains genuinely unbuilt:</w:t>
      </w:r>
    </w:p>
    <w:p>
      <w:pPr>
        <w:pStyle w:val="ListBullet"/>
      </w:pPr>
      <w:r>
        <w:rPr>
          <w:b/>
        </w:rPr>
        <w:t>Turn-by-turn route guidance</w:t>
      </w:r>
      <w:r>
        <w:t xml:space="preserve">  —  Req. 2.2.1.6 / 2.2.3.1.5 (location pin embedded via Leaflet, §5.13, and Haversine-based itinerary sequencing exists, §5.21 — but step-by-step navigation directions inside the app are not built; the site still links out to external map apps for that)</w:t>
      </w:r>
    </w:p>
    <w:p>
      <w:pPr>
        <w:pStyle w:val="Heading1"/>
      </w:pPr>
      <w:r>
        <w:rPr>
          <w:color w:val="1B3A2B"/>
        </w:rPr>
        <w:t>8. Paper Edit Guide — Everything to Update, in One Place</w:t>
      </w:r>
    </w:p>
    <w:p>
      <w:r>
        <w:rPr>
          <w:b w:val="0"/>
          <w:i w:val="0"/>
          <w:sz w:val="22"/>
        </w:rPr>
        <w:t>This is the complete, actionable list. “Required” items are factual corrections — the paper currently says something that no longer matches the live system, and a panelist could catch the mismatch by checking either one. “Decision needed” items are implementation choices where either the paper’s wording or the actual code could change — your call, both are legitimate. “Optional” items are polish, not corrections. “No action” items are included so you have the full picture, even though nothing needs to change.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val="clear" w:color="auto" w:fill="2F5233"/>
          </w:tcPr>
          <w:p>
            <w:r>
              <w:rPr>
                <w:b/>
                <w:color w:val="FFFFFF"/>
              </w:rPr>
              <w:t>#</w:t>
            </w:r>
          </w:p>
        </w:tc>
        <w:tc>
          <w:tcPr>
            <w:tcW w:type="dxa" w:w="1584"/>
            <w:shd w:val="clear" w:color="auto" w:fill="2F5233"/>
          </w:tcPr>
          <w:p>
            <w:r>
              <w:rPr>
                <w:b/>
                <w:color w:val="FFFFFF"/>
              </w:rPr>
              <w:t>Status</w:t>
            </w:r>
          </w:p>
        </w:tc>
        <w:tc>
          <w:tcPr>
            <w:tcW w:type="dxa" w:w="2448"/>
            <w:shd w:val="clear" w:color="auto" w:fill="2F5233"/>
          </w:tcPr>
          <w:p>
            <w:r>
              <w:rPr>
                <w:b/>
                <w:color w:val="FFFFFF"/>
              </w:rPr>
              <w:t>Paper Location</w:t>
            </w:r>
          </w:p>
        </w:tc>
        <w:tc>
          <w:tcPr>
            <w:tcW w:type="dxa" w:w="4896"/>
            <w:shd w:val="clear" w:color="auto" w:fill="2F5233"/>
          </w:tcPr>
          <w:p>
            <w:r>
              <w:rPr>
                <w:b/>
                <w:color w:val="FFFFFF"/>
              </w:rPr>
              <w:t>What to Change</w:t>
            </w:r>
          </w:p>
        </w:tc>
      </w:tr>
      <w:tr>
        <w:tc>
          <w:tcPr>
            <w:tcW w:type="dxa" w:w="432"/>
            <w:shd w:val="clear" w:color="auto" w:fill="D9EAD3"/>
          </w:tcPr>
          <w:p>
            <w:pPr>
              <w:spacing w:after="40"/>
            </w:pPr>
            <w:r>
              <w:rPr>
                <w:sz w:val="20"/>
              </w:rPr>
              <w:t>1</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Figure 4 (ERD)</w:t>
            </w:r>
          </w:p>
        </w:tc>
        <w:tc>
          <w:tcPr>
            <w:tcW w:type="dxa" w:w="4896"/>
            <w:shd w:val="clear" w:color="auto" w:fill="D9EAD3"/>
          </w:tcPr>
          <w:p>
            <w:pPr>
              <w:spacing w:after="40"/>
            </w:pPr>
            <w:r>
              <w:rPr>
                <w:sz w:val="20"/>
              </w:rPr>
              <w:t>Add a listing_photos box with connecting lines to Destinations, Accommodations, Restaurants, Packages, and Souvenir Centers. See §3.1. — Applied in the v3 manuscript; new diagram content is highlighted in blue.</w:t>
            </w:r>
          </w:p>
        </w:tc>
      </w:tr>
      <w:tr>
        <w:tc>
          <w:tcPr>
            <w:tcW w:type="dxa" w:w="432"/>
            <w:shd w:val="clear" w:color="auto" w:fill="D9EAD3"/>
          </w:tcPr>
          <w:p>
            <w:pPr>
              <w:spacing w:after="40"/>
            </w:pPr>
            <w:r>
              <w:rPr>
                <w:sz w:val="20"/>
              </w:rPr>
              <w:t>2</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(new table)</w:t>
            </w:r>
          </w:p>
        </w:tc>
        <w:tc>
          <w:tcPr>
            <w:tcW w:type="dxa" w:w="4896"/>
            <w:shd w:val="clear" w:color="auto" w:fill="D9EAD3"/>
          </w:tcPr>
          <w:p>
            <w:pPr>
              <w:spacing w:after="40"/>
            </w:pPr>
            <w:r>
              <w:rPr>
                <w:sz w:val="20"/>
              </w:rPr>
              <w:t>Add “Table 41. Data Dictionary for Listing Photos Table” with the 8 fields listed in §3.1 (id, listing_kind, listing_id, path, category, sort_order, is_primary, created_at). — Applied in the v3 manuscript, text in blue.</w:t>
            </w:r>
          </w:p>
        </w:tc>
      </w:tr>
      <w:tr>
        <w:tc>
          <w:tcPr>
            <w:tcW w:type="dxa" w:w="432"/>
            <w:shd w:val="clear" w:color="auto" w:fill="D9EAD3"/>
          </w:tcPr>
          <w:p>
            <w:pPr>
              <w:spacing w:after="40"/>
            </w:pPr>
            <w:r>
              <w:rPr>
                <w:sz w:val="20"/>
              </w:rPr>
              <w:t>3</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Tables 14, 16, 18, 20, 21</w:t>
            </w:r>
          </w:p>
        </w:tc>
        <w:tc>
          <w:tcPr>
            <w:tcW w:type="dxa" w:w="4896"/>
            <w:shd w:val="clear" w:color="auto" w:fill="D9EAD3"/>
          </w:tcPr>
          <w:p>
            <w:pPr>
              <w:spacing w:after="40"/>
            </w:pPr>
            <w:r>
              <w:rPr>
                <w:sz w:val="20"/>
              </w:rPr>
              <w:t>Add one new row to each of the five listing tables: archived_at | TIMESTAMP | Nullable | “Timestamp indicating when the listing was archived by an administrator; NULL if currently active.” See §3.2. — Applied in the v3 manuscript, text in blue.</w:t>
            </w:r>
          </w:p>
        </w:tc>
      </w:tr>
      <w:tr>
        <w:tc>
          <w:tcPr>
            <w:tcW w:type="dxa" w:w="432"/>
            <w:shd w:val="clear" w:color="auto" w:fill="D9EAD3"/>
          </w:tcPr>
          <w:p>
            <w:pPr>
              <w:spacing w:after="40"/>
            </w:pPr>
            <w:r>
              <w:rPr>
                <w:sz w:val="20"/>
              </w:rPr>
              <w:t>4</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Table 33 (Exit Surveys)</w:t>
            </w:r>
          </w:p>
        </w:tc>
        <w:tc>
          <w:tcPr>
            <w:tcW w:type="dxa" w:w="4896"/>
            <w:shd w:val="clear" w:color="auto" w:fill="D9EAD3"/>
          </w:tcPr>
          <w:p>
            <w:pPr>
              <w:spacing w:after="40"/>
            </w:pPr>
            <w:r>
              <w:rPr>
                <w:sz w:val="20"/>
              </w:rPr>
              <w:t>Add three new rows: residency_type, visitor_type, origin — full field definitions in §3.3. — Applied in the v3 manuscript, text in blue.</w:t>
            </w:r>
          </w:p>
        </w:tc>
      </w:tr>
      <w:tr>
        <w:tc>
          <w:tcPr>
            <w:tcW w:type="dxa" w:w="432"/>
            <w:shd w:val="clear" w:color="auto" w:fill="D9EAD3"/>
          </w:tcPr>
          <w:p>
            <w:pPr>
              <w:spacing w:after="40"/>
            </w:pPr>
            <w:r>
              <w:rPr>
                <w:sz w:val="20"/>
              </w:rPr>
              <w:t>5</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(2 new tables)</w:t>
            </w:r>
          </w:p>
        </w:tc>
        <w:tc>
          <w:tcPr>
            <w:tcW w:type="dxa" w:w="4896"/>
            <w:shd w:val="clear" w:color="auto" w:fill="D9EAD3"/>
          </w:tcPr>
          <w:p>
            <w:pPr>
              <w:spacing w:after="40"/>
            </w:pPr>
            <w:r>
              <w:rPr>
                <w:sz w:val="20"/>
              </w:rPr>
              <w:t>Add “Table 42. Data Dictionary for Exit Survey Visits Table” and “Table 43. Data Dictionary for Exit Survey Activities Table”. Full field definitions in §3.3. — Applied in the v3 manuscript, text in blue.</w:t>
            </w:r>
          </w:p>
        </w:tc>
      </w:tr>
      <w:tr>
        <w:tc>
          <w:tcPr>
            <w:tcW w:type="dxa" w:w="432"/>
            <w:shd w:val="clear" w:color="auto" w:fill="D9EAD3"/>
          </w:tcPr>
          <w:p>
            <w:pPr>
              <w:spacing w:after="40"/>
            </w:pPr>
            <w:r>
              <w:rPr>
                <w:sz w:val="20"/>
              </w:rPr>
              <w:t>6</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Figure 4 (ERD)</w:t>
            </w:r>
          </w:p>
        </w:tc>
        <w:tc>
          <w:tcPr>
            <w:tcW w:type="dxa" w:w="4896"/>
            <w:shd w:val="clear" w:color="auto" w:fill="D9EAD3"/>
          </w:tcPr>
          <w:p>
            <w:pPr>
              <w:spacing w:after="40"/>
            </w:pPr>
            <w:r>
              <w:rPr>
                <w:sz w:val="20"/>
              </w:rPr>
              <w:t>Add exit_survey_visits and exit_survey_activities boxes, connected to Exit Surveys; connect exit_survey_visits to all five listing tables too (same pattern as listing_photos). See §3.3. — Applied in the v3 manuscript; new diagram content is highlighted in blue.</w:t>
            </w:r>
          </w:p>
        </w:tc>
      </w:tr>
      <w:tr>
        <w:tc>
          <w:tcPr>
            <w:tcW w:type="dxa" w:w="432"/>
            <w:shd w:val="clear" w:color="auto" w:fill="D9EAD3"/>
          </w:tcPr>
          <w:p>
            <w:pPr>
              <w:spacing w:after="40"/>
            </w:pPr>
            <w:r>
              <w:rPr>
                <w:sz w:val="20"/>
              </w:rPr>
              <w:t>7</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Table 2 (Software Requirements)</w:t>
            </w:r>
          </w:p>
        </w:tc>
        <w:tc>
          <w:tcPr>
            <w:tcW w:type="dxa" w:w="4896"/>
            <w:shd w:val="clear" w:color="auto" w:fill="D9EAD3"/>
          </w:tcPr>
          <w:p>
            <w:pPr>
              <w:spacing w:after="40"/>
            </w:pPr>
            <w:r>
              <w:rPr>
                <w:sz w:val="20"/>
              </w:rPr>
              <w:t>Change the Frontend row from “Bootstrap 5 / JavaScript” to “Custom CSS Design System / Vanilla JavaScript (HTML5, CSS3).” See §4.2. — Applied in the v3 manuscript (all 8 Bootstrap 5 mentions across the paper), text in blue.</w:t>
            </w:r>
          </w:p>
        </w:tc>
      </w:tr>
      <w:tr>
        <w:tc>
          <w:tcPr>
            <w:tcW w:type="dxa" w:w="432"/>
            <w:shd w:val="clear" w:color="auto" w:fill="D9EAD3"/>
          </w:tcPr>
          <w:p>
            <w:pPr>
              <w:spacing w:after="40"/>
            </w:pPr>
            <w:r>
              <w:rPr>
                <w:sz w:val="20"/>
              </w:rPr>
              <w:t>8</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2.2.4.1 (Technical Feasibility)</w:t>
            </w:r>
          </w:p>
        </w:tc>
        <w:tc>
          <w:tcPr>
            <w:tcW w:type="dxa" w:w="4896"/>
            <w:shd w:val="clear" w:color="auto" w:fill="D9EAD3"/>
          </w:tcPr>
          <w:p>
            <w:pPr>
              <w:spacing w:after="40"/>
            </w:pPr>
            <w:r>
              <w:rPr>
                <w:sz w:val="20"/>
              </w:rPr>
              <w:t>Add one sentence noting a custom-built interface was chosen over a CSS framework for a distinctive, brand-appropriate visual identity. See §4.2. — Applied in the v3 manuscript, text in blue.</w:t>
            </w:r>
          </w:p>
        </w:tc>
      </w:tr>
      <w:tr>
        <w:tc>
          <w:tcPr>
            <w:tcW w:type="dxa" w:w="432"/>
            <w:shd w:val="clear" w:color="auto" w:fill="D9EAD3"/>
          </w:tcPr>
          <w:p>
            <w:pPr>
              <w:spacing w:after="40"/>
            </w:pPr>
            <w:r>
              <w:rPr>
                <w:sz w:val="20"/>
              </w:rPr>
              <w:t>9</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2.3.5</w:t>
            </w:r>
          </w:p>
        </w:tc>
        <w:tc>
          <w:tcPr>
            <w:tcW w:type="dxa" w:w="4896"/>
            <w:shd w:val="clear" w:color="auto" w:fill="D9EAD3"/>
          </w:tcPr>
          <w:p>
            <w:pPr>
              <w:spacing w:after="40"/>
            </w:pPr>
            <w:r>
              <w:rPr>
                <w:sz w:val="20"/>
              </w:rPr>
              <w:t>Currently says “JavaScript-based charting tools are used.” The Exit Survey Insights charts actually built are CSS-only (no JS library). Reworded to describe CSS-based visual components. See §5.9. — Applied in the v3 manuscript, text in blue.</w:t>
            </w:r>
          </w:p>
        </w:tc>
      </w:tr>
      <w:tr>
        <w:tc>
          <w:tcPr>
            <w:tcW w:type="dxa" w:w="432"/>
            <w:shd w:val="clear" w:color="auto" w:fill="D9EAD3"/>
          </w:tcPr>
          <w:p>
            <w:pPr>
              <w:spacing w:after="40"/>
            </w:pPr>
            <w:r>
              <w:rPr>
                <w:sz w:val="20"/>
              </w:rPr>
              <w:t>10</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2.3.5 / report export wording</w:t>
            </w:r>
          </w:p>
        </w:tc>
        <w:tc>
          <w:tcPr>
            <w:tcW w:type="dxa" w:w="4896"/>
            <w:shd w:val="clear" w:color="auto" w:fill="D9EAD3"/>
          </w:tcPr>
          <w:p>
            <w:pPr>
              <w:spacing w:after="40"/>
            </w:pPr>
            <w:r>
              <w:rPr>
                <w:sz w:val="20"/>
              </w:rPr>
              <w:t>PDF export currently opens a browser print-ready page (“Print — Save as PDF”), not a server-side PDF library. Reworded to describe the actual browser print-to-PDF flow. See §5.9. — Applied in the v3 manuscript, text in blue.</w:t>
            </w:r>
          </w:p>
        </w:tc>
      </w:tr>
      <w:tr>
        <w:tc>
          <w:tcPr>
            <w:tcW w:type="dxa" w:w="432"/>
            <w:shd w:val="clear" w:color="auto" w:fill="D9EAD3"/>
          </w:tcPr>
          <w:p>
            <w:pPr>
              <w:spacing w:after="40"/>
            </w:pPr>
            <w:r>
              <w:rPr>
                <w:sz w:val="20"/>
              </w:rPr>
              <w:t>11</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Anywhere relevant</w:t>
            </w:r>
          </w:p>
        </w:tc>
        <w:tc>
          <w:tcPr>
            <w:tcW w:type="dxa" w:w="4896"/>
            <w:shd w:val="clear" w:color="auto" w:fill="D9EAD3"/>
          </w:tcPr>
          <w:p>
            <w:pPr>
              <w:spacing w:after="40"/>
            </w:pPr>
            <w:r>
              <w:rPr>
                <w:sz w:val="20"/>
              </w:rPr>
              <w:t>Add a short paragraph noting the custom SVG icon system (§5.2) and branded error pages (§5.3) were part of the deliberate “very clean” visual-identity direction of the project. — Applied in the v3 manuscript (Sec. 2.2.4.1), text in blue.</w:t>
            </w:r>
          </w:p>
        </w:tc>
      </w:tr>
      <w:tr>
        <w:tc>
          <w:tcPr>
            <w:tcW w:type="dxa" w:w="432"/>
          </w:tcPr>
          <w:p>
            <w:pPr>
              <w:spacing w:after="40"/>
            </w:pPr>
            <w:r>
              <w:rPr>
                <w:sz w:val="20"/>
              </w:rPr>
              <w:t>12</w:t>
            </w:r>
          </w:p>
        </w:tc>
        <w:tc>
          <w:tcPr>
            <w:tcW w:type="dxa" w:w="1584"/>
          </w:tcPr>
          <w:p>
            <w:pPr>
              <w:spacing w:after="40"/>
            </w:pPr>
            <w:r>
              <w:rPr>
                <w:sz w:val="20"/>
              </w:rPr>
              <w:t>No action needed</w:t>
            </w:r>
          </w:p>
        </w:tc>
        <w:tc>
          <w:tcPr>
            <w:tcW w:type="dxa" w:w="2448"/>
          </w:tcPr>
          <w:p>
            <w:pPr>
              <w:spacing w:after="40"/>
            </w:pPr>
            <w:r>
              <w:rPr>
                <w:sz w:val="20"/>
              </w:rPr>
              <w:t>Table 2, Database row</w:t>
            </w:r>
          </w:p>
        </w:tc>
        <w:tc>
          <w:tcPr>
            <w:tcW w:type="dxa" w:w="4896"/>
          </w:tcPr>
          <w:p>
            <w:pPr>
              <w:spacing w:after="40"/>
            </w:pPr>
            <w:r>
              <w:rPr>
                <w:sz w:val="20"/>
              </w:rPr>
              <w:t>Already says PostgreSQL — now true end-to-end, nothing to change. See §4.1.</w:t>
            </w:r>
          </w:p>
        </w:tc>
      </w:tr>
      <w:tr>
        <w:tc>
          <w:tcPr>
            <w:tcW w:type="dxa" w:w="432"/>
          </w:tcPr>
          <w:p>
            <w:pPr>
              <w:spacing w:after="40"/>
            </w:pPr>
            <w:r>
              <w:rPr>
                <w:sz w:val="20"/>
              </w:rPr>
              <w:t>13</w:t>
            </w:r>
          </w:p>
        </w:tc>
        <w:tc>
          <w:tcPr>
            <w:tcW w:type="dxa" w:w="1584"/>
          </w:tcPr>
          <w:p>
            <w:pPr>
              <w:spacing w:after="40"/>
            </w:pPr>
            <w:r>
              <w:rPr>
                <w:sz w:val="20"/>
              </w:rPr>
              <w:t>No action needed</w:t>
            </w:r>
          </w:p>
        </w:tc>
        <w:tc>
          <w:tcPr>
            <w:tcW w:type="dxa" w:w="2448"/>
          </w:tcPr>
          <w:p>
            <w:pPr>
              <w:spacing w:after="40"/>
            </w:pPr>
            <w:r>
              <w:rPr>
                <w:sz w:val="20"/>
              </w:rPr>
              <w:t>Not mentioned in the paper</w:t>
            </w:r>
          </w:p>
        </w:tc>
        <w:tc>
          <w:tcPr>
            <w:tcW w:type="dxa" w:w="4896"/>
          </w:tcPr>
          <w:p>
            <w:pPr>
              <w:spacing w:after="40"/>
            </w:pPr>
            <w:r>
              <w:rPr>
                <w:sz w:val="20"/>
              </w:rPr>
              <w:t>The unused Tailwind/Vite scaffold has been removed from the project entirely. Was never visible in the paper either way. See §4.3.</w:t>
            </w:r>
          </w:p>
        </w:tc>
      </w:tr>
      <w:tr>
        <w:tc>
          <w:tcPr>
            <w:tcW w:type="dxa" w:w="432"/>
            <w:shd w:val="clear" w:color="auto" w:fill="D9EAD3"/>
          </w:tcPr>
          <w:p>
            <w:pPr>
              <w:spacing w:after="40"/>
            </w:pPr>
            <w:r>
              <w:rPr>
                <w:sz w:val="20"/>
              </w:rPr>
              <w:t>14</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Tables 16, 18, 20</w:t>
            </w:r>
          </w:p>
        </w:tc>
        <w:tc>
          <w:tcPr>
            <w:tcW w:type="dxa" w:w="4896"/>
            <w:shd w:val="clear" w:color="auto" w:fill="D9EAD3"/>
          </w:tcPr>
          <w:p>
            <w:pPr>
              <w:spacing w:after="40"/>
            </w:pPr>
            <w:r>
              <w:rPr>
                <w:sz w:val="20"/>
              </w:rPr>
              <w:t>Add latitude and longitude rows to Accommodations, Packages, and Souvenir Centers, matching the existing rows on Table 14 (Destinations). See §3.4. — Applied in the v3 manuscript, text in blue.</w:t>
            </w:r>
          </w:p>
        </w:tc>
      </w:tr>
      <w:tr>
        <w:tc>
          <w:tcPr>
            <w:tcW w:type="dxa" w:w="432"/>
            <w:shd w:val="clear" w:color="auto" w:fill="D9EAD3"/>
          </w:tcPr>
          <w:p>
            <w:pPr>
              <w:spacing w:after="40"/>
            </w:pPr>
            <w:r>
              <w:rPr>
                <w:sz w:val="20"/>
              </w:rPr>
              <w:t>15</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Table 25 (Tourist Preferences)</w:t>
            </w:r>
          </w:p>
        </w:tc>
        <w:tc>
          <w:tcPr>
            <w:tcW w:type="dxa" w:w="4896"/>
            <w:shd w:val="clear" w:color="auto" w:fill="D9EAD3"/>
          </w:tcPr>
          <w:p>
            <w:pPr>
              <w:spacing w:after="40"/>
            </w:pPr>
            <w:r>
              <w:rPr>
                <w:sz w:val="20"/>
              </w:rPr>
              <w:t>Add travel_purpose and visitor_type rows. See §3.5. — Applied in the v3 manuscript, text in blue.</w:t>
            </w:r>
          </w:p>
        </w:tc>
      </w:tr>
      <w:tr>
        <w:tc>
          <w:tcPr>
            <w:tcW w:type="dxa" w:w="432"/>
            <w:shd w:val="clear" w:color="auto" w:fill="D9EAD3"/>
          </w:tcPr>
          <w:p>
            <w:pPr>
              <w:spacing w:after="40"/>
            </w:pPr>
            <w:r>
              <w:rPr>
                <w:sz w:val="20"/>
              </w:rPr>
              <w:t>16</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Table 33 (Exit Surveys)</w:t>
            </w:r>
          </w:p>
        </w:tc>
        <w:tc>
          <w:tcPr>
            <w:tcW w:type="dxa" w:w="4896"/>
            <w:shd w:val="clear" w:color="auto" w:fill="D9EAD3"/>
          </w:tcPr>
          <w:p>
            <w:pPr>
              <w:spacing w:after="40"/>
            </w:pPr>
            <w:r>
              <w:rPr>
                <w:sz w:val="20"/>
              </w:rPr>
              <w:t>Add travel_purpose and actual_days_stayed rows (on top of the residency_type/visitor_type/origin rows from item 4). See §3.6. — Applied in the v3 manuscript, text in blue.</w:t>
            </w:r>
          </w:p>
        </w:tc>
      </w:tr>
      <w:tr>
        <w:tc>
          <w:tcPr>
            <w:tcW w:type="dxa" w:w="432"/>
            <w:shd w:val="clear" w:color="auto" w:fill="D9EAD3"/>
          </w:tcPr>
          <w:p>
            <w:pPr>
              <w:spacing w:after="40"/>
            </w:pPr>
            <w:r>
              <w:rPr>
                <w:sz w:val="20"/>
              </w:rPr>
              <w:t>17</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2.3.4 (near Table 5)</w:t>
            </w:r>
          </w:p>
        </w:tc>
        <w:tc>
          <w:tcPr>
            <w:tcW w:type="dxa" w:w="4896"/>
            <w:shd w:val="clear" w:color="auto" w:fill="D9EAD3"/>
          </w:tcPr>
          <w:p>
            <w:pPr>
              <w:spacing w:after="40"/>
            </w:pPr>
            <w:r>
              <w:rPr>
                <w:sz w:val="20"/>
              </w:rPr>
              <w:t>Consider a one-line footnote noting Table 5’s Travel Purpose and Visitor Type weights are now backed by real columns (item 15), closing a gap that existed in the original data dictionary. See §3.5. — Applied in the v3 manuscript, text in blue.</w:t>
            </w:r>
          </w:p>
        </w:tc>
      </w:tr>
      <w:tr>
        <w:tc>
          <w:tcPr>
            <w:tcW w:type="dxa" w:w="432"/>
            <w:shd w:val="clear" w:color="auto" w:fill="D9EAD3"/>
          </w:tcPr>
          <w:p>
            <w:pPr>
              <w:spacing w:after="40"/>
            </w:pPr>
            <w:r>
              <w:rPr>
                <w:sz w:val="20"/>
              </w:rPr>
              <w:t>18</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Table 2 (Software Requirements)</w:t>
            </w:r>
          </w:p>
        </w:tc>
        <w:tc>
          <w:tcPr>
            <w:tcW w:type="dxa" w:w="4896"/>
            <w:shd w:val="clear" w:color="auto" w:fill="D9EAD3"/>
          </w:tcPr>
          <w:p>
            <w:pPr>
              <w:spacing w:after="40"/>
            </w:pPr>
            <w:r>
              <w:rPr>
                <w:sz w:val="20"/>
              </w:rPr>
              <w:t>Add a row for endroid/qr-code if you want Table 2 to list every package, not just the major frameworks. See §4.4. — Applied in the v3 manuscript, text in blue.</w:t>
            </w:r>
          </w:p>
        </w:tc>
      </w:tr>
      <w:tr>
        <w:tc>
          <w:tcPr>
            <w:tcW w:type="dxa" w:w="432"/>
            <w:shd w:val="clear" w:color="auto" w:fill="D9EAD3"/>
          </w:tcPr>
          <w:p>
            <w:pPr>
              <w:spacing w:after="40"/>
            </w:pPr>
            <w:r>
              <w:rPr>
                <w:sz w:val="20"/>
              </w:rPr>
              <w:t>19</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Req. 2.2.1.6, Sec. 2.3.1</w:t>
            </w:r>
          </w:p>
        </w:tc>
        <w:tc>
          <w:tcPr>
            <w:tcW w:type="dxa" w:w="4896"/>
            <w:shd w:val="clear" w:color="auto" w:fill="D9EAD3"/>
          </w:tcPr>
          <w:p>
            <w:pPr>
              <w:spacing w:after="40"/>
            </w:pPr>
            <w:r>
              <w:rPr>
                <w:sz w:val="20"/>
              </w:rPr>
              <w:t>Confirmed: staying with Leaflet.js + OpenStreetMap (no API key/billing account needed) rather than Google Maps. If you want Table 2/Sec. 2.3.1 to name the specific technology instead of saying “Maps API” generically, add one sentence noting this choice and why. See §4.5. — Applied in the v3 manuscript — every “Maps API” mention across the paper (Table 2, Req. 2.2.1.6, Sec. 2.3.1, Feasibility, System Architecture, and the itinerary/distance-calculation sections) now names Leaflet.js/OpenStreetMap or the browser’s Geolocation API specifically, text in blue.</w:t>
            </w:r>
          </w:p>
        </w:tc>
      </w:tr>
      <w:tr>
        <w:tc>
          <w:tcPr>
            <w:tcW w:type="dxa" w:w="432"/>
            <w:shd w:val="clear" w:color="auto" w:fill="D9EAD3"/>
          </w:tcPr>
          <w:p>
            <w:pPr>
              <w:spacing w:after="40"/>
            </w:pPr>
            <w:r>
              <w:rPr>
                <w:sz w:val="20"/>
              </w:rPr>
              <w:t>20</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2.2.3.1.7 (Accreditation Verification Module)</w:t>
            </w:r>
          </w:p>
        </w:tc>
        <w:tc>
          <w:tcPr>
            <w:tcW w:type="dxa" w:w="4896"/>
            <w:shd w:val="clear" w:color="auto" w:fill="D9EAD3"/>
          </w:tcPr>
          <w:p>
            <w:pPr>
              <w:spacing w:after="40"/>
            </w:pPr>
            <w:r>
              <w:rPr>
                <w:sz w:val="20"/>
              </w:rPr>
              <w:t>Consider citing the accreditation auto-expiry command and admin renewal action as an implementation detail. See §5.11. — Applied in the v3 manuscript, text in blue.</w:t>
            </w:r>
          </w:p>
        </w:tc>
      </w:tr>
      <w:tr>
        <w:tc>
          <w:tcPr>
            <w:tcW w:type="dxa" w:w="432"/>
          </w:tcPr>
          <w:p>
            <w:pPr>
              <w:spacing w:after="40"/>
            </w:pPr>
            <w:r>
              <w:rPr>
                <w:sz w:val="20"/>
              </w:rPr>
              <w:t>21</w:t>
            </w:r>
          </w:p>
        </w:tc>
        <w:tc>
          <w:tcPr>
            <w:tcW w:type="dxa" w:w="1584"/>
          </w:tcPr>
          <w:p>
            <w:pPr>
              <w:spacing w:after="40"/>
            </w:pPr>
            <w:r>
              <w:rPr>
                <w:sz w:val="20"/>
              </w:rPr>
              <w:t>No action needed</w:t>
            </w:r>
          </w:p>
        </w:tc>
        <w:tc>
          <w:tcPr>
            <w:tcW w:type="dxa" w:w="2448"/>
          </w:tcPr>
          <w:p>
            <w:pPr>
              <w:spacing w:after="40"/>
            </w:pPr>
            <w:r>
              <w:rPr>
                <w:sz w:val="20"/>
              </w:rPr>
              <w:t>N/A</w:t>
            </w:r>
          </w:p>
        </w:tc>
        <w:tc>
          <w:tcPr>
            <w:tcW w:type="dxa" w:w="4896"/>
          </w:tcPr>
          <w:p>
            <w:pPr>
              <w:spacing w:after="40"/>
            </w:pPr>
            <w:r>
              <w:rPr>
                <w:sz w:val="20"/>
              </w:rPr>
              <w:t>The accreditation-gated public visibility fix (§5.10) and QR code feature (§5.12) are new runtime behavior/features, not schema or requirements text — nothing in the paper needs editing for either, though both are worth mentioning verbally at your defense.</w:t>
            </w:r>
          </w:p>
        </w:tc>
      </w:tr>
      <w:tr>
        <w:tc>
          <w:tcPr>
            <w:tcW w:type="dxa" w:w="432"/>
            <w:shd w:val="clear" w:color="auto" w:fill="D9EAD3"/>
          </w:tcPr>
          <w:p>
            <w:pPr>
              <w:spacing w:after="40"/>
            </w:pPr>
            <w:r>
              <w:rPr>
                <w:sz w:val="20"/>
              </w:rPr>
              <w:t>22</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Table 23 (Reviews)</w:t>
            </w:r>
          </w:p>
        </w:tc>
        <w:tc>
          <w:tcPr>
            <w:tcW w:type="dxa" w:w="4896"/>
            <w:shd w:val="clear" w:color="auto" w:fill="D9EAD3"/>
          </w:tcPr>
          <w:p>
            <w:pPr>
              <w:spacing w:after="40"/>
            </w:pPr>
            <w:r>
              <w:rPr>
                <w:sz w:val="20"/>
              </w:rPr>
              <w:t>Add owner_reply (VARCHAR 500, Nullable) and owner_replied_at (TIMESTAMP, Nullable) rows. See §3.7. — Applied in the v3 manuscript, text in blue.</w:t>
            </w:r>
          </w:p>
        </w:tc>
      </w:tr>
      <w:tr>
        <w:tc>
          <w:tcPr>
            <w:tcW w:type="dxa" w:w="432"/>
          </w:tcPr>
          <w:p>
            <w:pPr>
              <w:spacing w:after="40"/>
            </w:pPr>
            <w:r>
              <w:rPr>
                <w:sz w:val="20"/>
              </w:rPr>
              <w:t>23</w:t>
            </w:r>
          </w:p>
        </w:tc>
        <w:tc>
          <w:tcPr>
            <w:tcW w:type="dxa" w:w="1584"/>
          </w:tcPr>
          <w:p>
            <w:pPr>
              <w:spacing w:after="40"/>
            </w:pPr>
            <w:r>
              <w:rPr>
                <w:sz w:val="20"/>
              </w:rPr>
              <w:t>No action needed</w:t>
            </w:r>
          </w:p>
        </w:tc>
        <w:tc>
          <w:tcPr>
            <w:tcW w:type="dxa" w:w="2448"/>
          </w:tcPr>
          <w:p>
            <w:pPr>
              <w:spacing w:after="40"/>
            </w:pPr>
            <w:r>
              <w:rPr>
                <w:sz w:val="20"/>
              </w:rPr>
              <w:t>N/A (marketing copy, not paper text)</w:t>
            </w:r>
          </w:p>
        </w:tc>
        <w:tc>
          <w:tcPr>
            <w:tcW w:type="dxa" w:w="4896"/>
          </w:tcPr>
          <w:p>
            <w:pPr>
              <w:spacing w:after="40"/>
            </w:pPr>
            <w:r>
              <w:rPr>
                <w:sz w:val="20"/>
              </w:rPr>
              <w:t>The homepage previously advertised “AI-driven itineraries” and similar claims as if already live — this has been reworded to describe only what is actually built. Nothing in the paper itself needs to change, but worth knowing this discrepancy existed and was fixed before a panelist could find it. See §4.6.</w:t>
            </w:r>
          </w:p>
        </w:tc>
      </w:tr>
      <w:tr>
        <w:tc>
          <w:tcPr>
            <w:tcW w:type="dxa" w:w="432"/>
          </w:tcPr>
          <w:p>
            <w:pPr>
              <w:spacing w:after="40"/>
            </w:pPr>
            <w:r>
              <w:rPr>
                <w:sz w:val="20"/>
              </w:rPr>
              <w:t>24</w:t>
            </w:r>
          </w:p>
        </w:tc>
        <w:tc>
          <w:tcPr>
            <w:tcW w:type="dxa" w:w="1584"/>
          </w:tcPr>
          <w:p>
            <w:pPr>
              <w:spacing w:after="40"/>
            </w:pPr>
            <w:r>
              <w:rPr>
                <w:sz w:val="20"/>
              </w:rPr>
              <w:t>No action needed</w:t>
            </w:r>
          </w:p>
        </w:tc>
        <w:tc>
          <w:tcPr>
            <w:tcW w:type="dxa" w:w="2448"/>
          </w:tcPr>
          <w:p>
            <w:pPr>
              <w:spacing w:after="40"/>
            </w:pPr>
            <w:r>
              <w:rPr>
                <w:sz w:val="20"/>
              </w:rPr>
              <w:t>N/A</w:t>
            </w:r>
          </w:p>
        </w:tc>
        <w:tc>
          <w:tcPr>
            <w:tcW w:type="dxa" w:w="4896"/>
          </w:tcPr>
          <w:p>
            <w:pPr>
              <w:spacing w:after="40"/>
            </w:pPr>
            <w:r>
              <w:rPr>
                <w:sz w:val="20"/>
              </w:rPr>
              <w:t>The establishment overview dashboard now shows real accreditation status/expiry, photo count, and recent reviews — all fields already covered by existing data-dictionary tables, so nothing to add or change in the paper. See §5.15.</w:t>
            </w:r>
          </w:p>
        </w:tc>
      </w:tr>
      <w:tr>
        <w:tc>
          <w:tcPr>
            <w:tcW w:type="dxa" w:w="432"/>
          </w:tcPr>
          <w:p>
            <w:pPr>
              <w:spacing w:after="40"/>
            </w:pPr>
            <w:r>
              <w:rPr>
                <w:sz w:val="20"/>
              </w:rPr>
              <w:t>25</w:t>
            </w:r>
          </w:p>
        </w:tc>
        <w:tc>
          <w:tcPr>
            <w:tcW w:type="dxa" w:w="1584"/>
          </w:tcPr>
          <w:p>
            <w:pPr>
              <w:spacing w:after="40"/>
            </w:pPr>
            <w:r>
              <w:rPr>
                <w:sz w:val="20"/>
              </w:rPr>
              <w:t>No action needed</w:t>
            </w:r>
          </w:p>
        </w:tc>
        <w:tc>
          <w:tcPr>
            <w:tcW w:type="dxa" w:w="2448"/>
          </w:tcPr>
          <w:p>
            <w:pPr>
              <w:spacing w:after="40"/>
            </w:pPr>
            <w:r>
              <w:rPr>
                <w:sz w:val="20"/>
              </w:rPr>
              <w:t>N/A</w:t>
            </w:r>
          </w:p>
        </w:tc>
        <w:tc>
          <w:tcPr>
            <w:tcW w:type="dxa" w:w="4896"/>
          </w:tcPr>
          <w:p>
            <w:pPr>
              <w:spacing w:after="40"/>
            </w:pPr>
            <w:r>
              <w:rPr>
                <w:sz w:val="20"/>
              </w:rPr>
              <w:t>The Notifications table (Table 35) was already fully documented but unused — it now actually creates and displays accreditation alerts. No new fields, so nothing to add or change in the paper. See §5.16.</w:t>
            </w:r>
          </w:p>
        </w:tc>
      </w:tr>
      <w:tr>
        <w:tc>
          <w:tcPr>
            <w:tcW w:type="dxa" w:w="432"/>
            <w:shd w:val="clear" w:color="auto" w:fill="D9EAD3"/>
          </w:tcPr>
          <w:p>
            <w:pPr>
              <w:spacing w:after="40"/>
            </w:pPr>
            <w:r>
              <w:rPr>
                <w:sz w:val="20"/>
              </w:rPr>
              <w:t>26</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Figure 4 (ERD)</w:t>
            </w:r>
          </w:p>
        </w:tc>
        <w:tc>
          <w:tcPr>
            <w:tcW w:type="dxa" w:w="4896"/>
            <w:shd w:val="clear" w:color="auto" w:fill="D9EAD3"/>
          </w:tcPr>
          <w:p>
            <w:pPr>
              <w:spacing w:after="40"/>
            </w:pPr>
            <w:r>
              <w:rPr>
                <w:sz w:val="20"/>
              </w:rPr>
              <w:t>Add a tour_operators box with connecting lines to Regions, Reviews, Accreditation Records, and listing_photos (same pattern as Restaurants), plus a line to Packages for the new tour_operator_id foreign key. See §3.8. — Applied in the v3 manuscript; new diagram content is highlighted in blue.</w:t>
            </w:r>
          </w:p>
        </w:tc>
      </w:tr>
      <w:tr>
        <w:tc>
          <w:tcPr>
            <w:tcW w:type="dxa" w:w="432"/>
            <w:shd w:val="clear" w:color="auto" w:fill="D9EAD3"/>
          </w:tcPr>
          <w:p>
            <w:pPr>
              <w:spacing w:after="40"/>
            </w:pPr>
            <w:r>
              <w:rPr>
                <w:sz w:val="20"/>
              </w:rPr>
              <w:t>27</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(new table)</w:t>
            </w:r>
          </w:p>
        </w:tc>
        <w:tc>
          <w:tcPr>
            <w:tcW w:type="dxa" w:w="4896"/>
            <w:shd w:val="clear" w:color="auto" w:fill="D9EAD3"/>
          </w:tcPr>
          <w:p>
            <w:pPr>
              <w:spacing w:after="40"/>
            </w:pPr>
            <w:r>
              <w:rPr>
                <w:sz w:val="20"/>
              </w:rPr>
              <w:t>Add a new numbered table, “Data Dictionary for Tour Operators Table,” with the 17 fields listed in §3.8. — Applied in the v3 manuscript, text in blue.</w:t>
            </w:r>
          </w:p>
        </w:tc>
      </w:tr>
      <w:tr>
        <w:tc>
          <w:tcPr>
            <w:tcW w:type="dxa" w:w="432"/>
            <w:shd w:val="clear" w:color="auto" w:fill="D9EAD3"/>
          </w:tcPr>
          <w:p>
            <w:pPr>
              <w:spacing w:after="40"/>
            </w:pPr>
            <w:r>
              <w:rPr>
                <w:sz w:val="20"/>
              </w:rPr>
              <w:t>28</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2.3.6, Table 18 (Packages)</w:t>
            </w:r>
          </w:p>
        </w:tc>
        <w:tc>
          <w:tcPr>
            <w:tcW w:type="dxa" w:w="4896"/>
            <w:shd w:val="clear" w:color="auto" w:fill="D9EAD3"/>
          </w:tcPr>
          <w:p>
            <w:pPr>
              <w:spacing w:after="40"/>
            </w:pPr>
            <w:r>
              <w:rPr>
                <w:sz w:val="20"/>
              </w:rPr>
              <w:t>Add one new row: tour_operator_id | BIGINT | Nullable | Foreign Key to the new tour_operators table. See §3.8. — Applied in the v3 manuscript, text in blue.</w:t>
            </w:r>
          </w:p>
        </w:tc>
      </w:tr>
      <w:tr>
        <w:tc>
          <w:tcPr>
            <w:tcW w:type="dxa" w:w="432"/>
            <w:shd w:val="clear" w:color="auto" w:fill="D9EAD3"/>
          </w:tcPr>
          <w:p>
            <w:pPr>
              <w:spacing w:after="40"/>
            </w:pPr>
            <w:r>
              <w:rPr>
                <w:sz w:val="20"/>
              </w:rPr>
              <w:t>29</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Req. 2.2.1.3 / Sec. 2.2.3.1.2</w:t>
            </w:r>
          </w:p>
        </w:tc>
        <w:tc>
          <w:tcPr>
            <w:tcW w:type="dxa" w:w="4896"/>
            <w:shd w:val="clear" w:color="auto" w:fill="D9EAD3"/>
          </w:tcPr>
          <w:p>
            <w:pPr>
              <w:spacing w:after="40"/>
            </w:pPr>
            <w:r>
              <w:rPr>
                <w:sz w:val="20"/>
              </w:rPr>
              <w:t>Consider adding a one-line mention that Tour Operators are now a sixth manageable listing type alongside the original five, directly addressing the RD meeting note on including travel and tour operators. See §5.17. — Applied in the v3 manuscript, text in blue.</w:t>
            </w:r>
          </w:p>
        </w:tc>
      </w:tr>
      <w:tr>
        <w:tc>
          <w:tcPr>
            <w:tcW w:type="dxa" w:w="432"/>
          </w:tcPr>
          <w:p>
            <w:pPr>
              <w:spacing w:after="40"/>
            </w:pPr>
            <w:r>
              <w:rPr>
                <w:sz w:val="20"/>
              </w:rPr>
              <w:t>30</w:t>
            </w:r>
          </w:p>
        </w:tc>
        <w:tc>
          <w:tcPr>
            <w:tcW w:type="dxa" w:w="1584"/>
          </w:tcPr>
          <w:p>
            <w:pPr>
              <w:spacing w:after="40"/>
            </w:pPr>
            <w:r>
              <w:rPr>
                <w:sz w:val="20"/>
              </w:rPr>
              <w:t>No action needed</w:t>
            </w:r>
          </w:p>
        </w:tc>
        <w:tc>
          <w:tcPr>
            <w:tcW w:type="dxa" w:w="2448"/>
          </w:tcPr>
          <w:p>
            <w:pPr>
              <w:spacing w:after="40"/>
            </w:pPr>
            <w:r>
              <w:rPr>
                <w:sz w:val="20"/>
              </w:rPr>
              <w:t>N/A</w:t>
            </w:r>
          </w:p>
        </w:tc>
        <w:tc>
          <w:tcPr>
            <w:tcW w:type="dxa" w:w="4896"/>
          </w:tcPr>
          <w:p>
            <w:pPr>
              <w:spacing w:after="40"/>
            </w:pPr>
            <w:r>
              <w:rPr>
                <w:sz w:val="20"/>
              </w:rPr>
              <w:t>Two bugs introduced by the Tour Operators addition (a blank operator name in the Accreditation Status report, and a header nav overflow at 1010—1080px viewport widths) were found in a dedicated regression pass and fixed. Both are runtime code fixes, not schema or requirements changes. See §5.18.</w:t>
            </w:r>
          </w:p>
        </w:tc>
      </w:tr>
      <w:tr>
        <w:tc>
          <w:tcPr>
            <w:tcW w:type="dxa" w:w="432"/>
            <w:shd w:val="clear" w:color="auto" w:fill="D9EAD3"/>
          </w:tcPr>
          <w:p>
            <w:pPr>
              <w:spacing w:after="40"/>
            </w:pPr>
            <w:r>
              <w:rPr>
                <w:sz w:val="20"/>
              </w:rPr>
              <w:t>31</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2.3.3 (near Table 5)</w:t>
            </w:r>
          </w:p>
        </w:tc>
        <w:tc>
          <w:tcPr>
            <w:tcW w:type="dxa" w:w="4896"/>
            <w:shd w:val="clear" w:color="auto" w:fill="D9EAD3"/>
          </w:tcPr>
          <w:p>
            <w:pPr>
              <w:spacing w:after="40"/>
            </w:pPr>
            <w:r>
              <w:rPr>
                <w:sz w:val="20"/>
              </w:rPr>
              <w:t>Table 5’s Preference Match formula doesn’t specify how Travel Purpose, Visitor Type, Accommodation Type, and Demographic should be scored against a destination, since destinations don’t store that data directly. Add a footnote explaining the heuristic used (Leisure = 1.0 for all destinations, others = 0.6; Accommodation Type = 1.0 for “Any”, 0.7 otherwise; Visitor Type/Demographic scored neutrally at 1.0). See §5.19. — Applied in the v3 manuscript, text in blue.</w:t>
            </w:r>
          </w:p>
        </w:tc>
      </w:tr>
      <w:tr>
        <w:tc>
          <w:tcPr>
            <w:tcW w:type="dxa" w:w="432"/>
            <w:shd w:val="clear" w:color="auto" w:fill="D9EAD3"/>
          </w:tcPr>
          <w:p>
            <w:pPr>
              <w:spacing w:after="40"/>
            </w:pPr>
            <w:r>
              <w:rPr>
                <w:sz w:val="20"/>
              </w:rPr>
              <w:t>32</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Sec. 2.3.4 (itinerary baseline)</w:t>
            </w:r>
          </w:p>
        </w:tc>
        <w:tc>
          <w:tcPr>
            <w:tcW w:type="dxa" w:w="4896"/>
            <w:shd w:val="clear" w:color="auto" w:fill="D9EAD3"/>
          </w:tcPr>
          <w:p>
            <w:pPr>
              <w:spacing w:after="40"/>
            </w:pPr>
            <w:r>
              <w:rPr>
                <w:sz w:val="20"/>
              </w:rPr>
              <w:t>The paper says the system falls back to “the tourist’s selected starting location” when GPS permission isn’t granted, implying a stored starting-location field that doesn’t exist. Reworded to describe the actual fallback: a fixed reference location (the Davao City center). See §5.21. — Applied in the v3 manuscript, text in blue.</w:t>
            </w:r>
          </w:p>
        </w:tc>
      </w:tr>
      <w:tr>
        <w:tc>
          <w:tcPr>
            <w:tcW w:type="dxa" w:w="432"/>
            <w:shd w:val="clear" w:color="auto" w:fill="D9EAD3"/>
          </w:tcPr>
          <w:p>
            <w:pPr>
              <w:spacing w:after="40"/>
            </w:pPr>
            <w:r>
              <w:rPr>
                <w:sz w:val="20"/>
              </w:rPr>
              <w:t>33</w:t>
            </w:r>
          </w:p>
        </w:tc>
        <w:tc>
          <w:tcPr>
            <w:tcW w:type="dxa" w:w="1584"/>
            <w:shd w:val="clear" w:color="auto" w:fill="D9EAD3"/>
          </w:tcPr>
          <w:p>
            <w:pPr>
              <w:spacing w:after="40"/>
            </w:pPr>
            <w:r>
              <w:rPr>
                <w:sz w:val="20"/>
              </w:rPr>
              <w:t>Done</w:t>
            </w:r>
          </w:p>
        </w:tc>
        <w:tc>
          <w:tcPr>
            <w:tcW w:type="dxa" w:w="2448"/>
            <w:shd w:val="clear" w:color="auto" w:fill="D9EAD3"/>
          </w:tcPr>
          <w:p>
            <w:pPr>
              <w:spacing w:after="40"/>
            </w:pPr>
            <w:r>
              <w:rPr>
                <w:sz w:val="20"/>
              </w:rPr>
              <w:t>Table 2 (QR row) / Sec. 2.3.6, Table 28 / Sec. 2.2.3.1.9</w:t>
            </w:r>
          </w:p>
        </w:tc>
        <w:tc>
          <w:tcPr>
            <w:tcW w:type="dxa" w:w="4896"/>
            <w:shd w:val="clear" w:color="auto" w:fill="D9EAD3"/>
          </w:tcPr>
          <w:p>
            <w:pPr>
              <w:spacing w:after="40"/>
            </w:pPr>
            <w:r>
              <w:rPr>
                <w:sz w:val="20"/>
              </w:rPr>
              <w:t>Table 2’s QR row now notes it links to a check-in endpoint for verified visit tracking; Table 28’s description now explains the QR-scan/button write path and the tourist+listing+day uniqueness rule; Sec. 2.2.3.1.9 now states the deduplicated daily-visitor-count guarantee. See §5.23. — Applied in the v4 manuscript, text in blue.</w:t>
            </w:r>
          </w:p>
        </w:tc>
      </w:tr>
    </w:tbl>
    <w:p/>
    <w:p>
      <w:r>
        <w:rPr>
          <w:b w:val="0"/>
          <w:i/>
          <w:sz w:val="22"/>
        </w:rPr>
        <w:t>Tip: items 1—6 and items 26—28 all update the same two places (Figure 4 and Section 2.3.6), so it’s efficient to do the ERD and the Data Dictionary sections together in one pass rather than switching back and forth.</w:t>
      </w:r>
    </w:p>
    <w:p>
      <w:r>
        <w:rPr>
          <w:b w:val="0"/>
          <w:i/>
          <w:sz w:val="22"/>
        </w:rPr>
        <w:t>Update: all “Required” items (1—7, 14—16, 22, 26—28), both “Decision needed” items (9—10, reworded to match the system as built), and all seven original “Optional” items (8, 11, 17—20, 29) are now marked “Done” above (shaded green) and have been applied directly to the manuscript — see “ExploreDVO_corrected_text_with_original_images_v4.docx” in Downloads (the file was v3 through item 32; item 33 below is what moved it to v4). Every inserted or changed piece of text and every new ERD entity/connector is colored blue in that file so you can see exactly what changed at a glance. Items 31 and 32 were added after the AI/recommendation modules (§5.19—5.22) went live, closing two small gaps that only became visible once those features were real: a footnote explaining how the Preference Match formula scores categories with no direct destination-side data, and a correction to the itinerary baseline-location wording to match the actual fallback behavior. Item 33 was added after DOT raised the visitor double-counting concern in person, resulting in the QR/manual check-in feature, the new Verified Visits report, and a database-level uniqueness constraint (§5.23). All three are also Done. Only the “No action needed” items remain untouched, by design.</w:t>
      </w:r>
    </w:p>
    <w:p>
      <w:pPr>
        <w:pStyle w:val="Heading1"/>
      </w:pPr>
      <w:r>
        <w:t>9. Work in Progress (Not Merged): Where the Traveller Stays</w:t>
      </w:r>
    </w:p>
    <w:p>
      <w:r>
        <w:rPr>
          <w:b/>
        </w:rPr>
        <w:t>STATUS: implemented on the local branch feature/stay-continuity-stage1. NOT approved for merging. NOT deployed. The figures below were measured on test data in a scratch copy of the database and are provisional, not final results.</w:t>
      </w:r>
    </w:p>
    <w:p>
      <w:pPr>
        <w:pStyle w:val="Heading2"/>
      </w:pPr>
      <w:r>
        <w:t>9.1 What the branch changes</w:t>
      </w:r>
    </w:p>
    <w:p>
      <w:r>
        <w:t>Before this work the stay for each night of a multi-day trip was chosen on its own, from the stops the trip planned to visit, before the days were built. The stay changed on 55% of night-to-night gaps in a 48-trip test audit, and the traveller's distance preference never reached the choice.</w:t>
      </w:r>
    </w:p>
    <w:p>
      <w:pPr>
        <w:pStyle w:val="ListBullet"/>
      </w:pPr>
      <w:r>
        <w:t>The stay is now planned for the whole trip at once (an exact search over all nights), then planned again for the stops the schedule actually placed, and the trip is rebuilt with it only if the rebuilt trip is better under fixed rules (StayPlanEvaluator).</w:t>
      </w:r>
    </w:p>
    <w:p>
      <w:pPr>
        <w:pStyle w:val="ListBullet"/>
      </w:pPr>
      <w:r>
        <w:t>Close Proximity keeps one stay for the whole trip. Commutable keeps one stay unless a comparison of two real itineraries shows that one stay is impractical. Remote may change stay where the geography justifies it; a change costs a configurable penalty (default 30 minutes of driving, config/itinerary.php).</w:t>
      </w:r>
    </w:p>
    <w:p>
      <w:pPr>
        <w:pStyle w:val="ListBullet"/>
      </w:pPr>
      <w:r>
        <w:t>A stay is offered for a night only if it is DOT-accredited on that night under the existing accreditation rules (grace period included). A night with no accredited stay has no stay, and the itinerary says so. Nothing is invented.</w:t>
      </w:r>
    </w:p>
    <w:p>
      <w:pPr>
        <w:pStyle w:val="ListBullet"/>
      </w:pPr>
      <w:r>
        <w:t>Places the trip set out to visit but could not place are listed on the itinerary page with the reason (shown for Close Proximity and Commutable).</w:t>
      </w:r>
    </w:p>
    <w:p>
      <w:pPr>
        <w:pStyle w:val="ListBullet"/>
      </w:pPr>
      <w:r>
        <w:t>Not changed: Content-Based Recommendation, Apriori scoring, the arrival rule, the 18:00 sightseeing cutoff, meal windows, the 25 km / 75 km / no-limit distance values, the distance labels, accreditation data, expiry dates and prices.</w:t>
      </w:r>
    </w:p>
    <w:p>
      <w:pPr>
        <w:pStyle w:val="Heading2"/>
      </w:pPr>
      <w:r>
        <w:t>9.2 Database change</w:t>
      </w:r>
    </w:p>
    <w:p>
      <w:r>
        <w:t>One nullable JSON column, itineraries.stay_plan (migration 2026_10_30_120000_add_stay_plan_to_itineraries). It holds a versioned summary: the travel preference applied, counts of stays and changes, the notices described above, and the record of how the stays were settled. The stay of each night is not copied: it stays on the existing overnight rows. No backfill is needed, itineraries without it render as before, and the migration is reversible (down() drops the column, losing only the notices).</w:t>
      </w:r>
    </w:p>
    <w:p>
      <w:pPr>
        <w:pStyle w:val="Heading2"/>
      </w:pPr>
      <w:r>
        <w:t>9.3 Defect found during review and fixed (30 Oct 2026)</w:t>
      </w:r>
    </w:p>
    <w:p>
      <w:r>
        <w:t>The step that plans the stays again for the placed stops had no effect at first: the function that rebuilds the trip captured the first stay plan by value, so every rebuild repeated the first stays. It was found while investigating why fewer destinations were placed. It is fixed on the branch (the stays are now shared by reference) and covered by a regression test that uses the real generator (StaySettleRebuildTest).</w:t>
      </w:r>
    </w:p>
    <w:p>
      <w:pPr>
        <w:pStyle w:val="Heading2"/>
      </w:pPr>
      <w:r>
        <w:t>9.4 Provisional measurements</w:t>
      </w:r>
    </w:p>
    <w:p>
      <w:r>
        <w:t>Two sets of 48 generated test trips (a calibration set and a separate held-out set that was used only for reporting), grace period on, penalty 30. These are provisional results on test data, not final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Before (live code)</w:t>
            </w:r>
          </w:p>
        </w:tc>
        <w:tc>
          <w:tcPr>
            <w:tcW w:type="dxa" w:w="2880"/>
          </w:tcPr>
          <w:p>
            <w:r>
              <w:t>Branch with the fix</w:t>
            </w:r>
          </w:p>
        </w:tc>
      </w:tr>
      <w:tr>
        <w:tc>
          <w:tcPr>
            <w:tcW w:type="dxa" w:w="2880"/>
          </w:tcPr>
          <w:p>
            <w:r>
              <w:t>Changes of stay (calibration / held-out)</w:t>
            </w:r>
          </w:p>
        </w:tc>
        <w:tc>
          <w:tcPr>
            <w:tcW w:type="dxa" w:w="2880"/>
          </w:tcPr>
          <w:p>
            <w:r>
              <w:t>30 / 28</w:t>
            </w:r>
          </w:p>
        </w:tc>
        <w:tc>
          <w:tcPr>
            <w:tcW w:type="dxa" w:w="2880"/>
          </w:tcPr>
          <w:p>
            <w:r>
              <w:t>8 / 9</w:t>
            </w:r>
          </w:p>
        </w:tc>
      </w:tr>
      <w:tr>
        <w:tc>
          <w:tcPr>
            <w:tcW w:type="dxa" w:w="2880"/>
          </w:tcPr>
          <w:p>
            <w:r>
              <w:t>Destinations placed (calibration / held-out)</w:t>
            </w:r>
          </w:p>
        </w:tc>
        <w:tc>
          <w:tcPr>
            <w:tcW w:type="dxa" w:w="2880"/>
          </w:tcPr>
          <w:p>
            <w:r>
              <w:t>215 / 224</w:t>
            </w:r>
          </w:p>
        </w:tc>
        <w:tc>
          <w:tcPr>
            <w:tcW w:type="dxa" w:w="2880"/>
          </w:tcPr>
          <w:p>
            <w:r>
              <w:t>215 / 224</w:t>
            </w:r>
          </w:p>
        </w:tc>
      </w:tr>
      <w:tr>
        <w:tc>
          <w:tcPr>
            <w:tcW w:type="dxa" w:w="2880"/>
          </w:tcPr>
          <w:p>
            <w:r>
              <w:t>Late check-ins (calibration / held-out)</w:t>
            </w:r>
          </w:p>
        </w:tc>
        <w:tc>
          <w:tcPr>
            <w:tcW w:type="dxa" w:w="2880"/>
          </w:tcPr>
          <w:p>
            <w:r>
              <w:t>18 / 16</w:t>
            </w:r>
          </w:p>
        </w:tc>
        <w:tc>
          <w:tcPr>
            <w:tcW w:type="dxa" w:w="2880"/>
          </w:tcPr>
          <w:p>
            <w:r>
              <w:t>13 / 12</w:t>
            </w:r>
          </w:p>
        </w:tc>
      </w:tr>
      <w:tr>
        <w:tc>
          <w:tcPr>
            <w:tcW w:type="dxa" w:w="2880"/>
          </w:tcPr>
          <w:p>
            <w:r>
              <w:t>Days over 8 hours of driving (calibration / held-out)</w:t>
            </w:r>
          </w:p>
        </w:tc>
        <w:tc>
          <w:tcPr>
            <w:tcW w:type="dxa" w:w="2880"/>
          </w:tcPr>
          <w:p>
            <w:r>
              <w:t>11 / 7</w:t>
            </w:r>
          </w:p>
        </w:tc>
        <w:tc>
          <w:tcPr>
            <w:tcW w:type="dxa" w:w="2880"/>
          </w:tcPr>
          <w:p>
            <w:r>
              <w:t>7 / 6</w:t>
            </w:r>
          </w:p>
        </w:tc>
      </w:tr>
      <w:tr>
        <w:tc>
          <w:tcPr>
            <w:tcW w:type="dxa" w:w="2880"/>
          </w:tcPr>
          <w:p>
            <w:r>
              <w:t>Stay-journey minutes (calibration / held-out)</w:t>
            </w:r>
          </w:p>
        </w:tc>
        <w:tc>
          <w:tcPr>
            <w:tcW w:type="dxa" w:w="2880"/>
          </w:tcPr>
          <w:p>
            <w:r>
              <w:t>18,000 / 17,010</w:t>
            </w:r>
          </w:p>
        </w:tc>
        <w:tc>
          <w:tcPr>
            <w:tcW w:type="dxa" w:w="2880"/>
          </w:tcPr>
          <w:p>
            <w:r>
              <w:t>17,055 / 16,440</w:t>
            </w:r>
          </w:p>
        </w:tc>
      </w:tr>
    </w:tbl>
    <w:p/>
    <w:p>
      <w:pPr>
        <w:pStyle w:val="Heading2"/>
      </w:pPr>
      <w:r>
        <w:t>9.5 Test data, not verified DOT information</w:t>
      </w:r>
    </w:p>
    <w:p>
      <w:r>
        <w:t>The accreditation records and the nightly stay prices in the database are temporary test data, not verified DOT information, and must eventually be replaced with verified records. The stay planner uses the accreditation dates exactly as stored and does not use the prices. Budget-based stay selection is deliberately postponed until the price source is verified.</w:t>
      </w:r>
    </w:p>
    <w:p>
      <w:pPr>
        <w:pStyle w:val="Heading2"/>
      </w:pPr>
      <w:r>
        <w:t>9.6 Paper sections affected</w:t>
      </w:r>
    </w:p>
    <w:p>
      <w:r>
        <w:t>None yet. The manuscript must not be changed for this work until the branch is approved, merged and its final results are measured.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